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87582" w14:textId="77777777" w:rsidR="00FD2BE2" w:rsidRPr="00656744" w:rsidRDefault="00FD2BE2" w:rsidP="00FD2BE2">
      <w:pPr>
        <w:pStyle w:val="Heading1"/>
        <w:rPr>
          <w:color w:val="auto"/>
        </w:rPr>
      </w:pPr>
      <w:r w:rsidRPr="00656744">
        <w:rPr>
          <w:color w:val="auto"/>
        </w:rPr>
        <w:t>Supplementary Material</w:t>
      </w:r>
    </w:p>
    <w:p w14:paraId="5B40D218" w14:textId="77777777" w:rsidR="00FD2BE2" w:rsidRPr="00656744" w:rsidRDefault="00FD2BE2" w:rsidP="00FD2BE2">
      <w:pPr>
        <w:spacing w:line="240" w:lineRule="auto"/>
        <w:rPr>
          <w:rFonts w:ascii="Aptos" w:hAnsi="Aptos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6"/>
        <w:gridCol w:w="7744"/>
      </w:tblGrid>
      <w:tr w:rsidR="00FD2BE2" w:rsidRPr="00656744" w14:paraId="52E5172F" w14:textId="77777777" w:rsidTr="00B80F36">
        <w:trPr>
          <w:trHeight w:val="3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C8C2B3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Database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E24105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Search Strategy </w:t>
            </w:r>
          </w:p>
        </w:tc>
      </w:tr>
      <w:tr w:rsidR="00FD2BE2" w:rsidRPr="00656744" w14:paraId="0F922EE1" w14:textId="77777777" w:rsidTr="00B80F36">
        <w:trPr>
          <w:trHeight w:val="3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B75305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PubMed </w:t>
            </w:r>
          </w:p>
          <w:p w14:paraId="48F8C4B4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9EF7B9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 xml:space="preserve">(“ischemic cardiomyopathy” OR “ischemic heart disease” OR "Myocardial Ischemia"[Mesh] OR "Myocardial Infarction"[Mesh]) AND (“ventricular tachycardia” OR "Tachycardia, Ventricular"[Mesh] OR “ventricular tachyarrhythmia”) </w:t>
            </w:r>
            <w:r w:rsidRPr="00656744">
              <w:rPr>
                <w:rFonts w:ascii="Aptos" w:hAnsi="Aptos"/>
                <w:b/>
                <w:bCs/>
              </w:rPr>
              <w:t xml:space="preserve">AND </w:t>
            </w:r>
            <w:r w:rsidRPr="00656744">
              <w:rPr>
                <w:rFonts w:ascii="Aptos" w:hAnsi="Aptos"/>
              </w:rPr>
              <w:t xml:space="preserve">("Catheter Ablation"[Mesh] OR “catheter ablation” OR “radiofrequency ablation” OR "Radiofrequency Ablation"[Mesh] OR "Cryosurgery"[Mesh] OR “cryoablation” OR “ablation”) </w:t>
            </w:r>
            <w:r w:rsidRPr="00656744">
              <w:rPr>
                <w:rFonts w:ascii="Aptos" w:hAnsi="Aptos"/>
                <w:b/>
                <w:bCs/>
              </w:rPr>
              <w:t>AND</w:t>
            </w:r>
            <w:r w:rsidRPr="00656744">
              <w:rPr>
                <w:rFonts w:ascii="Aptos" w:hAnsi="Aptos"/>
              </w:rPr>
              <w:t xml:space="preserve"> (“antiarrhythmic drugs” OR "Anti-Arrhythmia Agents"[Mesh] OR “sodium channel blocker” OR “potassium channel blocker” OR “digoxin” OR “adenosine” OR "Digoxin"[Mesh] OR “beta blocker” OR "Adenosine"[Mesh] OR "Potassium Channel Blockers"[Mesh] OR "Disopyramide"[Mesh] OR "Sodium Channel Blockers"[Mesh] OR "Adrenergic beta-Antagonists"[Mesh] OR “calcium channel blocker” OR "Calcium Channel Blockers"[Mesh])</w:t>
            </w:r>
          </w:p>
        </w:tc>
      </w:tr>
      <w:tr w:rsidR="00FD2BE2" w:rsidRPr="00656744" w14:paraId="78E3CD8E" w14:textId="77777777" w:rsidTr="00B80F36">
        <w:trPr>
          <w:trHeight w:val="3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1D29D4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Cochrane Library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DA9DC7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 xml:space="preserve">(“ischemic cardiomyopathy” OR “ischemic heart disease” OR "Myocardial Ischemia" OR "Myocardial Infarction") AND (“ventricular tachycardia” OR “ventricular tachyarrhythmia”) </w:t>
            </w:r>
            <w:r w:rsidRPr="00656744">
              <w:rPr>
                <w:rFonts w:ascii="Aptos" w:hAnsi="Aptos"/>
                <w:b/>
                <w:bCs/>
              </w:rPr>
              <w:t xml:space="preserve">AND </w:t>
            </w:r>
            <w:r w:rsidRPr="00656744">
              <w:rPr>
                <w:rFonts w:ascii="Aptos" w:hAnsi="Aptos"/>
              </w:rPr>
              <w:t xml:space="preserve">(“catheter ablation” OR “radiofrequency ablation” OR "Cryosurgery" OR “cryoablation” OR “ablation”) </w:t>
            </w:r>
            <w:r w:rsidRPr="00656744">
              <w:rPr>
                <w:rFonts w:ascii="Aptos" w:hAnsi="Aptos"/>
                <w:b/>
                <w:bCs/>
              </w:rPr>
              <w:t>AND</w:t>
            </w:r>
            <w:r w:rsidRPr="00656744">
              <w:rPr>
                <w:rFonts w:ascii="Aptos" w:hAnsi="Aptos"/>
              </w:rPr>
              <w:t xml:space="preserve"> (“antiarrhythmic drugs” OR "Antiarrhythmic Agents" OR “sodium channel blocker” OR “potassium channel blocker” OR “digoxin” OR “adenosine” OR “beta blocker” OR "Disopyramide" OR "Adrenergic beta-Antagonists" OR “calcium channel blocker”)</w:t>
            </w:r>
          </w:p>
        </w:tc>
      </w:tr>
      <w:tr w:rsidR="00FD2BE2" w:rsidRPr="00656744" w14:paraId="462E1FC0" w14:textId="77777777" w:rsidTr="00B80F36">
        <w:trPr>
          <w:trHeight w:val="3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51C0DD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Embase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60B6EE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('ischemic cardiomyopathy':ti,ab,kw OR 'ischemic heart disease':ti,ab,kw OR 'myocardial ischemia':ti,ab,kw OR 'myocardial infarction':ti,ab,kw) AND ('ventricular tachycardia':ti,ab,kw OR 'ventricular tachyarrhythmia':ti,ab,kw) AND ('catheter ablation':ti,ab,kw OR 'radiofrequency ablation':ti,ab,kw OR 'cryosurgery':ti,ab,kw OR 'cryoablation':ti,ab,kw OR 'ablation':ti,ab,kw) AND ('antiarrhythmic drugs':ti,ab,kw OR 'antiarrhythmic agents':ti,ab,kw OR 'sodium channel blocker':ti,ab,kw OR 'potassium channel blocker':ti,ab,kw OR 'digoxin':ti,ab,kw OR 'adenosine':ti,ab,kw OR 'beta blocker':ti,ab,kw OR 'disopyramide':ti,ab,kw OR 'adrenergic beta-antagonists':ti,ab,kw OR 'calcium channel blocker':ti,ab,kw)</w:t>
            </w:r>
          </w:p>
          <w:p w14:paraId="2E56775E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</w:p>
        </w:tc>
      </w:tr>
      <w:tr w:rsidR="00FD2BE2" w:rsidRPr="00656744" w14:paraId="2279BC34" w14:textId="77777777" w:rsidTr="00B80F36">
        <w:trPr>
          <w:trHeight w:val="3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84D0FA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Google Scholar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520AEB" w14:textId="77777777" w:rsidR="00FD2BE2" w:rsidRPr="00656744" w:rsidRDefault="00FD2BE2" w:rsidP="00B80F36">
            <w:pPr>
              <w:spacing w:line="240" w:lineRule="auto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"</w:t>
            </w:r>
            <w:proofErr w:type="gramStart"/>
            <w:r w:rsidRPr="00656744">
              <w:rPr>
                <w:rFonts w:ascii="Aptos" w:hAnsi="Aptos"/>
              </w:rPr>
              <w:t>ischemic</w:t>
            </w:r>
            <w:proofErr w:type="gramEnd"/>
            <w:r w:rsidRPr="00656744">
              <w:rPr>
                <w:rFonts w:ascii="Aptos" w:hAnsi="Aptos"/>
              </w:rPr>
              <w:t xml:space="preserve"> heart disease" "ventricular tachycardia" "antiarrhythmic drug" ablation OR "catheter ablation"</w:t>
            </w:r>
          </w:p>
        </w:tc>
      </w:tr>
    </w:tbl>
    <w:p w14:paraId="3335E0D9" w14:textId="77777777" w:rsidR="00FD2BE2" w:rsidRDefault="00FD2BE2" w:rsidP="00FD2BE2">
      <w:pPr>
        <w:spacing w:line="240" w:lineRule="auto"/>
        <w:rPr>
          <w:rFonts w:ascii="Aptos" w:hAnsi="Aptos"/>
        </w:rPr>
      </w:pPr>
      <w:r w:rsidRPr="00656744">
        <w:rPr>
          <w:rFonts w:ascii="Aptos" w:hAnsi="Aptos"/>
          <w:b/>
          <w:bCs/>
        </w:rPr>
        <w:t xml:space="preserve">Supplementary Table 1. </w:t>
      </w:r>
      <w:r w:rsidRPr="00656744">
        <w:rPr>
          <w:rFonts w:ascii="Aptos" w:hAnsi="Aptos"/>
        </w:rPr>
        <w:t>Search strategies for each database.</w:t>
      </w:r>
    </w:p>
    <w:p w14:paraId="2F2A56B9" w14:textId="064DB853" w:rsidR="00A570FD" w:rsidRDefault="00A570FD">
      <w:pPr>
        <w:rPr>
          <w:rFonts w:ascii="Aptos" w:hAnsi="Aptos"/>
        </w:rPr>
      </w:pPr>
      <w:r>
        <w:rPr>
          <w:rFonts w:ascii="Aptos" w:hAnsi="Apto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3790"/>
        <w:gridCol w:w="3791"/>
      </w:tblGrid>
      <w:tr w:rsidR="00A570FD" w:rsidRPr="00A570FD" w14:paraId="7FE9EB3B" w14:textId="77777777" w:rsidTr="00A570FD">
        <w:trPr>
          <w:trHeight w:val="432"/>
        </w:trPr>
        <w:tc>
          <w:tcPr>
            <w:tcW w:w="1435" w:type="dxa"/>
            <w:vAlign w:val="center"/>
          </w:tcPr>
          <w:p w14:paraId="320A9A64" w14:textId="431F2BE6" w:rsidR="00A570FD" w:rsidRPr="00A570FD" w:rsidRDefault="00A570FD" w:rsidP="00A570FD">
            <w:pPr>
              <w:rPr>
                <w:rFonts w:ascii="Aptos" w:hAnsi="Aptos"/>
                <w:b/>
                <w:bCs/>
              </w:rPr>
            </w:pPr>
            <w:r w:rsidRPr="00A570FD">
              <w:rPr>
                <w:rFonts w:ascii="Aptos" w:hAnsi="Aptos"/>
                <w:b/>
                <w:bCs/>
              </w:rPr>
              <w:lastRenderedPageBreak/>
              <w:t>Study ID</w:t>
            </w:r>
          </w:p>
        </w:tc>
        <w:tc>
          <w:tcPr>
            <w:tcW w:w="3790" w:type="dxa"/>
            <w:vAlign w:val="center"/>
          </w:tcPr>
          <w:p w14:paraId="5BD1B283" w14:textId="702BDF30" w:rsidR="00A570FD" w:rsidRPr="00A570FD" w:rsidRDefault="00A570FD" w:rsidP="00A570FD">
            <w:pPr>
              <w:rPr>
                <w:rFonts w:ascii="Aptos" w:hAnsi="Aptos"/>
                <w:b/>
                <w:bCs/>
              </w:rPr>
            </w:pPr>
            <w:r w:rsidRPr="00A570FD">
              <w:rPr>
                <w:rFonts w:ascii="Aptos" w:hAnsi="Aptos"/>
                <w:b/>
                <w:bCs/>
              </w:rPr>
              <w:t>Ablation group</w:t>
            </w:r>
          </w:p>
        </w:tc>
        <w:tc>
          <w:tcPr>
            <w:tcW w:w="3791" w:type="dxa"/>
            <w:vAlign w:val="center"/>
          </w:tcPr>
          <w:p w14:paraId="16BA30AC" w14:textId="3E3FB09C" w:rsidR="00A570FD" w:rsidRPr="00A570FD" w:rsidRDefault="00A570FD" w:rsidP="00A570FD">
            <w:pPr>
              <w:rPr>
                <w:rFonts w:ascii="Aptos" w:hAnsi="Aptos"/>
                <w:b/>
                <w:bCs/>
              </w:rPr>
            </w:pPr>
            <w:r w:rsidRPr="00A570FD">
              <w:rPr>
                <w:rFonts w:ascii="Aptos" w:hAnsi="Aptos"/>
                <w:b/>
                <w:bCs/>
              </w:rPr>
              <w:t>Anti-arrhythmic drugs group</w:t>
            </w:r>
          </w:p>
        </w:tc>
      </w:tr>
      <w:tr w:rsidR="00A570FD" w14:paraId="542301B2" w14:textId="77777777" w:rsidTr="00A570FD">
        <w:tc>
          <w:tcPr>
            <w:tcW w:w="1435" w:type="dxa"/>
          </w:tcPr>
          <w:p w14:paraId="4BF231D7" w14:textId="52089191" w:rsidR="00A570FD" w:rsidRPr="00A570FD" w:rsidRDefault="00A570FD" w:rsidP="00FD2BE2">
            <w:pPr>
              <w:rPr>
                <w:rFonts w:ascii="Aptos" w:hAnsi="Aptos"/>
                <w:b/>
                <w:bCs/>
              </w:rPr>
            </w:pPr>
            <w:r w:rsidRPr="00A570FD">
              <w:rPr>
                <w:rFonts w:ascii="Aptos" w:hAnsi="Aptos"/>
                <w:b/>
                <w:bCs/>
              </w:rPr>
              <w:t>Al-Khatib 2014</w:t>
            </w:r>
          </w:p>
        </w:tc>
        <w:tc>
          <w:tcPr>
            <w:tcW w:w="3790" w:type="dxa"/>
          </w:tcPr>
          <w:p w14:paraId="256EE53E" w14:textId="56771781" w:rsidR="00A570FD" w:rsidRDefault="00A570FD" w:rsidP="00FD2BE2">
            <w:pPr>
              <w:rPr>
                <w:rFonts w:ascii="Aptos" w:hAnsi="Aptos"/>
              </w:rPr>
            </w:pPr>
            <w:r w:rsidRPr="00A570FD">
              <w:rPr>
                <w:rFonts w:ascii="Aptos" w:hAnsi="Aptos"/>
              </w:rPr>
              <w:t>Radiofrequency ablation with an externally irrigated 3.5 mm electrode.</w:t>
            </w:r>
            <w:r w:rsidRPr="00A570FD">
              <w:rPr>
                <w:rFonts w:ascii="Aptos" w:hAnsi="Aptos"/>
              </w:rPr>
              <w:br/>
            </w:r>
            <w:r>
              <w:rPr>
                <w:rFonts w:ascii="Aptos" w:hAnsi="Aptos"/>
              </w:rPr>
              <w:t>The endocardial</w:t>
            </w:r>
            <w:r w:rsidRPr="00A570FD">
              <w:rPr>
                <w:rFonts w:ascii="Aptos" w:hAnsi="Aptos"/>
              </w:rPr>
              <w:t xml:space="preserve"> approach was the preferred ablation strategy in this trial.</w:t>
            </w:r>
            <w:r w:rsidRPr="00A570FD">
              <w:rPr>
                <w:rFonts w:ascii="Aptos" w:hAnsi="Aptos"/>
              </w:rPr>
              <w:br/>
              <w:t xml:space="preserve">Biosense Webster’s NaviStar ThermoCool catheter was allowed to </w:t>
            </w:r>
            <w:r w:rsidRPr="00A570FD">
              <w:rPr>
                <w:rFonts w:ascii="Aptos" w:hAnsi="Aptos"/>
              </w:rPr>
              <w:br/>
              <w:t xml:space="preserve">use in this study. Epicardial ablation was allowed if </w:t>
            </w:r>
            <w:r>
              <w:rPr>
                <w:rFonts w:ascii="Aptos" w:hAnsi="Aptos"/>
              </w:rPr>
              <w:t xml:space="preserve">the </w:t>
            </w:r>
            <w:r w:rsidRPr="00A570FD">
              <w:rPr>
                <w:rFonts w:ascii="Aptos" w:hAnsi="Aptos"/>
              </w:rPr>
              <w:t>endocardial approach was not possible</w:t>
            </w:r>
            <w:r>
              <w:rPr>
                <w:rFonts w:ascii="Aptos" w:hAnsi="Aptos"/>
              </w:rPr>
              <w:t>.</w:t>
            </w:r>
          </w:p>
        </w:tc>
        <w:tc>
          <w:tcPr>
            <w:tcW w:w="3791" w:type="dxa"/>
          </w:tcPr>
          <w:p w14:paraId="2A5D30B9" w14:textId="6BF91A91" w:rsidR="00A570FD" w:rsidRDefault="00A570FD" w:rsidP="00FD2BE2">
            <w:pPr>
              <w:rPr>
                <w:rFonts w:ascii="Aptos" w:hAnsi="Aptos"/>
              </w:rPr>
            </w:pPr>
            <w:r w:rsidRPr="00A570FD">
              <w:rPr>
                <w:rFonts w:ascii="Aptos" w:hAnsi="Aptos"/>
              </w:rPr>
              <w:t>First-line therapy: amiodarone and sotalol.</w:t>
            </w:r>
            <w:r w:rsidRPr="00A570FD">
              <w:rPr>
                <w:rFonts w:ascii="Aptos" w:hAnsi="Aptos"/>
              </w:rPr>
              <w:br/>
            </w:r>
            <w:r w:rsidRPr="00A570FD">
              <w:rPr>
                <w:rFonts w:ascii="Aptos" w:hAnsi="Aptos"/>
              </w:rPr>
              <w:t>S</w:t>
            </w:r>
            <w:r w:rsidRPr="00A570FD">
              <w:rPr>
                <w:rFonts w:ascii="Aptos" w:hAnsi="Aptos"/>
              </w:rPr>
              <w:t>econd-line therapy: mexiletine, ranolazine, and dofetilide.</w:t>
            </w:r>
          </w:p>
        </w:tc>
      </w:tr>
      <w:tr w:rsidR="00A570FD" w14:paraId="46A7DC0C" w14:textId="77777777" w:rsidTr="00A570FD">
        <w:tc>
          <w:tcPr>
            <w:tcW w:w="1435" w:type="dxa"/>
          </w:tcPr>
          <w:p w14:paraId="041200E0" w14:textId="11790CA8" w:rsidR="00A570FD" w:rsidRPr="00A570FD" w:rsidRDefault="00A570FD" w:rsidP="00FD2BE2">
            <w:pPr>
              <w:rPr>
                <w:rFonts w:ascii="Aptos" w:hAnsi="Aptos"/>
                <w:b/>
                <w:bCs/>
              </w:rPr>
            </w:pPr>
            <w:r w:rsidRPr="00A570FD">
              <w:rPr>
                <w:rFonts w:ascii="Aptos" w:hAnsi="Aptos"/>
                <w:b/>
                <w:bCs/>
              </w:rPr>
              <w:t>Sapp 2016</w:t>
            </w:r>
          </w:p>
        </w:tc>
        <w:tc>
          <w:tcPr>
            <w:tcW w:w="3790" w:type="dxa"/>
          </w:tcPr>
          <w:p w14:paraId="41B83724" w14:textId="5D4F813E" w:rsidR="00A570FD" w:rsidRPr="00A570FD" w:rsidRDefault="00A570FD" w:rsidP="00FD2BE2">
            <w:pPr>
              <w:rPr>
                <w:rFonts w:ascii="Aptos" w:hAnsi="Aptos"/>
              </w:rPr>
            </w:pPr>
            <w:r w:rsidRPr="00A570FD">
              <w:rPr>
                <w:rFonts w:ascii="Aptos" w:hAnsi="Aptos"/>
              </w:rPr>
              <w:t xml:space="preserve">Patients randomized to ablation were scheduled to undergo the procedure within 14 days </w:t>
            </w:r>
            <w:r w:rsidRPr="00A570FD">
              <w:rPr>
                <w:rFonts w:ascii="Aptos" w:hAnsi="Aptos"/>
              </w:rPr>
              <w:br/>
              <w:t xml:space="preserve">and remained on the previously ineffective drug therapy. Procedures were performed </w:t>
            </w:r>
            <w:r w:rsidRPr="00A570FD">
              <w:rPr>
                <w:rFonts w:ascii="Aptos" w:hAnsi="Aptos"/>
              </w:rPr>
              <w:br/>
              <w:t>under conscious sedation</w:t>
            </w:r>
            <w:r>
              <w:rPr>
                <w:rFonts w:ascii="Aptos" w:hAnsi="Aptos"/>
              </w:rPr>
              <w:t xml:space="preserve"> or general anesthesia</w:t>
            </w:r>
            <w:r w:rsidRPr="00A570FD">
              <w:rPr>
                <w:rFonts w:ascii="Aptos" w:hAnsi="Aptos"/>
              </w:rPr>
              <w:t xml:space="preserve"> according to local standard practice.</w:t>
            </w:r>
            <w:r>
              <w:rPr>
                <w:rFonts w:ascii="Aptos" w:hAnsi="Aptos"/>
              </w:rPr>
              <w:t xml:space="preserve"> The </w:t>
            </w:r>
            <w:r w:rsidRPr="00A570FD">
              <w:rPr>
                <w:rFonts w:ascii="Aptos" w:hAnsi="Aptos"/>
              </w:rPr>
              <w:t xml:space="preserve">procedure included venous and arterial access, advancement of electrode catheters to the </w:t>
            </w:r>
            <w:r w:rsidRPr="00A570FD">
              <w:rPr>
                <w:rFonts w:ascii="Aptos" w:hAnsi="Aptos"/>
              </w:rPr>
              <w:br/>
            </w:r>
            <w:r>
              <w:rPr>
                <w:rFonts w:ascii="Aptos" w:hAnsi="Aptos"/>
              </w:rPr>
              <w:t xml:space="preserve">the </w:t>
            </w:r>
            <w:r w:rsidRPr="00A570FD">
              <w:rPr>
                <w:rFonts w:ascii="Aptos" w:hAnsi="Aptos"/>
              </w:rPr>
              <w:t xml:space="preserve">right ventricle and His bundle positions, and VT induction with programmed ventricular stimulation from two ventricular sites at two drive cycle lengths with up to triple </w:t>
            </w:r>
            <w:r w:rsidRPr="00A570FD">
              <w:rPr>
                <w:rFonts w:ascii="Aptos" w:hAnsi="Aptos"/>
              </w:rPr>
              <w:br/>
              <w:t xml:space="preserve">ventricular extrastimulation, coupled not closer than 180 msec. If clinical VT was not </w:t>
            </w:r>
            <w:r w:rsidRPr="00A570FD">
              <w:rPr>
                <w:rFonts w:ascii="Aptos" w:hAnsi="Aptos"/>
              </w:rPr>
              <w:br/>
              <w:t xml:space="preserve">induced, isoproterenol could be administered 0.5-10 mcg/min in a dose adjusted to achieve </w:t>
            </w:r>
            <w:r w:rsidRPr="00A570FD">
              <w:rPr>
                <w:rFonts w:ascii="Aptos" w:hAnsi="Aptos"/>
              </w:rPr>
              <w:br/>
              <w:t>a 30% increase in baseline heart rate.</w:t>
            </w:r>
          </w:p>
        </w:tc>
        <w:tc>
          <w:tcPr>
            <w:tcW w:w="3791" w:type="dxa"/>
          </w:tcPr>
          <w:p w14:paraId="53282888" w14:textId="67FB2F61" w:rsidR="00A570FD" w:rsidRPr="00A570FD" w:rsidRDefault="00A570FD" w:rsidP="00FD2BE2">
            <w:pPr>
              <w:rPr>
                <w:rFonts w:ascii="Aptos" w:hAnsi="Aptos"/>
              </w:rPr>
            </w:pPr>
            <w:r w:rsidRPr="00A570FD">
              <w:rPr>
                <w:rFonts w:ascii="Aptos" w:hAnsi="Aptos"/>
              </w:rPr>
              <w:t>Amiodarone OR Amiodarone + Mexilitine depending on the drug and dose being taken at the time of qualifying arrhythmia.</w:t>
            </w:r>
            <w:r w:rsidRPr="00A570FD">
              <w:rPr>
                <w:rFonts w:ascii="Aptos" w:hAnsi="Aptos"/>
              </w:rPr>
              <w:br/>
            </w:r>
            <w:r w:rsidRPr="00A570FD">
              <w:rPr>
                <w:rFonts w:ascii="Aptos" w:hAnsi="Aptos"/>
                <w:b/>
                <w:bCs/>
              </w:rPr>
              <w:t>*</w:t>
            </w:r>
            <w:r w:rsidRPr="00A570FD">
              <w:rPr>
                <w:rFonts w:ascii="Aptos" w:hAnsi="Aptos"/>
              </w:rPr>
              <w:t xml:space="preserve"> In patients already taking any AAD except amiodarone, amiodarone was administered 400 mg twice daily for 2 weeks, followed by a dose of 400 mg per day for 4 weeks and 200 mg per day thereafter.</w:t>
            </w:r>
            <w:r w:rsidRPr="00A570FD">
              <w:rPr>
                <w:rFonts w:ascii="Aptos" w:hAnsi="Aptos"/>
              </w:rPr>
              <w:br/>
            </w:r>
            <w:r w:rsidRPr="00A570FD">
              <w:rPr>
                <w:rFonts w:ascii="Aptos" w:hAnsi="Aptos"/>
                <w:b/>
                <w:bCs/>
              </w:rPr>
              <w:t>*</w:t>
            </w:r>
            <w:r w:rsidRPr="00A570FD">
              <w:rPr>
                <w:rFonts w:ascii="Aptos" w:hAnsi="Aptos"/>
              </w:rPr>
              <w:t xml:space="preserve"> In patients already taking amiodarone at a dose of &lt;300mg/day, </w:t>
            </w:r>
            <w:r>
              <w:rPr>
                <w:rFonts w:ascii="Aptos" w:hAnsi="Aptos"/>
              </w:rPr>
              <w:t xml:space="preserve">a </w:t>
            </w:r>
            <w:r w:rsidRPr="00A570FD">
              <w:rPr>
                <w:rFonts w:ascii="Aptos" w:hAnsi="Aptos"/>
              </w:rPr>
              <w:t xml:space="preserve">loading dose of amiodarone was administered 400 mg twice daily for 2 weeks, which was followed by 400 mg per day for 1 week and 300 mg per day thereafter. </w:t>
            </w:r>
            <w:r w:rsidRPr="00A570FD">
              <w:rPr>
                <w:rFonts w:ascii="Aptos" w:hAnsi="Aptos"/>
              </w:rPr>
              <w:br/>
            </w:r>
            <w:r w:rsidRPr="00A570FD">
              <w:rPr>
                <w:rFonts w:ascii="Aptos" w:hAnsi="Aptos"/>
                <w:b/>
                <w:bCs/>
              </w:rPr>
              <w:t>*</w:t>
            </w:r>
            <w:r w:rsidRPr="00A570FD">
              <w:rPr>
                <w:rFonts w:ascii="Aptos" w:hAnsi="Aptos"/>
              </w:rPr>
              <w:t xml:space="preserve"> In patients already taking amiodarone at a dose of ≥300mg/day, continued amiodarone with the addition of mexiletine (at a dose of 200 mg three times daily) was administered.</w:t>
            </w:r>
          </w:p>
        </w:tc>
      </w:tr>
      <w:tr w:rsidR="00A570FD" w14:paraId="71252A6F" w14:textId="77777777" w:rsidTr="00A570FD">
        <w:tc>
          <w:tcPr>
            <w:tcW w:w="1435" w:type="dxa"/>
          </w:tcPr>
          <w:p w14:paraId="38E23975" w14:textId="75B70E41" w:rsidR="00A570FD" w:rsidRPr="00A570FD" w:rsidRDefault="00A570FD" w:rsidP="00FD2BE2">
            <w:pPr>
              <w:rPr>
                <w:rFonts w:ascii="Aptos" w:hAnsi="Aptos"/>
                <w:b/>
                <w:bCs/>
              </w:rPr>
            </w:pPr>
            <w:r w:rsidRPr="00A570FD">
              <w:rPr>
                <w:rFonts w:ascii="Aptos" w:hAnsi="Aptos"/>
                <w:b/>
                <w:bCs/>
              </w:rPr>
              <w:t>Arenal 2022</w:t>
            </w:r>
          </w:p>
        </w:tc>
        <w:tc>
          <w:tcPr>
            <w:tcW w:w="3790" w:type="dxa"/>
          </w:tcPr>
          <w:p w14:paraId="59C31398" w14:textId="1862972A" w:rsidR="00A570FD" w:rsidRPr="00A570FD" w:rsidRDefault="00A570FD" w:rsidP="00FD2BE2">
            <w:pPr>
              <w:rPr>
                <w:rFonts w:ascii="Aptos" w:hAnsi="Aptos"/>
                <w:lang w:val="en-PK"/>
              </w:rPr>
            </w:pPr>
            <w:r w:rsidRPr="00A570FD">
              <w:rPr>
                <w:rFonts w:ascii="Aptos" w:hAnsi="Aptos"/>
                <w:lang w:val="en-PK"/>
              </w:rPr>
              <w:t xml:space="preserve">Radiofrequency ablation was performed for 60 to 120 seconds with a maximum temperature of 45°C and power settings between 30 and 50 W. Saline irrigation was started at a rate of 2 mL/min and </w:t>
            </w:r>
            <w:r w:rsidRPr="00A570FD">
              <w:rPr>
                <w:rFonts w:ascii="Aptos" w:hAnsi="Aptos"/>
                <w:lang w:val="en-PK"/>
              </w:rPr>
              <w:lastRenderedPageBreak/>
              <w:t>increased to 17–30 mL/min during the application.</w:t>
            </w:r>
          </w:p>
        </w:tc>
        <w:tc>
          <w:tcPr>
            <w:tcW w:w="3791" w:type="dxa"/>
          </w:tcPr>
          <w:p w14:paraId="2BD3A31C" w14:textId="0A8D9071" w:rsidR="00A570FD" w:rsidRPr="00A570FD" w:rsidRDefault="00A570FD" w:rsidP="00FD2BE2">
            <w:pPr>
              <w:rPr>
                <w:rFonts w:ascii="Aptos" w:hAnsi="Aptos"/>
              </w:rPr>
            </w:pPr>
            <w:r w:rsidRPr="00A570FD">
              <w:rPr>
                <w:rFonts w:ascii="Aptos" w:hAnsi="Aptos"/>
              </w:rPr>
              <w:lastRenderedPageBreak/>
              <w:t>Strategy #1: Amiodarone + Carvedilol</w:t>
            </w:r>
            <w:r>
              <w:rPr>
                <w:rFonts w:ascii="Aptos" w:hAnsi="Aptos"/>
              </w:rPr>
              <w:t xml:space="preserve">. </w:t>
            </w:r>
            <w:r w:rsidRPr="00A570FD">
              <w:rPr>
                <w:rFonts w:ascii="Aptos" w:hAnsi="Aptos"/>
              </w:rPr>
              <w:t>Amiodarone 400mg B</w:t>
            </w:r>
            <w:r>
              <w:rPr>
                <w:rFonts w:ascii="Aptos" w:hAnsi="Aptos"/>
              </w:rPr>
              <w:t>I</w:t>
            </w:r>
            <w:r w:rsidRPr="00A570FD">
              <w:rPr>
                <w:rFonts w:ascii="Aptos" w:hAnsi="Aptos"/>
              </w:rPr>
              <w:t xml:space="preserve">D </w:t>
            </w:r>
            <w:r>
              <w:rPr>
                <w:rFonts w:ascii="Aptos" w:hAnsi="Aptos"/>
              </w:rPr>
              <w:t>2 weeks, followed by 400 mg OD, 200mg OD</w:t>
            </w:r>
            <w:r w:rsidRPr="00A570FD">
              <w:rPr>
                <w:rFonts w:ascii="Aptos" w:hAnsi="Aptos"/>
              </w:rPr>
              <w:t xml:space="preserve"> until the end of the study. Carvedilol -</w:t>
            </w:r>
            <w:r w:rsidRPr="00A570FD">
              <w:rPr>
                <w:rFonts w:ascii="Aptos" w:hAnsi="Aptos"/>
              </w:rPr>
              <w:t>titrated, target</w:t>
            </w:r>
            <w:r w:rsidRPr="00A570FD">
              <w:rPr>
                <w:rFonts w:ascii="Aptos" w:hAnsi="Aptos"/>
              </w:rPr>
              <w:t xml:space="preserve"> dose 25 mg </w:t>
            </w:r>
            <w:r>
              <w:rPr>
                <w:rFonts w:ascii="Aptos" w:hAnsi="Aptos"/>
              </w:rPr>
              <w:t>BID</w:t>
            </w:r>
            <w:r w:rsidRPr="00A570FD">
              <w:rPr>
                <w:rFonts w:ascii="Aptos" w:hAnsi="Aptos"/>
              </w:rPr>
              <w:t>.</w:t>
            </w:r>
            <w:r w:rsidRPr="00A570FD">
              <w:rPr>
                <w:rFonts w:ascii="Aptos" w:hAnsi="Aptos"/>
              </w:rPr>
              <w:br/>
            </w:r>
            <w:r w:rsidRPr="00A570FD">
              <w:rPr>
                <w:rFonts w:ascii="Aptos" w:hAnsi="Aptos"/>
              </w:rPr>
              <w:lastRenderedPageBreak/>
              <w:t>Strategy #2: Sotalol + Carvedilol</w:t>
            </w:r>
            <w:r>
              <w:rPr>
                <w:rFonts w:ascii="Aptos" w:hAnsi="Aptos"/>
              </w:rPr>
              <w:t xml:space="preserve">. </w:t>
            </w:r>
            <w:r w:rsidRPr="00A570FD">
              <w:rPr>
                <w:rFonts w:ascii="Aptos" w:hAnsi="Aptos"/>
              </w:rPr>
              <w:t xml:space="preserve">Sotalol up to 120mg </w:t>
            </w:r>
            <w:r>
              <w:rPr>
                <w:rFonts w:ascii="Aptos" w:hAnsi="Aptos"/>
              </w:rPr>
              <w:t>BID</w:t>
            </w:r>
            <w:r w:rsidRPr="00A570FD">
              <w:rPr>
                <w:rFonts w:ascii="Aptos" w:hAnsi="Aptos"/>
              </w:rPr>
              <w:t xml:space="preserve"> or 80mg </w:t>
            </w:r>
            <w:r>
              <w:rPr>
                <w:rFonts w:ascii="Aptos" w:hAnsi="Aptos"/>
              </w:rPr>
              <w:t>TID</w:t>
            </w:r>
            <w:r w:rsidRPr="00A570FD">
              <w:rPr>
                <w:rFonts w:ascii="Aptos" w:hAnsi="Aptos"/>
              </w:rPr>
              <w:t>.</w:t>
            </w:r>
            <w:r>
              <w:rPr>
                <w:rFonts w:ascii="Aptos" w:hAnsi="Aptos"/>
              </w:rPr>
              <w:t xml:space="preserve"> </w:t>
            </w:r>
            <w:r w:rsidRPr="00A570FD">
              <w:rPr>
                <w:rFonts w:ascii="Aptos" w:hAnsi="Aptos"/>
              </w:rPr>
              <w:t xml:space="preserve">Carvedilol according to clinical tolerance and heart rate. Target dose 25 mg </w:t>
            </w:r>
            <w:r>
              <w:rPr>
                <w:rFonts w:ascii="Aptos" w:hAnsi="Aptos"/>
              </w:rPr>
              <w:t>BID</w:t>
            </w:r>
            <w:r w:rsidRPr="00A570FD">
              <w:rPr>
                <w:rFonts w:ascii="Aptos" w:hAnsi="Aptos"/>
              </w:rPr>
              <w:t xml:space="preserve">. </w:t>
            </w:r>
            <w:r w:rsidRPr="00A570FD">
              <w:rPr>
                <w:rFonts w:ascii="Aptos" w:hAnsi="Aptos"/>
              </w:rPr>
              <w:br/>
              <w:t>Strategy #3: Amiodarone - Amiodarone 400mg BD</w:t>
            </w:r>
            <w:r>
              <w:rPr>
                <w:rFonts w:ascii="Aptos" w:hAnsi="Aptos"/>
              </w:rPr>
              <w:t xml:space="preserve"> 2 weeks, followed by 200 mg BD 4 weeks,</w:t>
            </w:r>
            <w:r w:rsidRPr="00A570FD">
              <w:rPr>
                <w:rFonts w:ascii="Aptos" w:hAnsi="Aptos"/>
              </w:rPr>
              <w:t xml:space="preserve"> and then 200mg </w:t>
            </w:r>
            <w:r>
              <w:rPr>
                <w:rFonts w:ascii="Aptos" w:hAnsi="Aptos"/>
              </w:rPr>
              <w:t>OD</w:t>
            </w:r>
            <w:r w:rsidRPr="00A570FD">
              <w:rPr>
                <w:rFonts w:ascii="Aptos" w:hAnsi="Aptos"/>
              </w:rPr>
              <w:t xml:space="preserve"> until the end of the study.</w:t>
            </w:r>
          </w:p>
        </w:tc>
      </w:tr>
    </w:tbl>
    <w:p w14:paraId="2C1AA7D2" w14:textId="6490AEA6" w:rsidR="00A570FD" w:rsidRDefault="00A570FD" w:rsidP="00A570FD">
      <w:pPr>
        <w:spacing w:line="240" w:lineRule="auto"/>
        <w:rPr>
          <w:rFonts w:ascii="Aptos" w:hAnsi="Aptos"/>
        </w:rPr>
      </w:pPr>
      <w:r w:rsidRPr="00656744">
        <w:rPr>
          <w:rFonts w:ascii="Aptos" w:hAnsi="Aptos"/>
          <w:b/>
          <w:bCs/>
        </w:rPr>
        <w:lastRenderedPageBreak/>
        <w:t xml:space="preserve">Supplementary Table </w:t>
      </w:r>
      <w:r>
        <w:rPr>
          <w:rFonts w:ascii="Aptos" w:hAnsi="Aptos"/>
          <w:b/>
          <w:bCs/>
        </w:rPr>
        <w:t>2</w:t>
      </w:r>
      <w:r w:rsidRPr="00656744">
        <w:rPr>
          <w:rFonts w:ascii="Aptos" w:hAnsi="Aptos"/>
          <w:b/>
          <w:bCs/>
        </w:rPr>
        <w:t xml:space="preserve">. </w:t>
      </w:r>
      <w:r w:rsidRPr="00A570FD">
        <w:rPr>
          <w:rFonts w:ascii="Aptos" w:hAnsi="Aptos"/>
        </w:rPr>
        <w:t xml:space="preserve">Intervention </w:t>
      </w:r>
      <w:r>
        <w:rPr>
          <w:rFonts w:ascii="Aptos" w:hAnsi="Aptos"/>
        </w:rPr>
        <w:t>p</w:t>
      </w:r>
      <w:r w:rsidRPr="00A570FD">
        <w:rPr>
          <w:rFonts w:ascii="Aptos" w:hAnsi="Aptos"/>
        </w:rPr>
        <w:t xml:space="preserve">rotocols in </w:t>
      </w:r>
      <w:r>
        <w:rPr>
          <w:rFonts w:ascii="Aptos" w:hAnsi="Aptos"/>
        </w:rPr>
        <w:t>e</w:t>
      </w:r>
      <w:r w:rsidRPr="00A570FD">
        <w:rPr>
          <w:rFonts w:ascii="Aptos" w:hAnsi="Aptos"/>
        </w:rPr>
        <w:t xml:space="preserve">ligible </w:t>
      </w:r>
      <w:r>
        <w:rPr>
          <w:rFonts w:ascii="Aptos" w:hAnsi="Aptos"/>
        </w:rPr>
        <w:t>t</w:t>
      </w:r>
      <w:r w:rsidRPr="00A570FD">
        <w:rPr>
          <w:rFonts w:ascii="Aptos" w:hAnsi="Aptos"/>
        </w:rPr>
        <w:t>rials</w:t>
      </w:r>
      <w:r>
        <w:rPr>
          <w:rFonts w:ascii="Aptos" w:hAnsi="Aptos"/>
        </w:rPr>
        <w:t>.</w:t>
      </w:r>
    </w:p>
    <w:p w14:paraId="6EA4F5B5" w14:textId="77777777" w:rsidR="00A570FD" w:rsidRPr="00656744" w:rsidRDefault="00A570FD" w:rsidP="00FD2BE2">
      <w:pPr>
        <w:spacing w:line="240" w:lineRule="auto"/>
        <w:rPr>
          <w:rFonts w:ascii="Aptos" w:hAnsi="Aptos"/>
        </w:rPr>
      </w:pPr>
    </w:p>
    <w:p w14:paraId="74B0C238" w14:textId="77777777" w:rsidR="00403E36" w:rsidRDefault="00403E36"/>
    <w:sectPr w:rsidR="00403E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44"/>
    <w:rsid w:val="00177B44"/>
    <w:rsid w:val="001F6EC7"/>
    <w:rsid w:val="00201B84"/>
    <w:rsid w:val="00360C86"/>
    <w:rsid w:val="00403E36"/>
    <w:rsid w:val="004B745D"/>
    <w:rsid w:val="00741961"/>
    <w:rsid w:val="00A570FD"/>
    <w:rsid w:val="00C4416A"/>
    <w:rsid w:val="00FD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9CBFBD"/>
  <w15:chartTrackingRefBased/>
  <w15:docId w15:val="{D678867D-B077-4986-A039-133126430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0FD"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B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PK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P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PK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2"/>
      <w:lang w:val="en-PK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2"/>
      <w:lang w:val="en-PK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2"/>
      <w:lang w:val="en-PK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2"/>
      <w:lang w:val="en-PK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2"/>
      <w:lang w:val="en-PK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2"/>
      <w:lang w:val="en-PK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44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44"/>
    <w:rPr>
      <w:rFonts w:eastAsiaTheme="majorEastAsia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44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44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44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44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77B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PK"/>
    </w:rPr>
  </w:style>
  <w:style w:type="character" w:customStyle="1" w:styleId="TitleChar">
    <w:name w:val="Title Char"/>
    <w:basedOn w:val="DefaultParagraphFont"/>
    <w:link w:val="Title"/>
    <w:uiPriority w:val="10"/>
    <w:rsid w:val="00177B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PK"/>
    </w:rPr>
  </w:style>
  <w:style w:type="character" w:customStyle="1" w:styleId="SubtitleChar">
    <w:name w:val="Subtitle Char"/>
    <w:basedOn w:val="DefaultParagraphFont"/>
    <w:link w:val="Subtitle"/>
    <w:uiPriority w:val="11"/>
    <w:rsid w:val="00177B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44"/>
    <w:pPr>
      <w:spacing w:before="160"/>
      <w:jc w:val="center"/>
    </w:pPr>
    <w:rPr>
      <w:i/>
      <w:iCs/>
      <w:color w:val="404040" w:themeColor="text1" w:themeTint="BF"/>
      <w:szCs w:val="22"/>
      <w:lang w:val="en-PK"/>
    </w:rPr>
  </w:style>
  <w:style w:type="character" w:customStyle="1" w:styleId="QuoteChar">
    <w:name w:val="Quote Char"/>
    <w:basedOn w:val="DefaultParagraphFont"/>
    <w:link w:val="Quote"/>
    <w:uiPriority w:val="29"/>
    <w:rsid w:val="00177B44"/>
    <w:rPr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177B44"/>
    <w:pPr>
      <w:ind w:left="720"/>
      <w:contextualSpacing/>
    </w:pPr>
    <w:rPr>
      <w:szCs w:val="22"/>
      <w:lang w:val="en-PK"/>
    </w:rPr>
  </w:style>
  <w:style w:type="character" w:styleId="IntenseEmphasis">
    <w:name w:val="Intense Emphasis"/>
    <w:basedOn w:val="DefaultParagraphFont"/>
    <w:uiPriority w:val="21"/>
    <w:qFormat/>
    <w:rsid w:val="00177B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  <w:lang w:val="en-PK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44"/>
    <w:rPr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177B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57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8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514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6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647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939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5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90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96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28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35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95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446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669</Words>
  <Characters>4339</Characters>
  <Application>Microsoft Office Word</Application>
  <DocSecurity>0</DocSecurity>
  <Lines>151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Farooq Ahmad</dc:creator>
  <cp:keywords/>
  <dc:description/>
  <cp:lastModifiedBy>Farooq Ahmad</cp:lastModifiedBy>
  <cp:revision>3</cp:revision>
  <dcterms:created xsi:type="dcterms:W3CDTF">2024-12-29T07:00:00Z</dcterms:created>
  <dcterms:modified xsi:type="dcterms:W3CDTF">2025-03-09T05:49:00Z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23961ba2f0b1a128bb67fbf9963f197d5438f23f913e29c7fc8f8c31a0eb0e91</vt:lpwstr>
  </property>
</Properties>
</file>