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16697" w14:textId="5C752138" w:rsidR="00E11B52" w:rsidRPr="00BC11E1" w:rsidRDefault="00070CD6" w:rsidP="00BC11E1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070CD6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</w:p>
    <w:p w14:paraId="371C9214" w14:textId="11DD3B8A" w:rsidR="00070CD6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0CD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S1. Correlation heatmap showing correlation coefficients for 39 differentially expressed PI3K signaling-related genes. </w:t>
      </w:r>
      <w:r w:rsidRPr="00070CD6">
        <w:rPr>
          <w:rFonts w:ascii="Times New Roman" w:hAnsi="Times New Roman" w:cs="Times New Roman"/>
          <w:sz w:val="24"/>
          <w:szCs w:val="24"/>
        </w:rPr>
        <w:t>The abscissions and ordinates are DEGs. A positive correlation is shown in blue, and a negative correlation is shown in red. The larger the circle's size, the more significant the correlation.</w:t>
      </w:r>
    </w:p>
    <w:p w14:paraId="37075AB1" w14:textId="58C56102" w:rsidR="003C39EC" w:rsidRPr="00070CD6" w:rsidRDefault="003C39EC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0CD6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2761EB" wp14:editId="115FF619">
            <wp:extent cx="5274310" cy="4624705"/>
            <wp:effectExtent l="0" t="0" r="2540" b="4445"/>
            <wp:docPr id="2653379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337943" name="图片 2653379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0EDE1" w14:textId="77777777" w:rsidR="003C39EC" w:rsidRPr="00070CD6" w:rsidRDefault="003C39EC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8FAABF" w14:textId="3C6B8374" w:rsidR="00E354CC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0CD6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 xml:space="preserve">Identification of the </w:t>
      </w:r>
      <w:r w:rsidRPr="00070CD6">
        <w:rPr>
          <w:rFonts w:ascii="Times New Roman" w:hAnsi="Times New Roman" w:cs="Times New Roman" w:hint="eastAsia"/>
          <w:sz w:val="24"/>
          <w:szCs w:val="24"/>
        </w:rPr>
        <w:t>PI3K</w:t>
      </w:r>
      <w:r w:rsidRPr="00070CD6">
        <w:rPr>
          <w:rFonts w:ascii="Times New Roman" w:hAnsi="Times New Roman" w:cs="Times New Roman"/>
          <w:sz w:val="24"/>
          <w:szCs w:val="24"/>
        </w:rPr>
        <w:t xml:space="preserve"> clusters based on PI3K signaling-related differentially expressed genes (DEGs). 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70CD6">
        <w:rPr>
          <w:rFonts w:ascii="Times New Roman" w:hAnsi="Times New Roman" w:cs="Times New Roman"/>
          <w:sz w:val="24"/>
          <w:szCs w:val="24"/>
        </w:rPr>
        <w:t>) Consensus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clustering matrix when k is 2. 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70CD6">
        <w:rPr>
          <w:rFonts w:ascii="Times New Roman" w:hAnsi="Times New Roman" w:cs="Times New Roman"/>
          <w:sz w:val="24"/>
          <w:szCs w:val="24"/>
        </w:rPr>
        <w:t>) Representative cumulative distribution function (CDF) curve. 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70CD6">
        <w:rPr>
          <w:rFonts w:ascii="Times New Roman" w:hAnsi="Times New Roman" w:cs="Times New Roman"/>
          <w:sz w:val="24"/>
          <w:szCs w:val="24"/>
        </w:rPr>
        <w:t>) Representative CDF delta area curve.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70CD6">
        <w:rPr>
          <w:rFonts w:ascii="Times New Roman" w:hAnsi="Times New Roman" w:cs="Times New Roman"/>
          <w:sz w:val="24"/>
          <w:szCs w:val="24"/>
        </w:rPr>
        <w:t>) Consensus clustering score when k is 2–</w:t>
      </w:r>
      <w:r w:rsidRPr="00070CD6">
        <w:rPr>
          <w:rFonts w:ascii="Times New Roman" w:hAnsi="Times New Roman" w:cs="Times New Roman" w:hint="eastAsia"/>
          <w:sz w:val="24"/>
          <w:szCs w:val="24"/>
        </w:rPr>
        <w:t>6</w:t>
      </w:r>
      <w:r w:rsidRPr="00070CD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627DA3" w14:textId="5E304F63" w:rsidR="00E354CC" w:rsidRPr="00070CD6" w:rsidRDefault="003C39EC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0C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626114" wp14:editId="4CEBE93F">
            <wp:extent cx="5274310" cy="3580130"/>
            <wp:effectExtent l="0" t="0" r="2540" b="1270"/>
            <wp:docPr id="5457273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27319" name="图片 5457273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EC53F" w14:textId="77777777" w:rsidR="00070CD6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2C964F" w14:textId="25FB9D7D" w:rsidR="00DD3860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0CD6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70CD6">
        <w:rPr>
          <w:rFonts w:ascii="Times New Roman" w:eastAsia="Malgun Gothic" w:hAnsi="Times New Roman" w:cs="Times New Roman" w:hint="eastAsia"/>
          <w:b/>
          <w:bCs/>
          <w:sz w:val="24"/>
          <w:szCs w:val="24"/>
          <w:lang w:eastAsia="ko-KR"/>
        </w:rPr>
        <w:t xml:space="preserve"> </w:t>
      </w:r>
      <w:r w:rsidRPr="00070CD6"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</w:rPr>
        <w:t>Immune cell infiltration analysis using the IOBR method.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The abscissa represents the samples, which are divided into control and stroke groups, with stroke group 1 and 2 derived from different datasets. The ordinate indicates various immune infiltration algorithms, each encompassing distinct immune or stromal cells.</w:t>
      </w:r>
    </w:p>
    <w:p w14:paraId="71C3FDDE" w14:textId="12BD51F4" w:rsidR="003C39EC" w:rsidRPr="00070CD6" w:rsidRDefault="003C39EC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070C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FDC4E7" wp14:editId="32F71BA2">
            <wp:extent cx="5274310" cy="5147945"/>
            <wp:effectExtent l="0" t="0" r="2540" b="0"/>
            <wp:docPr id="162873096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730964" name="图片 162873096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9CF7F" w14:textId="77777777" w:rsidR="00070CD6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68F254" w14:textId="398A0624" w:rsidR="00F422C6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0CD6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Identification of the gene clusters based on the differentially expressed genes (DEGs) of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 PI3K </w:t>
      </w:r>
      <w:r w:rsidRPr="00070CD6">
        <w:rPr>
          <w:rFonts w:ascii="Times New Roman" w:hAnsi="Times New Roman" w:cs="Times New Roman"/>
          <w:sz w:val="24"/>
          <w:szCs w:val="24"/>
        </w:rPr>
        <w:t>clusters. 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70CD6">
        <w:rPr>
          <w:rFonts w:ascii="Times New Roman" w:hAnsi="Times New Roman" w:cs="Times New Roman"/>
          <w:sz w:val="24"/>
          <w:szCs w:val="24"/>
        </w:rPr>
        <w:t xml:space="preserve">) Consensus clustering based on </w:t>
      </w:r>
      <w:r w:rsidRPr="00070CD6">
        <w:rPr>
          <w:rFonts w:ascii="Times New Roman" w:eastAsia="Malgun Gothic" w:hAnsi="Times New Roman" w:cs="Times New Roman" w:hint="eastAsia"/>
          <w:sz w:val="24"/>
          <w:szCs w:val="24"/>
          <w:lang w:eastAsia="ko-KR"/>
        </w:rPr>
        <w:t>112</w:t>
      </w:r>
      <w:r w:rsidRPr="00070CD6">
        <w:rPr>
          <w:rFonts w:ascii="Times New Roman" w:hAnsi="Times New Roman" w:cs="Times New Roman"/>
          <w:sz w:val="24"/>
          <w:szCs w:val="24"/>
        </w:rPr>
        <w:t xml:space="preserve"> DEGs and the consensus clustering matrix when k is 2.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70CD6">
        <w:rPr>
          <w:rFonts w:ascii="Times New Roman" w:hAnsi="Times New Roman" w:cs="Times New Roman"/>
          <w:sz w:val="24"/>
          <w:szCs w:val="24"/>
        </w:rPr>
        <w:t>)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Representative cumulative distribution function (CDF) curve. 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70CD6">
        <w:rPr>
          <w:rFonts w:ascii="Times New Roman" w:hAnsi="Times New Roman" w:cs="Times New Roman"/>
          <w:sz w:val="24"/>
          <w:szCs w:val="24"/>
        </w:rPr>
        <w:t>) Representative CDF delta area curve. (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70CD6">
        <w:rPr>
          <w:rFonts w:ascii="Times New Roman" w:hAnsi="Times New Roman" w:cs="Times New Roman"/>
          <w:sz w:val="24"/>
          <w:szCs w:val="24"/>
        </w:rPr>
        <w:t>) Consensus clustering score when k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is 2–</w:t>
      </w:r>
      <w:r w:rsidRPr="00070CD6">
        <w:rPr>
          <w:rFonts w:ascii="Times New Roman" w:hAnsi="Times New Roman" w:cs="Times New Roman" w:hint="eastAsia"/>
          <w:sz w:val="24"/>
          <w:szCs w:val="24"/>
        </w:rPr>
        <w:t>6</w:t>
      </w:r>
      <w:r w:rsidRPr="00070CD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924A91" w14:textId="6B92A271" w:rsidR="003C39EC" w:rsidRPr="00070CD6" w:rsidRDefault="003C39EC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0C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6ECAC0" wp14:editId="3FE0ED29">
            <wp:extent cx="5274310" cy="3488055"/>
            <wp:effectExtent l="0" t="0" r="2540" b="0"/>
            <wp:docPr id="205008502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085023" name="图片 205008502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C519D" w14:textId="77777777" w:rsidR="00070CD6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CFA343" w14:textId="34B3A2DE" w:rsidR="009152B2" w:rsidRPr="00070CD6" w:rsidRDefault="00070CD6" w:rsidP="00070CD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0CD6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070C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70CD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 xml:space="preserve">Drug molecules were detected from the </w:t>
      </w:r>
      <w:proofErr w:type="spellStart"/>
      <w:r w:rsidRPr="00070CD6">
        <w:rPr>
          <w:rFonts w:ascii="Times New Roman" w:hAnsi="Times New Roman" w:cs="Times New Roman"/>
          <w:sz w:val="24"/>
          <w:szCs w:val="24"/>
        </w:rPr>
        <w:t>DSigDB</w:t>
      </w:r>
      <w:proofErr w:type="spellEnd"/>
      <w:r w:rsidRPr="00070CD6">
        <w:rPr>
          <w:rFonts w:ascii="Times New Roman" w:hAnsi="Times New Roman" w:cs="Times New Roman"/>
          <w:sz w:val="24"/>
          <w:szCs w:val="24"/>
        </w:rPr>
        <w:t xml:space="preserve"> database on </w:t>
      </w:r>
      <w:proofErr w:type="spellStart"/>
      <w:r w:rsidRPr="00070CD6">
        <w:rPr>
          <w:rFonts w:ascii="Times New Roman" w:hAnsi="Times New Roman" w:cs="Times New Roman"/>
          <w:sz w:val="24"/>
          <w:szCs w:val="24"/>
        </w:rPr>
        <w:t>Enrichr</w:t>
      </w:r>
      <w:proofErr w:type="spellEnd"/>
      <w:r w:rsidRPr="00070C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70CD6">
        <w:rPr>
          <w:rFonts w:ascii="Times New Roman" w:hAnsi="Times New Roman" w:cs="Times New Roman"/>
          <w:sz w:val="24"/>
          <w:szCs w:val="24"/>
        </w:rPr>
        <w:t>platform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70CD6">
        <w:rPr>
          <w:rFonts w:ascii="Times New Roman" w:hAnsi="Times New Roman" w:cs="Times New Roman"/>
          <w:sz w:val="24"/>
          <w:szCs w:val="24"/>
        </w:rPr>
        <w:t>and these drugs represented possible promising drugs for</w:t>
      </w:r>
      <w:r w:rsidRPr="00070CD6">
        <w:rPr>
          <w:rFonts w:ascii="Times New Roman" w:hAnsi="Times New Roman" w:cs="Times New Roman" w:hint="eastAsia"/>
          <w:sz w:val="24"/>
          <w:szCs w:val="24"/>
        </w:rPr>
        <w:t xml:space="preserve"> IS</w:t>
      </w:r>
      <w:r w:rsidRPr="00070CD6">
        <w:rPr>
          <w:rFonts w:ascii="Times New Roman" w:hAnsi="Times New Roman" w:cs="Times New Roman"/>
          <w:sz w:val="24"/>
          <w:szCs w:val="24"/>
        </w:rPr>
        <w:t xml:space="preserve">. The circle graph shows the top 20 candidate drugs. The first circle represents the Drug ID, differentiated by colors into three categories, with each category indicating a different number of genes; the second circle depicts the </w:t>
      </w:r>
      <w:r w:rsidRPr="00070CD6">
        <w:rPr>
          <w:rFonts w:ascii="Times New Roman" w:hAnsi="Times New Roman" w:cs="Times New Roman" w:hint="eastAsia"/>
          <w:sz w:val="24"/>
          <w:szCs w:val="24"/>
        </w:rPr>
        <w:t>c</w:t>
      </w:r>
      <w:r w:rsidRPr="00070CD6">
        <w:rPr>
          <w:rFonts w:ascii="Times New Roman" w:hAnsi="Times New Roman" w:cs="Times New Roman"/>
          <w:sz w:val="24"/>
          <w:szCs w:val="24"/>
        </w:rPr>
        <w:t xml:space="preserve">ombined </w:t>
      </w:r>
      <w:r w:rsidRPr="00070CD6">
        <w:rPr>
          <w:rFonts w:ascii="Times New Roman" w:hAnsi="Times New Roman" w:cs="Times New Roman" w:hint="eastAsia"/>
          <w:sz w:val="24"/>
          <w:szCs w:val="24"/>
        </w:rPr>
        <w:t>s</w:t>
      </w:r>
      <w:r w:rsidRPr="00070CD6">
        <w:rPr>
          <w:rFonts w:ascii="Times New Roman" w:hAnsi="Times New Roman" w:cs="Times New Roman"/>
          <w:sz w:val="24"/>
          <w:szCs w:val="24"/>
        </w:rPr>
        <w:t xml:space="preserve">core, where the gradient of the color signifies the P-value, with darker shades corresponding to smaller P-values; the third circle illustrates the Odds Ratio values; and finally, </w:t>
      </w:r>
      <w:r w:rsidRPr="00070CD6">
        <w:rPr>
          <w:rFonts w:ascii="Times New Roman" w:hAnsi="Times New Roman" w:cs="Times New Roman" w:hint="eastAsia"/>
          <w:sz w:val="24"/>
          <w:szCs w:val="24"/>
        </w:rPr>
        <w:t>e</w:t>
      </w:r>
      <w:r w:rsidRPr="00070CD6">
        <w:rPr>
          <w:rFonts w:ascii="Times New Roman" w:hAnsi="Times New Roman" w:cs="Times New Roman"/>
          <w:sz w:val="24"/>
          <w:szCs w:val="24"/>
        </w:rPr>
        <w:t>ach column in the inner circle corresponds to an entry, and the higher the column height, the smaller the p-value.</w:t>
      </w:r>
    </w:p>
    <w:p w14:paraId="36518538" w14:textId="6A7BE647" w:rsidR="006C4F18" w:rsidRPr="003C39EC" w:rsidRDefault="003C39EC" w:rsidP="006E63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0ECF74F" wp14:editId="0216CDC7">
            <wp:extent cx="5274310" cy="4105910"/>
            <wp:effectExtent l="0" t="0" r="2540" b="8890"/>
            <wp:docPr id="14868986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898633" name="图片 148689863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4F18" w:rsidRPr="003C39EC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57CD3" w14:textId="77777777" w:rsidR="001C5414" w:rsidRDefault="001C5414" w:rsidP="005E0DF3">
      <w:pPr>
        <w:rPr>
          <w:rFonts w:hint="eastAsia"/>
        </w:rPr>
      </w:pPr>
      <w:r>
        <w:separator/>
      </w:r>
    </w:p>
  </w:endnote>
  <w:endnote w:type="continuationSeparator" w:id="0">
    <w:p w14:paraId="4F895EDA" w14:textId="77777777" w:rsidR="001C5414" w:rsidRDefault="001C5414" w:rsidP="005E0DF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3785727"/>
      <w:docPartObj>
        <w:docPartGallery w:val="Page Numbers (Bottom of Page)"/>
        <w:docPartUnique/>
      </w:docPartObj>
    </w:sdtPr>
    <w:sdtContent>
      <w:p w14:paraId="1C8DCD41" w14:textId="58BA22D9" w:rsidR="00750913" w:rsidRDefault="00750913">
        <w:pPr>
          <w:pStyle w:val="a5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FDAA" w14:textId="77777777" w:rsidR="00750913" w:rsidRDefault="00750913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3FAC2" w14:textId="77777777" w:rsidR="001C5414" w:rsidRDefault="001C5414" w:rsidP="005E0DF3">
      <w:pPr>
        <w:rPr>
          <w:rFonts w:hint="eastAsia"/>
        </w:rPr>
      </w:pPr>
      <w:r>
        <w:separator/>
      </w:r>
    </w:p>
  </w:footnote>
  <w:footnote w:type="continuationSeparator" w:id="0">
    <w:p w14:paraId="3E870FD9" w14:textId="77777777" w:rsidR="001C5414" w:rsidRDefault="001C5414" w:rsidP="005E0DF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E35"/>
    <w:rsid w:val="000317DC"/>
    <w:rsid w:val="00070CD6"/>
    <w:rsid w:val="000A564E"/>
    <w:rsid w:val="001006C1"/>
    <w:rsid w:val="001211D2"/>
    <w:rsid w:val="001C5414"/>
    <w:rsid w:val="002B49E5"/>
    <w:rsid w:val="002B565B"/>
    <w:rsid w:val="00352980"/>
    <w:rsid w:val="003A522F"/>
    <w:rsid w:val="003C39EC"/>
    <w:rsid w:val="003D79C3"/>
    <w:rsid w:val="003E2492"/>
    <w:rsid w:val="00445220"/>
    <w:rsid w:val="00464531"/>
    <w:rsid w:val="00486404"/>
    <w:rsid w:val="004A68D4"/>
    <w:rsid w:val="00536D18"/>
    <w:rsid w:val="005450D3"/>
    <w:rsid w:val="00561EF4"/>
    <w:rsid w:val="00584982"/>
    <w:rsid w:val="00593B4C"/>
    <w:rsid w:val="005E0DF3"/>
    <w:rsid w:val="006479CF"/>
    <w:rsid w:val="006832E6"/>
    <w:rsid w:val="00686485"/>
    <w:rsid w:val="006A4746"/>
    <w:rsid w:val="006C4F18"/>
    <w:rsid w:val="006E6324"/>
    <w:rsid w:val="00750913"/>
    <w:rsid w:val="0077780D"/>
    <w:rsid w:val="007800B9"/>
    <w:rsid w:val="007947BC"/>
    <w:rsid w:val="00827AD5"/>
    <w:rsid w:val="00863BF7"/>
    <w:rsid w:val="00883CB5"/>
    <w:rsid w:val="008B21FB"/>
    <w:rsid w:val="008C339C"/>
    <w:rsid w:val="00912CF2"/>
    <w:rsid w:val="009152B2"/>
    <w:rsid w:val="00922DBE"/>
    <w:rsid w:val="0096726C"/>
    <w:rsid w:val="0099727D"/>
    <w:rsid w:val="009F5CDF"/>
    <w:rsid w:val="00B1559B"/>
    <w:rsid w:val="00BC11E1"/>
    <w:rsid w:val="00BE7336"/>
    <w:rsid w:val="00C85668"/>
    <w:rsid w:val="00CC6076"/>
    <w:rsid w:val="00CF28E4"/>
    <w:rsid w:val="00D6572C"/>
    <w:rsid w:val="00DD3860"/>
    <w:rsid w:val="00DD5F9D"/>
    <w:rsid w:val="00E11B52"/>
    <w:rsid w:val="00E354CC"/>
    <w:rsid w:val="00E37E35"/>
    <w:rsid w:val="00F22906"/>
    <w:rsid w:val="00F3231A"/>
    <w:rsid w:val="00F422C6"/>
    <w:rsid w:val="00F4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7777DA"/>
  <w15:chartTrackingRefBased/>
  <w15:docId w15:val="{21EBEF61-9C37-4D82-8C1C-5FB88AB19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0D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0D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0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0D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4739</TotalTime>
  <Pages>5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莎 莎</dc:creator>
  <cp:keywords/>
  <dc:description/>
  <cp:lastModifiedBy>莎 莎</cp:lastModifiedBy>
  <cp:revision>53</cp:revision>
  <dcterms:created xsi:type="dcterms:W3CDTF">2024-06-22T07:52:00Z</dcterms:created>
  <dcterms:modified xsi:type="dcterms:W3CDTF">2025-02-08T15:20:00Z</dcterms:modified>
</cp:coreProperties>
</file>