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000014D" w14:textId="77777777" w:rsidR="0016142B" w:rsidRDefault="00000000">
      <w:pPr>
        <w:pStyle w:val="Heading1"/>
      </w:pPr>
      <w:bookmarkStart w:id="0" w:name="_eso9mmkhiao3" w:colFirst="0" w:colLast="0"/>
      <w:bookmarkEnd w:id="0"/>
      <w:r>
        <w:t>Extended methods</w:t>
      </w:r>
    </w:p>
    <w:p w14:paraId="0000014E" w14:textId="77777777" w:rsidR="0016142B" w:rsidRDefault="0016142B"/>
    <w:p w14:paraId="0000014F" w14:textId="77777777" w:rsidR="0016142B" w:rsidRDefault="00000000">
      <w:pPr>
        <w:pStyle w:val="Heading2"/>
      </w:pPr>
      <w:bookmarkStart w:id="1" w:name="_yvb4vdc7g8xj" w:colFirst="0" w:colLast="0"/>
      <w:bookmarkEnd w:id="1"/>
      <w:r>
        <w:t xml:space="preserve">Mass spectrometry-based proteomics analyses </w:t>
      </w:r>
    </w:p>
    <w:p w14:paraId="00000150" w14:textId="77777777" w:rsidR="0016142B" w:rsidRDefault="0016142B"/>
    <w:p w14:paraId="00000151" w14:textId="77777777" w:rsidR="0016142B" w:rsidRDefault="00000000">
      <w:pPr>
        <w:pStyle w:val="Heading3"/>
        <w:spacing w:before="240" w:after="280" w:line="32" w:lineRule="auto"/>
        <w:jc w:val="both"/>
      </w:pPr>
      <w:bookmarkStart w:id="2" w:name="_iprblgpbnhyd" w:colFirst="0" w:colLast="0"/>
      <w:bookmarkEnd w:id="2"/>
      <w:r>
        <w:t>Sample preparation for full proteome analyses</w:t>
      </w:r>
    </w:p>
    <w:p w14:paraId="00000152" w14:textId="77777777" w:rsidR="0016142B" w:rsidRDefault="00000000">
      <w:r>
        <w:t>Samples were denatured by adding 2% final SDS, 50 mM Tris (pH 8.5), proteins were then reduced with DTT and alkylated with iodoacetamide as described previously [2]. Acetone was added to conditioned media (final 80% v/v) to precipitate proteins, precipitates were solubilized with 2M Urea/10 mM HEPES and digested with Trypsin (Promega) and LysC (Wako) for 16h at RT. Proteolytic digest was stopped by addition of 0.5% (v/v) TFA. Peptides were desalted on reversed phase C18 stage tips and eluted with 80% (v/v) acetonitrile in 0.5% (v/v) acetic acid. Eluates were collected in PCR tubes and dried using a SpeedVac centrifuge (Eppendorf, Concentrator plus) at 60°C. Peptides were suspended in buffer A* (2% acetonitrile (v/v), 0.1% trifluoroacetic acid (v/v)) and sonicated (Branson Ultrasonics, Ultrasonic Cleaner Model 2510).</w:t>
      </w:r>
    </w:p>
    <w:p w14:paraId="00000153" w14:textId="77777777" w:rsidR="0016142B" w:rsidRDefault="0016142B"/>
    <w:p w14:paraId="00000154" w14:textId="77777777" w:rsidR="0016142B" w:rsidRDefault="00000000">
      <w:pPr>
        <w:pStyle w:val="Heading3"/>
        <w:spacing w:before="280" w:after="280" w:line="32" w:lineRule="auto"/>
        <w:jc w:val="both"/>
      </w:pPr>
      <w:bookmarkStart w:id="3" w:name="_k5hsim62em08" w:colFirst="0" w:colLast="0"/>
      <w:bookmarkEnd w:id="3"/>
      <w:r>
        <w:t>UHPLC and mass spectrometry</w:t>
      </w:r>
    </w:p>
    <w:p w14:paraId="00000155" w14:textId="77777777" w:rsidR="0016142B" w:rsidRDefault="00000000">
      <w:r>
        <w:t>Samples were analysed by applying LC-MS instrumentation, comprising an EASY-nLC 1200 ultrahigh-pressure system (Thermo Fisher Scientific) coupled to Orbitrap Exploris 480 instrument (Thermo Fisher Scientific) with a nano-electrospray ion source (Thermo Fisher Scientific).</w:t>
      </w:r>
    </w:p>
    <w:p w14:paraId="00000156" w14:textId="77777777" w:rsidR="0016142B" w:rsidRDefault="00000000">
      <w:r>
        <w:t>Peptides were loaded on a 50 cm reversed phase column (75 μm inner diameter, packed in house with ReproSil-Pur C18-AQ 1.9 μm resin (Dr. Maisch GmbH)). Column temperature was maintained at 60°C using a homemade column oven. An EASY-nLC 1200 system (Thermo Fisher Scientific) was directly coupled online with the mass spectrometer (Q Exactive HF-X, Thermo Fisher Scientific) via a nano-electrospray source, and peptides were separated with a binary buffer system of buffer A (0.1% formic acid (FA)) and buffer B (80% acetonitrile plus 0.1% FA), at a flow rate of 300 nl/min. Peptides were eluted with gradient of 5–60% buffer B (0.1% (v/v) FA, 80% (v/v) ACN). After each gradient, the column was washed with 95% buffer B. MS data were acquired with a Top12 data-dependent MS/MS scan method (topN method) with full MS (scan range: 350–1,400 m/z; resolution: 60,000; maximum injection time: 25 ms; normalized AGC target: 300%) and MS/MS scans (resolution: 15,000, isolation window: 1.3 m/z, normalized collision energy: 30%, maximum injection time: 22 ms, normalized AGC target: 200%, dynamic exclusion: 30 s).</w:t>
      </w:r>
    </w:p>
    <w:p w14:paraId="00000157" w14:textId="77777777" w:rsidR="0016142B" w:rsidRDefault="0016142B">
      <w:pPr>
        <w:spacing w:line="240" w:lineRule="auto"/>
      </w:pPr>
    </w:p>
    <w:p w14:paraId="00000158" w14:textId="77777777" w:rsidR="0016142B" w:rsidRDefault="00000000">
      <w:pPr>
        <w:pStyle w:val="Heading3"/>
        <w:spacing w:before="280" w:after="280" w:line="32" w:lineRule="auto"/>
        <w:jc w:val="both"/>
      </w:pPr>
      <w:bookmarkStart w:id="4" w:name="_z40tjrobrvb2" w:colFirst="0" w:colLast="0"/>
      <w:bookmarkEnd w:id="4"/>
      <w:r>
        <w:t>LC-MS/MS data analysis</w:t>
      </w:r>
    </w:p>
    <w:p w14:paraId="00000159" w14:textId="77777777" w:rsidR="0016142B" w:rsidRDefault="00000000">
      <w:r>
        <w:t xml:space="preserve">Protein identification and quantification from mass spectrometry raw files was performed using the computational proteomics platform MaxQuant (version 1.6.2.1)[3]. Human mass spectrometry/mass spectrometry spectra were searched against the respective UniProt FASTA databases and a common contaminant database by the implemented Andromeda search engine[4]. Trypsin/P with a minimum peptide length of 7 amino acids and a maximum of two missed cleavages was employed as digestion mode. Cysteine carbamidomethylation was set as fixed and methionine oxidation and N-terminal acetylation as variable modifications. False discovery rates (FDR) were 1 % at the peptide and protein level. Peptide identification was performed with an allowed initial precursor mass deviation up to 4.5 ppm and an allowed fragment mass deviation of 20 ppm. Protein identifications required one unique or razor peptide. For nonlinear retention time alignment of all samples, the “Match between runs” option of </w:t>
      </w:r>
      <w:r>
        <w:lastRenderedPageBreak/>
        <w:t>MaxQuant was used. The time windows for matching peptide identifications across different samples and to search for the best alignment function were set to 0.7 min and 20 min. For label-free quantification (LFQ) via MaxLFQ, a minimum ratio count of 1 was used [5].</w:t>
      </w:r>
    </w:p>
    <w:p w14:paraId="0000015A" w14:textId="77777777" w:rsidR="0016142B" w:rsidRDefault="00000000">
      <w:pPr>
        <w:pStyle w:val="Heading3"/>
      </w:pPr>
      <w:bookmarkStart w:id="5" w:name="_b757xlfsby10" w:colFirst="0" w:colLast="0"/>
      <w:bookmarkEnd w:id="5"/>
      <w:r>
        <w:t xml:space="preserve">References proteome analysis </w:t>
      </w:r>
    </w:p>
    <w:p w14:paraId="0000015B" w14:textId="77777777" w:rsidR="0016142B" w:rsidRDefault="00000000">
      <w:r>
        <w:t>1. Beutel, B., et al., New in Vivo Compatible Matrix Metalloproteinase (MMP)-2 and MMP-9 Inhibitors. Bioconjug Chem, 2018. 29(11): p. 3715-3725.</w:t>
      </w:r>
    </w:p>
    <w:p w14:paraId="0000015C" w14:textId="77777777" w:rsidR="0016142B" w:rsidRDefault="00000000">
      <w:r>
        <w:t>2. Meissner, F., et al., Direct proteomic quantification of the secretome of activated immune cells. Science, 2013. 340(6131): p. 475-8.</w:t>
      </w:r>
    </w:p>
    <w:p w14:paraId="0000015D" w14:textId="77777777" w:rsidR="0016142B" w:rsidRDefault="00000000">
      <w:r>
        <w:t>3. Cox, J. and M. Mann, MaxQuant enables high peptide identification rates, individualized p.p.b.-range mass accuracies and proteome-wide protein quantification. Nat Biotechnol, 2008. 26(12): p. 1367-72.</w:t>
      </w:r>
    </w:p>
    <w:p w14:paraId="0000015E" w14:textId="77777777" w:rsidR="0016142B" w:rsidRDefault="00000000">
      <w:r>
        <w:t>4. Cox, J., et al., Andromeda: a peptide search engine integrated into the MaxQuant environment. J Proteome Res, 2011. 10(4): p. 1794-805.</w:t>
      </w:r>
    </w:p>
    <w:p w14:paraId="0000015F" w14:textId="77777777" w:rsidR="0016142B" w:rsidRDefault="00000000">
      <w:r>
        <w:t>5. Cox, J., et al., Accurate proteome-wide label-free quantification by delayed normalization and maximal peptide ratio extraction, termed MaxLFQ. Mol Cell Proteomics, 2014. 13(9): p. 2513-26.</w:t>
      </w:r>
    </w:p>
    <w:p w14:paraId="00000160" w14:textId="77777777" w:rsidR="0016142B" w:rsidRDefault="0016142B"/>
    <w:p w14:paraId="00000161" w14:textId="77777777" w:rsidR="0016142B" w:rsidRDefault="0016142B"/>
    <w:p w14:paraId="00000162" w14:textId="77777777" w:rsidR="0016142B" w:rsidRDefault="00000000">
      <w:pPr>
        <w:pStyle w:val="Heading2"/>
      </w:pPr>
      <w:bookmarkStart w:id="6" w:name="_ql67z6a7sjc0" w:colFirst="0" w:colLast="0"/>
      <w:bookmarkEnd w:id="6"/>
      <w:r>
        <w:t>mRNA sequencing</w:t>
      </w:r>
    </w:p>
    <w:p w14:paraId="00000163" w14:textId="77777777" w:rsidR="0016142B" w:rsidRDefault="00000000">
      <w:pPr>
        <w:pStyle w:val="Heading3"/>
      </w:pPr>
      <w:bookmarkStart w:id="7" w:name="_if0y0cshzqry" w:colFirst="0" w:colLast="0"/>
      <w:bookmarkEnd w:id="7"/>
      <w:r>
        <w:t>Sequencing</w:t>
      </w:r>
    </w:p>
    <w:p w14:paraId="00000164" w14:textId="77777777" w:rsidR="0016142B" w:rsidRDefault="00000000">
      <w:r>
        <w:t>RNA extraction, library preparation and sequencing was conducted at Azenta Life Sciences (South</w:t>
      </w:r>
    </w:p>
    <w:p w14:paraId="00000165" w14:textId="77777777" w:rsidR="0016142B" w:rsidRDefault="00000000">
      <w:r>
        <w:t>Plainfield, NJ, USA) as follows:</w:t>
      </w:r>
    </w:p>
    <w:p w14:paraId="00000166" w14:textId="77777777" w:rsidR="0016142B" w:rsidRDefault="0016142B"/>
    <w:p w14:paraId="00000167" w14:textId="77777777" w:rsidR="0016142B" w:rsidRDefault="00000000">
      <w:r>
        <w:t>Total RNA was extracted using Qiagen RNeasy Mini Kit following manufacturer’s instructions (Qiagen,</w:t>
      </w:r>
    </w:p>
    <w:p w14:paraId="00000168" w14:textId="77777777" w:rsidR="0016142B" w:rsidRDefault="00000000">
      <w:r>
        <w:t>Hilden, Germany). RNA samples were quantified using Qubit 4.0 Fluorometer (Life Technologies, Carlsbad, CA, USA) and RNA integrity was checked with RNA Kit on Agilent 5600 Fragment Analyzer (Agilent Technologies, Palo Alto, CA, USA).</w:t>
      </w:r>
    </w:p>
    <w:p w14:paraId="00000169" w14:textId="77777777" w:rsidR="0016142B" w:rsidRDefault="00000000">
      <w:r>
        <w:t>RNA sequencing libraries were prepared using the NEBNext Ultra II RNA Library Prep Kit for Illumina</w:t>
      </w:r>
    </w:p>
    <w:p w14:paraId="0000016A" w14:textId="77777777" w:rsidR="0016142B" w:rsidRDefault="00000000">
      <w:r>
        <w:t>following manufacturer’s instructions (NEB, Ipswich, MA, USA). Briefly, mRNAs were first enriched with</w:t>
      </w:r>
    </w:p>
    <w:p w14:paraId="0000016B" w14:textId="77777777" w:rsidR="0016142B" w:rsidRDefault="00000000">
      <w:r>
        <w:t>Oligo(dT) beads. Enriched mRNAs were fragmented for 15 minutes at 94 °C. First strand and second</w:t>
      </w:r>
    </w:p>
    <w:p w14:paraId="0000016C" w14:textId="77777777" w:rsidR="0016142B" w:rsidRDefault="00000000">
      <w:r>
        <w:t>strand cDNAs were subsequently synthesized. cDNA fragments were end repaired and adenylated at</w:t>
      </w:r>
    </w:p>
    <w:p w14:paraId="0000016D" w14:textId="77777777" w:rsidR="0016142B" w:rsidRDefault="00000000">
      <w:r>
        <w:t>3’ends, and universal adapters were ligated to cDNA fragments, followed by index addition and library enrichment by limited-cycle PCR. Sequencing libraries were validated using NGS Kit on the Agilent 5300 Fragment Analyzer (Agilent Technologies, Palo Alto, CA, USA), and quantified by using Qubit 4.0</w:t>
      </w:r>
    </w:p>
    <w:p w14:paraId="0000016E" w14:textId="77777777" w:rsidR="0016142B" w:rsidRDefault="00000000">
      <w:r>
        <w:t>Fluorometer (Invitrogen, Carlsbad, CA).</w:t>
      </w:r>
    </w:p>
    <w:p w14:paraId="0000016F" w14:textId="77777777" w:rsidR="0016142B" w:rsidRDefault="00000000">
      <w:r>
        <w:t>The sequencing libraries were multiplexed and loaded on the flowcell on the Illumina NovaSeq 6000</w:t>
      </w:r>
    </w:p>
    <w:p w14:paraId="00000170" w14:textId="77777777" w:rsidR="0016142B" w:rsidRDefault="00000000">
      <w:r>
        <w:t>instrument according to manufacturer’s instructions. The samples were sequenced using a 2x150 Pair-End (PE) configuration v1.5. Image analysis and base calling were conducted by the NovaSeq Control Software v1.7 on the NovaSeq instrument. Raw sequence data (.bcl files) generated from Illumina NovaSeq was converted into fastq files and de-multiplexed using Illumina bcl2fastq program version 2.20. One mismatch was allowed for index sequence identification.</w:t>
      </w:r>
    </w:p>
    <w:p w14:paraId="00000171" w14:textId="77777777" w:rsidR="0016142B" w:rsidRDefault="0016142B"/>
    <w:p w14:paraId="00000172" w14:textId="77777777" w:rsidR="0016142B" w:rsidRDefault="00000000">
      <w:pPr>
        <w:pStyle w:val="Heading3"/>
      </w:pPr>
      <w:bookmarkStart w:id="8" w:name="_a2oss3lllsu6" w:colFirst="0" w:colLast="0"/>
      <w:bookmarkEnd w:id="8"/>
      <w:r>
        <w:t>Data analysis</w:t>
      </w:r>
    </w:p>
    <w:p w14:paraId="00000173" w14:textId="77777777" w:rsidR="0016142B" w:rsidRDefault="00000000">
      <w:r>
        <w:t xml:space="preserve">First, we used STAR (v2.7.9a_2021-06-25) [1] to align the raw sequenced reads (.fastq/fastq.gz) to the reference genome (ftp://ftp.ensembl.org/pub/release-106/fasta/homo_sapiens/dna/Homo_sapiens.GRCh38.dna.primary_assembly.fa.gz) with reference </w:t>
      </w:r>
      <w:r>
        <w:lastRenderedPageBreak/>
        <w:t>annotation (ftp://ftp.ensembl.org/pub/release-106/gtf/homo_sapiens/Homo_sapiens.GRCh38.106.gtf.gz).</w:t>
      </w:r>
    </w:p>
    <w:p w14:paraId="00000174" w14:textId="77777777" w:rsidR="0016142B" w:rsidRDefault="00000000">
      <w:r>
        <w:t>STAR is a splice aware alignment tool to map reads obtained by RNA-seq to the reference genome, and using the option: --quantMode GeneCounts, STAR’ s will count the number of reads overlapping genes (gene counts) present in the reference transcriptome. The read alignments are output as a set of .bam files which are sorted and indexed using samtools [2].</w:t>
      </w:r>
    </w:p>
    <w:p w14:paraId="00000175" w14:textId="77777777" w:rsidR="0016142B" w:rsidRDefault="0016142B"/>
    <w:p w14:paraId="00000176" w14:textId="77777777" w:rsidR="0016142B" w:rsidRDefault="00000000">
      <w:pPr>
        <w:rPr>
          <w:rFonts w:ascii="Courier New" w:eastAsia="Courier New" w:hAnsi="Courier New" w:cs="Courier New"/>
        </w:rPr>
      </w:pPr>
      <w:r>
        <w:rPr>
          <w:rFonts w:ascii="Courier New" w:eastAsia="Courier New" w:hAnsi="Courier New" w:cs="Courier New"/>
        </w:rPr>
        <w:t>STAR relevant parameters:</w:t>
      </w:r>
    </w:p>
    <w:p w14:paraId="00000177" w14:textId="77777777" w:rsidR="0016142B" w:rsidRDefault="00000000">
      <w:pPr>
        <w:rPr>
          <w:rFonts w:ascii="Courier New" w:eastAsia="Courier New" w:hAnsi="Courier New" w:cs="Courier New"/>
        </w:rPr>
      </w:pPr>
      <w:r>
        <w:rPr>
          <w:rFonts w:ascii="Courier New" w:eastAsia="Courier New" w:hAnsi="Courier New" w:cs="Courier New"/>
        </w:rPr>
        <w:t>STAR --runThreadN {n_threads} --runMode alignReads --twopassMode Basic --genomeDir {input.ref_dir} --readFilesIn {input.fastqs} --readFilesCommand zcat  --outFileNamePrefix {params.sam_prefix} --outSAMstrandField intronMotif --outSAMattributes NH HI AS nM NM --outReadsUnmapped Fastx --alignIntronMax 130000 --quantMode GeneCounts</w:t>
      </w:r>
    </w:p>
    <w:p w14:paraId="00000178" w14:textId="77777777" w:rsidR="0016142B" w:rsidRDefault="0016142B">
      <w:pPr>
        <w:rPr>
          <w:b/>
        </w:rPr>
      </w:pPr>
    </w:p>
    <w:p w14:paraId="00000179" w14:textId="77777777" w:rsidR="0016142B" w:rsidRDefault="00000000">
      <w:r>
        <w:t>To assure that the data under investigation did not have any quality issues that might distort the results and conclusions derived from our downstream analysis we performed a series of data quality control tests. We adapted and included the QC module from [3] into our pipeline. It is based on extensive functionality from the RSeQC [4] to compute different properties of the data, such as sequence quality, GC bias, sequencing depth, strand specificity, coverage uniformity, etc; and MultiQC [5], which summarizes other bioinformatic tools logs by compiling an easy to inspect HTML report. Lastly, we normalized gene counts by gene length and sequencing depth using Transcripts Per Million (TPM), to investigate the global gene expression patterns of various samples.</w:t>
      </w:r>
    </w:p>
    <w:p w14:paraId="0000017A" w14:textId="77777777" w:rsidR="0016142B" w:rsidRDefault="00000000">
      <w:pPr>
        <w:pStyle w:val="Heading3"/>
      </w:pPr>
      <w:bookmarkStart w:id="9" w:name="_kftdj6lxffta" w:colFirst="0" w:colLast="0"/>
      <w:bookmarkEnd w:id="9"/>
      <w:r>
        <w:t>References mRNA sequencing</w:t>
      </w:r>
    </w:p>
    <w:p w14:paraId="0000017B" w14:textId="77777777" w:rsidR="0016142B" w:rsidRDefault="0016142B"/>
    <w:p w14:paraId="0000017C" w14:textId="77777777" w:rsidR="0016142B" w:rsidRDefault="00000000">
      <w:r>
        <w:t>1. Dobin A, Davis CA, Schlesinger F, Drenkow J, Zaleski C, Jha S, Batut P, Chaisson M, Gingeras TR. STAR: ultrafast universal RNA-seq aligner. Bioinformatics. 2013 Jan 1;29(1):15-21. doi: 10.1093/bioinformatics/bts635. Epub 2012 Oct 25. PMID: 23104886; PMCID: PMC3530905.</w:t>
      </w:r>
    </w:p>
    <w:p w14:paraId="0000017D" w14:textId="77777777" w:rsidR="0016142B" w:rsidRDefault="0016142B">
      <w:pPr>
        <w:rPr>
          <w:rFonts w:ascii="Roboto" w:eastAsia="Roboto" w:hAnsi="Roboto" w:cs="Roboto"/>
          <w:color w:val="212121"/>
          <w:sz w:val="24"/>
          <w:szCs w:val="24"/>
          <w:highlight w:val="white"/>
        </w:rPr>
      </w:pPr>
    </w:p>
    <w:p w14:paraId="0000017E" w14:textId="77777777" w:rsidR="0016142B" w:rsidRDefault="00000000">
      <w:r>
        <w:t>2. Danecek P, Bonfield JK, Liddle J, Marshall J, Ohan V, Pollard MO, Whitwham A, Keane T, McCarthy SA, Davies RM, Li H. Twelve years of SAMtools and BCFtools. Gigascience. 2021 Feb 16;10(2):giab008. doi: 10.1093/gigascience/giab008. PMID: 33590861; PMCID: PMC7931819.</w:t>
      </w:r>
    </w:p>
    <w:p w14:paraId="0000017F" w14:textId="77777777" w:rsidR="0016142B" w:rsidRDefault="0016142B"/>
    <w:p w14:paraId="00000180" w14:textId="77777777" w:rsidR="0016142B" w:rsidRDefault="00000000">
      <w:r>
        <w:t>3. Johannes Köster, Jan Forster, Sebastian Schmeier, Vini Salazar, &amp; matrs. (2021).</w:t>
      </w:r>
    </w:p>
    <w:p w14:paraId="00000181" w14:textId="77777777" w:rsidR="0016142B" w:rsidRDefault="00000000">
      <w:r>
        <w:t>snakemake-workflows/rna-seq-star-deseq2: Version 1.2.0 (v1.2.0).</w:t>
      </w:r>
    </w:p>
    <w:p w14:paraId="00000182" w14:textId="77777777" w:rsidR="0016142B" w:rsidRDefault="00000000">
      <w:r>
        <w:t>Zenodo.</w:t>
      </w:r>
      <w:hyperlink r:id="rId7">
        <w:r>
          <w:t xml:space="preserve"> </w:t>
        </w:r>
      </w:hyperlink>
      <w:hyperlink r:id="rId8">
        <w:r>
          <w:rPr>
            <w:color w:val="1155CC"/>
            <w:u w:val="single"/>
          </w:rPr>
          <w:t>https://doi.org/10.5281/zenodo.5245549</w:t>
        </w:r>
      </w:hyperlink>
    </w:p>
    <w:p w14:paraId="00000183" w14:textId="77777777" w:rsidR="0016142B" w:rsidRDefault="0016142B"/>
    <w:p w14:paraId="00000184" w14:textId="77777777" w:rsidR="0016142B" w:rsidRDefault="00000000">
      <w:r>
        <w:t>4. Wang L, Wang S, Li W. RSeQC: quality control of RNA-seq experiments. Bioinformatics. 2012 Aug 15;28(16):2184-5. doi: 10.1093/bioinformatics/bts356. Epub 2012 Jun 27. PMID: 22743226.</w:t>
      </w:r>
    </w:p>
    <w:p w14:paraId="00000185" w14:textId="77777777" w:rsidR="0016142B" w:rsidRDefault="0016142B"/>
    <w:p w14:paraId="00000186" w14:textId="77777777" w:rsidR="0016142B" w:rsidRDefault="00000000">
      <w:r>
        <w:t>5. Ewels P, Magnusson M, Lundin S, Käller M. MultiQC: summarize analysis results for multiple tools and samples in a single report. Bioinformatics. 2016 Oct 1;32(19):3047-8. doi: 10.1093/bioinformatics/btw354. Epub 2016 Jun 16. PMID: 27312411; PMCID: PMC5039924.</w:t>
      </w:r>
    </w:p>
    <w:p w14:paraId="00000187" w14:textId="77777777" w:rsidR="0016142B" w:rsidRDefault="00000000">
      <w:pPr>
        <w:pStyle w:val="Heading1"/>
      </w:pPr>
      <w:bookmarkStart w:id="10" w:name="_mx0bcavec3dw" w:colFirst="0" w:colLast="0"/>
      <w:bookmarkEnd w:id="10"/>
      <w:r>
        <w:br/>
      </w:r>
      <w:r>
        <w:br w:type="page"/>
      </w:r>
    </w:p>
    <w:p w14:paraId="00000188" w14:textId="77777777" w:rsidR="0016142B" w:rsidRDefault="00000000">
      <w:pPr>
        <w:pStyle w:val="Heading2"/>
      </w:pPr>
      <w:bookmarkStart w:id="11" w:name="_dpgn8z6nqaxe" w:colFirst="0" w:colLast="0"/>
      <w:bookmarkEnd w:id="11"/>
      <w:r>
        <w:lastRenderedPageBreak/>
        <w:t>microRNA sequencing</w:t>
      </w:r>
    </w:p>
    <w:p w14:paraId="00000189" w14:textId="77777777" w:rsidR="0016142B" w:rsidRDefault="0016142B"/>
    <w:p w14:paraId="0000018A" w14:textId="77777777" w:rsidR="0016142B" w:rsidRDefault="00000000">
      <w:r>
        <w:t>RNA extraction, library preparation and sequencing was conducted at Azenta Life Sciences (South</w:t>
      </w:r>
    </w:p>
    <w:p w14:paraId="0000018B" w14:textId="77777777" w:rsidR="0016142B" w:rsidRDefault="00000000">
      <w:r>
        <w:t>Plainfield, NJ, USA) as follows:</w:t>
      </w:r>
    </w:p>
    <w:p w14:paraId="0000018C" w14:textId="77777777" w:rsidR="0016142B" w:rsidRDefault="00000000">
      <w:pPr>
        <w:pStyle w:val="Heading3"/>
      </w:pPr>
      <w:bookmarkStart w:id="12" w:name="_muy8xoj4h6et" w:colFirst="0" w:colLast="0"/>
      <w:bookmarkEnd w:id="12"/>
      <w:r>
        <w:t>Extraction</w:t>
      </w:r>
    </w:p>
    <w:p w14:paraId="0000018D" w14:textId="77777777" w:rsidR="0016142B" w:rsidRDefault="00000000">
      <w:r>
        <w:t>Total RNA and small RNA were extracted using mirVana miRNA isolation kit, with phenol, following</w:t>
      </w:r>
    </w:p>
    <w:p w14:paraId="0000018E" w14:textId="77777777" w:rsidR="0016142B" w:rsidRDefault="00000000">
      <w:r>
        <w:t>manufacturer’s instructions (ThermoFisher Scientific, Waltham, MA, USA).</w:t>
      </w:r>
    </w:p>
    <w:p w14:paraId="0000018F" w14:textId="77777777" w:rsidR="0016142B" w:rsidRDefault="00000000">
      <w:pPr>
        <w:pStyle w:val="Heading3"/>
      </w:pPr>
      <w:bookmarkStart w:id="13" w:name="_xa7fe6uuq9vz" w:colFirst="0" w:colLast="0"/>
      <w:bookmarkEnd w:id="13"/>
      <w:r>
        <w:t>Library Preparation with PolyA selection and Illumina Sequencing</w:t>
      </w:r>
    </w:p>
    <w:p w14:paraId="00000190" w14:textId="77777777" w:rsidR="0016142B" w:rsidRDefault="00000000">
      <w:r>
        <w:t>RNA samples were quantified using Qubit 2.0 Fluorometer (ThermoFisher Scientific, Waltham, MA, USA) and RNA integrity was checked with 4200 TapeStation (Agilent Technologies, Palo Alto, CA, USA).</w:t>
      </w:r>
    </w:p>
    <w:p w14:paraId="00000191" w14:textId="77777777" w:rsidR="0016142B" w:rsidRDefault="00000000">
      <w:r>
        <w:t>Each RNA sample was split for two library preparations per sample. Small RNA sequencing library was</w:t>
      </w:r>
    </w:p>
    <w:p w14:paraId="00000192" w14:textId="77777777" w:rsidR="0016142B" w:rsidRDefault="00000000">
      <w:r>
        <w:t>prepared by using NEB Small RNA library Prep Kit (New England Biolabs, Ipswich, MA, USA). In brief,</w:t>
      </w:r>
    </w:p>
    <w:p w14:paraId="00000193" w14:textId="77777777" w:rsidR="0016142B" w:rsidRDefault="00000000">
      <w:r>
        <w:t>Illumina 3’ and 5’ adapter is added to RNA molecules with a 5’-phosphate and a 3’-hydroxyl group</w:t>
      </w:r>
    </w:p>
    <w:p w14:paraId="00000194" w14:textId="77777777" w:rsidR="0016142B" w:rsidRDefault="00000000">
      <w:r>
        <w:t>sequentially. A reverse transcription reaction is used to create single stranded cDNA. The cDNA is then</w:t>
      </w:r>
    </w:p>
    <w:p w14:paraId="00000195" w14:textId="77777777" w:rsidR="0016142B" w:rsidRDefault="00000000">
      <w:r>
        <w:t>PCR amplified using a common primer and a primer containing index sequence. Amplified cDNA</w:t>
      </w:r>
    </w:p>
    <w:p w14:paraId="00000196" w14:textId="77777777" w:rsidR="0016142B" w:rsidRDefault="00000000">
      <w:r>
        <w:t>construct is purified by polyacrylamide gel electrophoresis, and the correct band (~145 – 160 bp) is</w:t>
      </w:r>
    </w:p>
    <w:p w14:paraId="00000197" w14:textId="77777777" w:rsidR="0016142B" w:rsidRDefault="00000000">
      <w:r>
        <w:t>excised from the gel and eluted with water. The eluted cDNA is concentrated by EtOH precipitation, and</w:t>
      </w:r>
    </w:p>
    <w:p w14:paraId="00000198" w14:textId="77777777" w:rsidR="0016142B" w:rsidRDefault="00000000">
      <w:r>
        <w:t>this is the final sequencing library. The sequencing library was validated on the Agilent TapeStation</w:t>
      </w:r>
    </w:p>
    <w:p w14:paraId="00000199" w14:textId="77777777" w:rsidR="0016142B" w:rsidRDefault="00000000">
      <w:r>
        <w:t>(Agilent Technologies, Palo Alto, CA, USA), and quantified by using Qubit 2.0 Fluorometer (Thermo Fisher Scientific, Waltham, MA, USA) as well as by quantitative PCR (KAPA Biosystems, Wilmington, MA, USA).</w:t>
      </w:r>
    </w:p>
    <w:p w14:paraId="0000019A" w14:textId="77777777" w:rsidR="0016142B" w:rsidRDefault="00000000">
      <w:r>
        <w:t>The sequencing libraries were clustered on the flowcell. After clustering, the flowcell was loaded on the</w:t>
      </w:r>
    </w:p>
    <w:p w14:paraId="0000019B" w14:textId="77777777" w:rsidR="0016142B" w:rsidRDefault="00000000">
      <w:r>
        <w:t>Illumina instrument (4000 or equivalent) according to manufacturer’s instructions. The samples were</w:t>
      </w:r>
    </w:p>
    <w:p w14:paraId="0000019C" w14:textId="77777777" w:rsidR="0016142B" w:rsidRDefault="00000000">
      <w:r>
        <w:t>sequenced using a 2x150bp Paired End (PE) configuration. Image analysis and base calling were</w:t>
      </w:r>
    </w:p>
    <w:p w14:paraId="0000019D" w14:textId="77777777" w:rsidR="0016142B" w:rsidRDefault="00000000">
      <w:r>
        <w:t>conducted by the Control software. Raw sequence data (.bcl files) generated by the sequencer were converted into fastq files and de-multiplexed using Illumina's bcl2fastq 2.20 software. One mismatch was allowed for index sequence identification.</w:t>
      </w:r>
    </w:p>
    <w:p w14:paraId="0000019E" w14:textId="77777777" w:rsidR="0016142B" w:rsidRDefault="00000000">
      <w:pPr>
        <w:pStyle w:val="Heading3"/>
      </w:pPr>
      <w:bookmarkStart w:id="14" w:name="_adry17a41bsa" w:colFirst="0" w:colLast="0"/>
      <w:bookmarkEnd w:id="14"/>
      <w:r>
        <w:t>Data analysis</w:t>
      </w:r>
    </w:p>
    <w:p w14:paraId="0000019F" w14:textId="77777777" w:rsidR="0016142B" w:rsidRDefault="00000000">
      <w:r>
        <w:t>Adapter trimming was performed with Flexbar v3.5.0 [1] as recommended and described by the NEBNext Small RNA library [2]. Adapters were submitted by the commercial partner and can be sent upon request. The trimmed reads were then mapped with Bowtie2 v2.4.4 [3] onto the human genome (GRCh38 assembly from Ensembl [4]). We mostly use the sensitive-local preset parameters by Bowtie2, with only the change to the length of seed substrings (-L), which in its default form should miss any smallRNAs less than 22bp in length. We ran the mapping with both -L 8 and -L 15, and end up with identical results, which we used for the remaining sample mappings. We also changed the maximum number of times Bowtie2 will ”re-seed” reads with repetitive seeds (-R) from 2 to 3 to account for the shorter expected sequence length of the smallRNAs.</w:t>
      </w:r>
    </w:p>
    <w:p w14:paraId="000001A0" w14:textId="77777777" w:rsidR="0016142B" w:rsidRDefault="0016142B">
      <w:pPr>
        <w:rPr>
          <w:sz w:val="30"/>
          <w:szCs w:val="30"/>
        </w:rPr>
      </w:pPr>
    </w:p>
    <w:p w14:paraId="000001A1" w14:textId="77777777" w:rsidR="0016142B" w:rsidRDefault="00000000">
      <w:pPr>
        <w:rPr>
          <w:rFonts w:ascii="Courier New" w:eastAsia="Courier New" w:hAnsi="Courier New" w:cs="Courier New"/>
        </w:rPr>
      </w:pPr>
      <w:r>
        <w:rPr>
          <w:rFonts w:ascii="Courier New" w:eastAsia="Courier New" w:hAnsi="Courier New" w:cs="Courier New"/>
        </w:rPr>
        <w:t>Bowtie2 relevant parameters:</w:t>
      </w:r>
    </w:p>
    <w:p w14:paraId="000001A2" w14:textId="77777777" w:rsidR="0016142B" w:rsidRDefault="00000000">
      <w:pPr>
        <w:rPr>
          <w:rFonts w:ascii="Courier New" w:eastAsia="Courier New" w:hAnsi="Courier New" w:cs="Courier New"/>
        </w:rPr>
      </w:pPr>
      <w:r>
        <w:rPr>
          <w:rFonts w:ascii="Courier New" w:eastAsia="Courier New" w:hAnsi="Courier New" w:cs="Courier New"/>
        </w:rPr>
        <w:t>--sensitive-local -D 15 -R 2 -N 0 -L 20 -i S,1,0.75 (default) -&gt; we</w:t>
      </w:r>
    </w:p>
    <w:p w14:paraId="000001A3" w14:textId="77777777" w:rsidR="0016142B" w:rsidRDefault="00000000">
      <w:pPr>
        <w:rPr>
          <w:rFonts w:ascii="Courier New" w:eastAsia="Courier New" w:hAnsi="Courier New" w:cs="Courier New"/>
        </w:rPr>
      </w:pPr>
      <w:r>
        <w:rPr>
          <w:rFonts w:ascii="Courier New" w:eastAsia="Courier New" w:hAnsi="Courier New" w:cs="Courier New"/>
        </w:rPr>
        <w:t>adjusted -L and -R parameters for smallRNA-Seq</w:t>
      </w:r>
    </w:p>
    <w:p w14:paraId="000001A4" w14:textId="77777777" w:rsidR="0016142B" w:rsidRDefault="00000000">
      <w:pPr>
        <w:rPr>
          <w:rFonts w:ascii="Courier New" w:eastAsia="Courier New" w:hAnsi="Courier New" w:cs="Courier New"/>
        </w:rPr>
      </w:pPr>
      <w:r>
        <w:rPr>
          <w:rFonts w:ascii="Courier New" w:eastAsia="Courier New" w:hAnsi="Courier New" w:cs="Courier New"/>
        </w:rPr>
        <w:t>-D give up extending after &lt;int&gt; failed extends in a row (15)</w:t>
      </w:r>
    </w:p>
    <w:p w14:paraId="000001A5" w14:textId="77777777" w:rsidR="0016142B" w:rsidRDefault="00000000">
      <w:pPr>
        <w:rPr>
          <w:rFonts w:ascii="Courier New" w:eastAsia="Courier New" w:hAnsi="Courier New" w:cs="Courier New"/>
        </w:rPr>
      </w:pPr>
      <w:r>
        <w:rPr>
          <w:rFonts w:ascii="Courier New" w:eastAsia="Courier New" w:hAnsi="Courier New" w:cs="Courier New"/>
        </w:rPr>
        <w:t>-R for reads w/ repetitive seeds, try &lt;int&gt; sets of seeds (2)</w:t>
      </w:r>
    </w:p>
    <w:p w14:paraId="000001A6" w14:textId="77777777" w:rsidR="0016142B" w:rsidRDefault="00000000">
      <w:pPr>
        <w:rPr>
          <w:rFonts w:ascii="Courier New" w:eastAsia="Courier New" w:hAnsi="Courier New" w:cs="Courier New"/>
        </w:rPr>
      </w:pPr>
      <w:r>
        <w:rPr>
          <w:rFonts w:ascii="Courier New" w:eastAsia="Courier New" w:hAnsi="Courier New" w:cs="Courier New"/>
        </w:rPr>
        <w:t>-N max # mismatches in seed alignment; can be 0 or 1 (0)</w:t>
      </w:r>
    </w:p>
    <w:p w14:paraId="000001A7" w14:textId="77777777" w:rsidR="0016142B" w:rsidRDefault="00000000">
      <w:pPr>
        <w:rPr>
          <w:rFonts w:ascii="Courier New" w:eastAsia="Courier New" w:hAnsi="Courier New" w:cs="Courier New"/>
        </w:rPr>
      </w:pPr>
      <w:r>
        <w:rPr>
          <w:rFonts w:ascii="Courier New" w:eastAsia="Courier New" w:hAnsi="Courier New" w:cs="Courier New"/>
        </w:rPr>
        <w:lastRenderedPageBreak/>
        <w:t>-L length of seed substrings; must be &gt;3, &lt;32 (22)</w:t>
      </w:r>
    </w:p>
    <w:p w14:paraId="000001A8" w14:textId="77777777" w:rsidR="0016142B" w:rsidRDefault="00000000">
      <w:pPr>
        <w:rPr>
          <w:rFonts w:ascii="Courier New" w:eastAsia="Courier New" w:hAnsi="Courier New" w:cs="Courier New"/>
        </w:rPr>
      </w:pPr>
      <w:r>
        <w:rPr>
          <w:rFonts w:ascii="Courier New" w:eastAsia="Courier New" w:hAnsi="Courier New" w:cs="Courier New"/>
        </w:rPr>
        <w:t>-i interval between seed substrings w/r/t read len (S,1,1.15)</w:t>
      </w:r>
    </w:p>
    <w:p w14:paraId="000001A9" w14:textId="77777777" w:rsidR="0016142B" w:rsidRDefault="0016142B">
      <w:pPr>
        <w:rPr>
          <w:rFonts w:ascii="Courier New" w:eastAsia="Courier New" w:hAnsi="Courier New" w:cs="Courier New"/>
          <w:sz w:val="25"/>
          <w:szCs w:val="25"/>
        </w:rPr>
      </w:pPr>
    </w:p>
    <w:p w14:paraId="000001AA" w14:textId="77777777" w:rsidR="0016142B" w:rsidRDefault="00000000">
      <w:r>
        <w:t>The mapped reads were then processed with featureCounts v2.0.1 [5] to quantify the miRNA counts for each of the samples. We used the Homo Sapiens microRNA gff annotation, as provided by the latest release of miRBase v22 [6]. We only count the mature miRNA regions and only allow for properly mapped primary aligned read pairs. We also specify to count only the fragments, as each read pair would be representative of only one</w:t>
      </w:r>
    </w:p>
    <w:p w14:paraId="000001AB" w14:textId="77777777" w:rsidR="0016142B" w:rsidRDefault="00000000">
      <w:r>
        <w:t>miRNA molecule. The resulting miRNA counts were used for subsequent analyses.</w:t>
      </w:r>
    </w:p>
    <w:p w14:paraId="000001AC" w14:textId="77777777" w:rsidR="0016142B" w:rsidRDefault="0016142B">
      <w:pPr>
        <w:rPr>
          <w:sz w:val="30"/>
          <w:szCs w:val="30"/>
        </w:rPr>
      </w:pPr>
    </w:p>
    <w:p w14:paraId="000001AD" w14:textId="77777777" w:rsidR="0016142B" w:rsidRDefault="00000000">
      <w:pPr>
        <w:rPr>
          <w:rFonts w:ascii="Courier New" w:eastAsia="Courier New" w:hAnsi="Courier New" w:cs="Courier New"/>
        </w:rPr>
      </w:pPr>
      <w:r>
        <w:rPr>
          <w:rFonts w:ascii="Courier New" w:eastAsia="Courier New" w:hAnsi="Courier New" w:cs="Courier New"/>
        </w:rPr>
        <w:t>featureCounts relevant parameters:</w:t>
      </w:r>
    </w:p>
    <w:p w14:paraId="000001AE" w14:textId="77777777" w:rsidR="0016142B" w:rsidRDefault="00000000">
      <w:pPr>
        <w:rPr>
          <w:rFonts w:ascii="Courier New" w:eastAsia="Courier New" w:hAnsi="Courier New" w:cs="Courier New"/>
        </w:rPr>
      </w:pPr>
      <w:r>
        <w:rPr>
          <w:rFonts w:ascii="Courier New" w:eastAsia="Courier New" w:hAnsi="Courier New" w:cs="Courier New"/>
        </w:rPr>
        <w:t>-t Specify feature type(s) in a GTF annotation. Rows in the</w:t>
      </w:r>
    </w:p>
    <w:p w14:paraId="000001AF" w14:textId="77777777" w:rsidR="0016142B" w:rsidRDefault="00000000">
      <w:r>
        <w:t>2.1 Differential analysis 25</w:t>
      </w:r>
    </w:p>
    <w:p w14:paraId="000001B0" w14:textId="77777777" w:rsidR="0016142B" w:rsidRDefault="00000000">
      <w:pPr>
        <w:rPr>
          <w:rFonts w:ascii="Courier New" w:eastAsia="Courier New" w:hAnsi="Courier New" w:cs="Courier New"/>
        </w:rPr>
      </w:pPr>
      <w:r>
        <w:rPr>
          <w:rFonts w:ascii="Courier New" w:eastAsia="Courier New" w:hAnsi="Courier New" w:cs="Courier New"/>
        </w:rPr>
        <w:t>annotation with a matched feature will be extracted and</w:t>
      </w:r>
    </w:p>
    <w:p w14:paraId="000001B1" w14:textId="77777777" w:rsidR="0016142B" w:rsidRDefault="00000000">
      <w:pPr>
        <w:rPr>
          <w:rFonts w:ascii="Courier New" w:eastAsia="Courier New" w:hAnsi="Courier New" w:cs="Courier New"/>
        </w:rPr>
      </w:pPr>
      <w:r>
        <w:rPr>
          <w:rFonts w:ascii="Courier New" w:eastAsia="Courier New" w:hAnsi="Courier New" w:cs="Courier New"/>
        </w:rPr>
        <w:t>used for read mapping.</w:t>
      </w:r>
    </w:p>
    <w:p w14:paraId="000001B2" w14:textId="77777777" w:rsidR="0016142B" w:rsidRDefault="00000000">
      <w:pPr>
        <w:rPr>
          <w:rFonts w:ascii="Courier New" w:eastAsia="Courier New" w:hAnsi="Courier New" w:cs="Courier New"/>
        </w:rPr>
      </w:pPr>
      <w:r>
        <w:rPr>
          <w:rFonts w:ascii="Courier New" w:eastAsia="Courier New" w:hAnsi="Courier New" w:cs="Courier New"/>
        </w:rPr>
        <w:t>-B Only count read pairs that have both ends aligned.</w:t>
      </w:r>
    </w:p>
    <w:p w14:paraId="000001B3" w14:textId="77777777" w:rsidR="0016142B" w:rsidRDefault="00000000">
      <w:pPr>
        <w:rPr>
          <w:rFonts w:ascii="Courier New" w:eastAsia="Courier New" w:hAnsi="Courier New" w:cs="Courier New"/>
        </w:rPr>
      </w:pPr>
      <w:r>
        <w:rPr>
          <w:rFonts w:ascii="Courier New" w:eastAsia="Courier New" w:hAnsi="Courier New" w:cs="Courier New"/>
        </w:rPr>
        <w:t>-C Do not count read pairs that have their two ends mapping</w:t>
      </w:r>
    </w:p>
    <w:p w14:paraId="000001B4" w14:textId="77777777" w:rsidR="0016142B" w:rsidRDefault="00000000">
      <w:pPr>
        <w:rPr>
          <w:rFonts w:ascii="Courier New" w:eastAsia="Courier New" w:hAnsi="Courier New" w:cs="Courier New"/>
        </w:rPr>
      </w:pPr>
      <w:r>
        <w:rPr>
          <w:rFonts w:ascii="Courier New" w:eastAsia="Courier New" w:hAnsi="Courier New" w:cs="Courier New"/>
        </w:rPr>
        <w:t>to different chromosomes or mapping to same chromosome</w:t>
      </w:r>
    </w:p>
    <w:p w14:paraId="000001B5" w14:textId="77777777" w:rsidR="0016142B" w:rsidRDefault="00000000">
      <w:pPr>
        <w:rPr>
          <w:rFonts w:ascii="Courier New" w:eastAsia="Courier New" w:hAnsi="Courier New" w:cs="Courier New"/>
        </w:rPr>
      </w:pPr>
      <w:r>
        <w:rPr>
          <w:rFonts w:ascii="Courier New" w:eastAsia="Courier New" w:hAnsi="Courier New" w:cs="Courier New"/>
        </w:rPr>
        <w:t>but on different strands.</w:t>
      </w:r>
    </w:p>
    <w:p w14:paraId="000001B6" w14:textId="77777777" w:rsidR="0016142B" w:rsidRDefault="00000000">
      <w:pPr>
        <w:rPr>
          <w:rFonts w:ascii="Courier New" w:eastAsia="Courier New" w:hAnsi="Courier New" w:cs="Courier New"/>
        </w:rPr>
      </w:pPr>
      <w:r>
        <w:rPr>
          <w:rFonts w:ascii="Courier New" w:eastAsia="Courier New" w:hAnsi="Courier New" w:cs="Courier New"/>
        </w:rPr>
        <w:t>-p If specified, fragments (or templates) will be counted instead of reads.</w:t>
      </w:r>
    </w:p>
    <w:p w14:paraId="000001B7" w14:textId="77777777" w:rsidR="0016142B" w:rsidRDefault="00000000">
      <w:pPr>
        <w:rPr>
          <w:rFonts w:ascii="Courier New" w:eastAsia="Courier New" w:hAnsi="Courier New" w:cs="Courier New"/>
        </w:rPr>
      </w:pPr>
      <w:r>
        <w:rPr>
          <w:rFonts w:ascii="Courier New" w:eastAsia="Courier New" w:hAnsi="Courier New" w:cs="Courier New"/>
        </w:rPr>
        <w:t>--primary Count primary alignments only.</w:t>
      </w:r>
    </w:p>
    <w:p w14:paraId="000001B8" w14:textId="77777777" w:rsidR="0016142B" w:rsidRDefault="0016142B">
      <w:pPr>
        <w:rPr>
          <w:rFonts w:ascii="Courier New" w:eastAsia="Courier New" w:hAnsi="Courier New" w:cs="Courier New"/>
          <w:sz w:val="25"/>
          <w:szCs w:val="25"/>
        </w:rPr>
      </w:pPr>
    </w:p>
    <w:p w14:paraId="000001B9" w14:textId="77777777" w:rsidR="0016142B" w:rsidRDefault="0016142B">
      <w:pPr>
        <w:rPr>
          <w:rFonts w:ascii="Courier New" w:eastAsia="Courier New" w:hAnsi="Courier New" w:cs="Courier New"/>
          <w:sz w:val="25"/>
          <w:szCs w:val="25"/>
        </w:rPr>
      </w:pPr>
    </w:p>
    <w:p w14:paraId="000001BA" w14:textId="77777777" w:rsidR="0016142B" w:rsidRDefault="00000000">
      <w:r>
        <w:t>1. Roehr JT, Dieterich C, Reinert K. Flexbar 3.0 - SIMD and multicore parallelization. Bioinformatics. 2017 Sep 15;33(18):2941-2942. doi: 10.1093/bioinformatics/btx330. PMID: 28541403.</w:t>
      </w:r>
    </w:p>
    <w:p w14:paraId="000001BB" w14:textId="77777777" w:rsidR="0016142B" w:rsidRDefault="00000000">
      <w:r>
        <w:t>2.https://international.neb.com/faqs/2017/07/17/how-should-my-nebnext-small-rna-library-be-trimmed</w:t>
      </w:r>
    </w:p>
    <w:p w14:paraId="000001BC" w14:textId="77777777" w:rsidR="0016142B" w:rsidRDefault="00000000">
      <w:r>
        <w:t>3. Langmead B, Salzberg SL. Fast gapped-read alignment with Bowtie 2. Nat Methods. 2012 Mar 4;9(4):357-9. doi: 10.1038/nmeth.1923. PMID: 22388286; PMCID: PMC3322381.</w:t>
      </w:r>
    </w:p>
    <w:p w14:paraId="000001BD" w14:textId="77777777" w:rsidR="0016142B" w:rsidRDefault="00000000">
      <w:r>
        <w:t>4. https://www.ncbi.nlm.nih.gov/datasets/genome/GCF_000001405.26/</w:t>
      </w:r>
    </w:p>
    <w:p w14:paraId="000001BE" w14:textId="77777777" w:rsidR="0016142B" w:rsidRDefault="00000000">
      <w:r>
        <w:t>5. Liao Y, Smyth GK, Shi W. featureCounts: an efficient general purpose program for assigning sequence reads to genomic features. Bioinformatics. 2014 Apr 1;30(7):923-30. doi: 10.1093/bioinformatics/btt656. Epub 2013 Nov 13. PMID: 24227677.</w:t>
      </w:r>
    </w:p>
    <w:p w14:paraId="000001BF" w14:textId="77777777" w:rsidR="0016142B" w:rsidRDefault="00000000">
      <w:r>
        <w:t>6. Kozomara A, Birgaoanu M, Griffiths-Jones S. miRBase: from microRNA sequences to function. Nucleic Acids Res. 2019 Jan 8;47(D1):D155-D162. doi: 10.1093/nar/gky1141. PMID: 30423142; PMCID: PMC6323917.</w:t>
      </w:r>
    </w:p>
    <w:p w14:paraId="000001C0" w14:textId="77777777" w:rsidR="0016142B" w:rsidRDefault="0016142B"/>
    <w:p w14:paraId="000001C1" w14:textId="77777777" w:rsidR="0016142B" w:rsidRDefault="0016142B"/>
    <w:p w14:paraId="000001C2" w14:textId="77777777" w:rsidR="0016142B" w:rsidRDefault="0016142B"/>
    <w:p w14:paraId="000001C3" w14:textId="77777777" w:rsidR="0016142B" w:rsidRDefault="0016142B"/>
    <w:p w14:paraId="000001C4" w14:textId="77777777" w:rsidR="0016142B" w:rsidRDefault="0016142B"/>
    <w:p w14:paraId="000001C5" w14:textId="77777777" w:rsidR="0016142B" w:rsidRDefault="0016142B">
      <w:pPr>
        <w:widowControl w:val="0"/>
        <w:pBdr>
          <w:top w:val="nil"/>
          <w:left w:val="nil"/>
          <w:bottom w:val="nil"/>
          <w:right w:val="nil"/>
          <w:between w:val="nil"/>
        </w:pBdr>
        <w:spacing w:after="220" w:line="240" w:lineRule="auto"/>
      </w:pPr>
    </w:p>
    <w:sectPr w:rsidR="0016142B">
      <w:headerReference w:type="default" r:id="rId9"/>
      <w:pgSz w:w="11906" w:h="16838"/>
      <w:pgMar w:top="873" w:right="873" w:bottom="873" w:left="873"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7C5478" w14:textId="77777777" w:rsidR="0073133D" w:rsidRDefault="0073133D">
      <w:pPr>
        <w:spacing w:line="240" w:lineRule="auto"/>
      </w:pPr>
      <w:r>
        <w:separator/>
      </w:r>
    </w:p>
  </w:endnote>
  <w:endnote w:type="continuationSeparator" w:id="0">
    <w:p w14:paraId="69F12C52" w14:textId="77777777" w:rsidR="0073133D" w:rsidRDefault="0073133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Roboto">
    <w:charset w:val="00"/>
    <w:family w:val="auto"/>
    <w:pitch w:val="variable"/>
    <w:sig w:usb0="E0000AFF" w:usb1="5000217F" w:usb2="00000021" w:usb3="00000000" w:csb0="0000019F" w:csb1="00000000"/>
    <w:embedRegular r:id="rId1" w:fontKey="{5E8804E1-094C-458E-AE6E-9E53C817F0EC}"/>
  </w:font>
  <w:font w:name="Calibri">
    <w:panose1 w:val="020F0502020204030204"/>
    <w:charset w:val="00"/>
    <w:family w:val="swiss"/>
    <w:pitch w:val="variable"/>
    <w:sig w:usb0="E4002EFF" w:usb1="C200247B" w:usb2="00000009" w:usb3="00000000" w:csb0="000001FF" w:csb1="00000000"/>
    <w:embedRegular r:id="rId2" w:fontKey="{2C0D58C8-9162-478E-A7BD-32211727D5E7}"/>
  </w:font>
  <w:font w:name="Cambria">
    <w:panose1 w:val="02040503050406030204"/>
    <w:charset w:val="00"/>
    <w:family w:val="roman"/>
    <w:pitch w:val="variable"/>
    <w:sig w:usb0="E00006FF" w:usb1="420024FF" w:usb2="02000000" w:usb3="00000000" w:csb0="0000019F" w:csb1="00000000"/>
    <w:embedRegular r:id="rId3" w:fontKey="{91E8F2A1-F9A3-491E-A344-2DAD8E1F97CC}"/>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2428C2" w14:textId="77777777" w:rsidR="0073133D" w:rsidRDefault="0073133D">
      <w:pPr>
        <w:spacing w:line="240" w:lineRule="auto"/>
      </w:pPr>
      <w:r>
        <w:separator/>
      </w:r>
    </w:p>
  </w:footnote>
  <w:footnote w:type="continuationSeparator" w:id="0">
    <w:p w14:paraId="4E5BBAB9" w14:textId="77777777" w:rsidR="0073133D" w:rsidRDefault="0073133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C6" w14:textId="77777777" w:rsidR="0016142B" w:rsidRDefault="0016142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07006E"/>
    <w:multiLevelType w:val="multilevel"/>
    <w:tmpl w:val="7804A9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FAB47AC"/>
    <w:multiLevelType w:val="multilevel"/>
    <w:tmpl w:val="ACC6A5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E7872FC"/>
    <w:multiLevelType w:val="multilevel"/>
    <w:tmpl w:val="0B6EDA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7ED06DF"/>
    <w:multiLevelType w:val="multilevel"/>
    <w:tmpl w:val="6F0485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673649776">
    <w:abstractNumId w:val="0"/>
  </w:num>
  <w:num w:numId="2" w16cid:durableId="666782510">
    <w:abstractNumId w:val="2"/>
  </w:num>
  <w:num w:numId="3" w16cid:durableId="1110276831">
    <w:abstractNumId w:val="1"/>
  </w:num>
  <w:num w:numId="4" w16cid:durableId="4125142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isplayBackgroundShape/>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142B"/>
    <w:rsid w:val="00064D96"/>
    <w:rsid w:val="0016142B"/>
    <w:rsid w:val="004B4192"/>
    <w:rsid w:val="007313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2520717-9F9F-4B2F-814F-766924DC1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doi.org/10.5281/zenodo.5245549" TargetMode="External"/><Relationship Id="rId3" Type="http://schemas.openxmlformats.org/officeDocument/2006/relationships/settings" Target="settings.xml"/><Relationship Id="rId7" Type="http://schemas.openxmlformats.org/officeDocument/2006/relationships/hyperlink" Target="https://doi.org/10.5281/zenodo.524554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5</Pages>
  <Words>2215</Words>
  <Characters>12629</Characters>
  <Application>Microsoft Office Word</Application>
  <DocSecurity>0</DocSecurity>
  <Lines>105</Lines>
  <Paragraphs>29</Paragraphs>
  <ScaleCrop>false</ScaleCrop>
  <Company>Springer Nature</Company>
  <LinksUpToDate>false</LinksUpToDate>
  <CharactersWithSpaces>14815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Trupti Sudge</dc:creator>
  <cp:lastModifiedBy>Trupti Sudge</cp:lastModifiedBy>
  <cp:revision>2</cp:revision>
  <dcterms:created xsi:type="dcterms:W3CDTF">2025-04-03T08:07:00Z</dcterms:created>
  <dcterms:modified xsi:type="dcterms:W3CDTF">2025-04-03T08:07:00Z</dcterms:modified>
</cp:coreProperties>
</file>