
<file path=[Content_Types].xml><?xml version="1.0" encoding="utf-8"?>
<Types xmlns="http://schemas.openxmlformats.org/package/2006/content-types">
  <Default Extension="odttf" ContentType="application/vnd.openxmlformats-officedocument.obfuscatedFon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000000CE" w14:textId="77777777" w:rsidR="000E449D" w:rsidRDefault="00000000">
      <w:pPr>
        <w:pStyle w:val="Heading2"/>
      </w:pPr>
      <w:bookmarkStart w:id="0" w:name="_7octq9niolqx" w:colFirst="0" w:colLast="0"/>
      <w:bookmarkEnd w:id="0"/>
      <w:r>
        <w:t>Supplement figures</w:t>
      </w:r>
    </w:p>
    <w:p w14:paraId="000000CF" w14:textId="77777777" w:rsidR="000E449D" w:rsidRDefault="00000000">
      <w:pPr>
        <w:pStyle w:val="Heading3"/>
      </w:pPr>
      <w:bookmarkStart w:id="1" w:name="_t3qfncy0zosh" w:colFirst="0" w:colLast="0"/>
      <w:bookmarkEnd w:id="1"/>
      <w:r>
        <w:t>sFig.1</w:t>
      </w:r>
    </w:p>
    <w:p w14:paraId="000000D0" w14:textId="77777777" w:rsidR="000E449D" w:rsidRDefault="00000000">
      <w:pPr>
        <w:rPr>
          <w:b/>
        </w:rPr>
      </w:pPr>
      <w:r>
        <w:rPr>
          <w:b/>
        </w:rPr>
        <w:t>Complex feature trajectories and miRNA-proteome enrichment</w:t>
      </w:r>
    </w:p>
    <w:p w14:paraId="000000D1" w14:textId="77777777" w:rsidR="000E449D" w:rsidRDefault="00000000">
      <w:r>
        <w:t>I-II: complex feature trajectories of transcriptome (I) and miRNome (II) in human granulopoiesis. Graphical illustration longitudinal trajectory curves along maturation stages on the x-axis and relative expression intensities on the y-axis. Colors indicate trajectory cluster association of features (yellow = high, blue = low) based on the distance to the median expression curve (red).</w:t>
      </w:r>
    </w:p>
    <w:p w14:paraId="000000D2" w14:textId="77777777" w:rsidR="000E449D" w:rsidRDefault="00000000">
      <w:r>
        <w:t>I a) Transcriptome features with up-down-up pattern. b) Transcriptome features with down-up-down pattern</w:t>
      </w:r>
    </w:p>
    <w:p w14:paraId="000000D3" w14:textId="77777777" w:rsidR="000E449D" w:rsidRDefault="00000000">
      <w:r>
        <w:t>II) miRNA features with up down late pattern.</w:t>
      </w:r>
    </w:p>
    <w:p w14:paraId="000000D4" w14:textId="77777777" w:rsidR="000E449D" w:rsidRDefault="00000000">
      <w:r>
        <w:t>III) Enrichment of miRNAs with up-down late trajectory (sFig 1 II) for DE transcriptome features between MM and B.</w:t>
      </w:r>
    </w:p>
    <w:p w14:paraId="000000D5" w14:textId="77777777" w:rsidR="000E449D" w:rsidRDefault="00000000">
      <w:r>
        <w:t xml:space="preserve">III-VII) miRNA-proteome interaction analysis. </w:t>
      </w:r>
      <w:r>
        <w:br/>
        <w:t xml:space="preserve">a) Dotplots of enrichment results with enrichment factor on x-axis and p-value on y-axis. Dot color indicates log fold change for miRNA in the probed development step (see below). Bold labeled dots represent miRNA with FDR &lt; 0.05 enrichment, roman labeled dots miRNAs with p-values &lt; 0.05. </w:t>
      </w:r>
    </w:p>
    <w:p w14:paraId="000000D6" w14:textId="77777777" w:rsidR="000E449D" w:rsidRDefault="00000000">
      <w:r>
        <w:t>b) Dose-response curves of miRNA targets (colored by binding motif) vs non-targets (black). Fold-change values of features in the probed development step along the x-axis, cumulative proportion of features on the y-axis.</w:t>
      </w:r>
    </w:p>
    <w:p w14:paraId="000000D7" w14:textId="77777777" w:rsidR="000E449D" w:rsidRDefault="00000000">
      <w:r>
        <w:t>A left-shift of the colored curves indicates a lower expression of features displaying miRNA binding sites.</w:t>
      </w:r>
    </w:p>
    <w:p w14:paraId="000000D8" w14:textId="77777777" w:rsidR="000E449D" w:rsidRDefault="00000000">
      <w:r>
        <w:t xml:space="preserve">c) Dotplots of GO enrichment results for features regulated by the respective miRNA transcript. GeneRatio (total in term / identified in term) on the x-axis, enriched terms on the y-axis, dot color represents adjusted p-values (Benjamini Hochberg corrected) for enrichment. </w:t>
      </w:r>
    </w:p>
    <w:p w14:paraId="000000D9" w14:textId="77777777" w:rsidR="000E449D" w:rsidRDefault="00000000">
      <w:r>
        <w:t>d) c-net plot of selected enrichment terms and the identified transcriptome features. Dot color represents log fold change of the feature in the probed development step</w:t>
      </w:r>
    </w:p>
    <w:p w14:paraId="000000DA" w14:textId="77777777" w:rsidR="000E449D" w:rsidRDefault="00000000">
      <w:r>
        <w:t>VI) Enrichment of miRNAs with upward trajectory (Figure 3 IIIa) for differentially expressed (DE) proteome features between MB and PMN.</w:t>
      </w:r>
    </w:p>
    <w:p w14:paraId="000000DB" w14:textId="77777777" w:rsidR="000E449D" w:rsidRDefault="00000000">
      <w:r>
        <w:t>V) Enrichment of miRNAs with downward trajectory (Figure 3 IIIb) for DE proteome features between PMN and MB (resulting in inverted fold change directions to maintain the left shift of the response curves).</w:t>
      </w:r>
    </w:p>
    <w:p w14:paraId="000000DC" w14:textId="77777777" w:rsidR="000E449D" w:rsidRDefault="00000000">
      <w:r>
        <w:t>VI) Enrichment of miRNAs with up-down trajectory (Figure 3 IIIc upper) for DE proteome features between B and MB.</w:t>
      </w:r>
    </w:p>
    <w:p w14:paraId="000000DD" w14:textId="77777777" w:rsidR="000E449D" w:rsidRDefault="00000000">
      <w:r>
        <w:t>VII) Enrichment of miRNAs with down-up trajectory (Figure 3 IIIc lower) for DE proteome features between MM and MB.</w:t>
      </w:r>
    </w:p>
    <w:p w14:paraId="000000DE" w14:textId="77777777" w:rsidR="000E449D" w:rsidRDefault="00000000">
      <w:pPr>
        <w:pStyle w:val="Heading3"/>
      </w:pPr>
      <w:bookmarkStart w:id="2" w:name="_2zbf3mxm1eaw" w:colFirst="0" w:colLast="0"/>
      <w:bookmarkEnd w:id="2"/>
      <w:r>
        <w:t>sFig.2</w:t>
      </w:r>
    </w:p>
    <w:p w14:paraId="000000DF" w14:textId="77777777" w:rsidR="000E449D" w:rsidRDefault="00000000">
      <w:pPr>
        <w:rPr>
          <w:b/>
        </w:rPr>
      </w:pPr>
      <w:r>
        <w:rPr>
          <w:b/>
        </w:rPr>
        <w:t>CEBP expression, genetic region of undescribed transcripts, single-cell integration workflow</w:t>
      </w:r>
    </w:p>
    <w:p w14:paraId="000000E0" w14:textId="77777777" w:rsidR="000E449D" w:rsidRDefault="00000000">
      <w:r>
        <w:t>I) Box plots of expression of CEBPs on transcript and protein level. All data of valid CEBPs are shown</w:t>
      </w:r>
      <w:r>
        <w:br/>
        <w:t xml:space="preserve">II a,b) Screenshots from The Association to Function Knowledge Portal </w:t>
      </w:r>
      <w:hyperlink r:id="rId7">
        <w:r>
          <w:rPr>
            <w:color w:val="000000"/>
          </w:rPr>
          <w:t>(</w:t>
        </w:r>
      </w:hyperlink>
      <w:hyperlink r:id="rId8">
        <w:r>
          <w:rPr>
            <w:i/>
            <w:color w:val="000000"/>
          </w:rPr>
          <w:t>The Association to Function Knowledge Portal</w:t>
        </w:r>
      </w:hyperlink>
      <w:hyperlink r:id="rId9">
        <w:r>
          <w:rPr>
            <w:color w:val="000000"/>
          </w:rPr>
          <w:t xml:space="preserve">, </w:t>
        </w:r>
      </w:hyperlink>
      <w:hyperlink r:id="rId10">
        <w:r>
          <w:t>2024</w:t>
        </w:r>
      </w:hyperlink>
      <w:hyperlink r:id="rId11">
        <w:r>
          <w:rPr>
            <w:color w:val="000000"/>
          </w:rPr>
          <w:t>)</w:t>
        </w:r>
      </w:hyperlink>
      <w:r>
        <w:t xml:space="preserve"> of clinical phenotypes associated with the genetic regions of the yet undescribed, S and PMN specific transcripts ENSG00000288836 and ENSG00000288819</w:t>
      </w:r>
    </w:p>
    <w:p w14:paraId="000000E1" w14:textId="77777777" w:rsidR="000E449D" w:rsidRDefault="00000000">
      <w:r>
        <w:t>III a) workflow schematic of the single-cell integration with Φ-Space</w:t>
      </w:r>
      <w:r>
        <w:br/>
        <w:t xml:space="preserve">IIIb) Original UMAP with the original clustering from </w:t>
      </w:r>
      <w:hyperlink r:id="rId12">
        <w:r>
          <w:rPr>
            <w:color w:val="000000"/>
          </w:rPr>
          <w:t xml:space="preserve">(Schulte-Schrepping </w:t>
        </w:r>
      </w:hyperlink>
      <w:hyperlink r:id="rId13">
        <w:r>
          <w:rPr>
            <w:i/>
            <w:color w:val="000000"/>
          </w:rPr>
          <w:t>et al.</w:t>
        </w:r>
      </w:hyperlink>
      <w:hyperlink r:id="rId14">
        <w:r>
          <w:rPr>
            <w:color w:val="000000"/>
          </w:rPr>
          <w:t>, 2020)</w:t>
        </w:r>
      </w:hyperlink>
    </w:p>
    <w:p w14:paraId="000000E2" w14:textId="77777777" w:rsidR="000E449D" w:rsidRDefault="00000000">
      <w:r>
        <w:t>IV) Heatmap of z-value normalized transcript expression data for all validly identified SNHG transcripts.</w:t>
      </w:r>
      <w:r>
        <w:br/>
        <w:t>V a) Barplots of total histone intensity on mRNA and b) protein level in the different maturation stages</w:t>
      </w:r>
    </w:p>
    <w:p w14:paraId="000000E3" w14:textId="77777777" w:rsidR="000E449D" w:rsidRDefault="00000000">
      <w:pPr>
        <w:pStyle w:val="Heading3"/>
      </w:pPr>
      <w:bookmarkStart w:id="3" w:name="_2saetubsxw9m" w:colFirst="0" w:colLast="0"/>
      <w:bookmarkEnd w:id="3"/>
      <w:r>
        <w:lastRenderedPageBreak/>
        <w:t>sFig.3</w:t>
      </w:r>
    </w:p>
    <w:p w14:paraId="000000E4" w14:textId="77777777" w:rsidR="000E449D" w:rsidRDefault="00000000">
      <w:pPr>
        <w:rPr>
          <w:b/>
        </w:rPr>
      </w:pPr>
      <w:r>
        <w:rPr>
          <w:b/>
        </w:rPr>
        <w:t>FACS panel and microscopy of sorted cells</w:t>
      </w:r>
    </w:p>
    <w:p w14:paraId="000000E5" w14:textId="77777777" w:rsidR="000E449D" w:rsidRDefault="00000000">
      <w:r>
        <w:t>Ia) FACS panel used to identify the 6 bone-marrow maturation stages of human granulopoiesis</w:t>
      </w:r>
      <w:r>
        <w:br/>
        <w:t>Ib) Post-FACS sorting microscopy slides of the 6 bone-marrow maturation stages of human granulopoiesis</w:t>
      </w:r>
    </w:p>
    <w:p w14:paraId="000000E6" w14:textId="77777777" w:rsidR="000E449D" w:rsidRDefault="00000000">
      <w:pPr>
        <w:pStyle w:val="Heading3"/>
      </w:pPr>
      <w:bookmarkStart w:id="4" w:name="_pu6k8rjuoogm" w:colFirst="0" w:colLast="0"/>
      <w:bookmarkEnd w:id="4"/>
      <w:r>
        <w:t>sTab. 1</w:t>
      </w:r>
    </w:p>
    <w:p w14:paraId="000000E7" w14:textId="77777777" w:rsidR="000E449D" w:rsidRDefault="00000000">
      <w:r>
        <w:rPr>
          <w:b/>
        </w:rPr>
        <w:t>Maturation stage specific multiomic markers of human granulopoiesis</w:t>
      </w:r>
      <w:r>
        <w:br/>
        <w:t>Table to summarize all stage-specific markers identified in our atlas. Maturation stages in columns, omics levels in rows (mRNA, protein, miRNA, lncRNA), together with single cell population correlates and FACS cell surface antigens.</w:t>
      </w:r>
    </w:p>
    <w:p w14:paraId="000000E8" w14:textId="77777777" w:rsidR="000E449D" w:rsidRDefault="000E449D">
      <w:pPr>
        <w:pStyle w:val="Heading3"/>
      </w:pPr>
      <w:bookmarkStart w:id="5" w:name="_np0psqquuont" w:colFirst="0" w:colLast="0"/>
      <w:bookmarkEnd w:id="5"/>
    </w:p>
    <w:p w14:paraId="000000E9" w14:textId="77777777" w:rsidR="000E449D" w:rsidRDefault="00000000">
      <w:pPr>
        <w:pStyle w:val="Heading2"/>
      </w:pPr>
      <w:bookmarkStart w:id="6" w:name="_hts47cmums20" w:colFirst="0" w:colLast="0"/>
      <w:bookmarkEnd w:id="6"/>
      <w:r>
        <w:br w:type="page"/>
      </w:r>
    </w:p>
    <w:sectPr w:rsidR="000E449D">
      <w:headerReference w:type="default" r:id="rId15"/>
      <w:pgSz w:w="11906" w:h="16838"/>
      <w:pgMar w:top="873" w:right="873" w:bottom="873" w:left="873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D09AE2A" w14:textId="77777777" w:rsidR="00882D4E" w:rsidRDefault="00882D4E">
      <w:pPr>
        <w:spacing w:line="240" w:lineRule="auto"/>
      </w:pPr>
      <w:r>
        <w:separator/>
      </w:r>
    </w:p>
  </w:endnote>
  <w:endnote w:type="continuationSeparator" w:id="0">
    <w:p w14:paraId="60F96D22" w14:textId="77777777" w:rsidR="00882D4E" w:rsidRDefault="00882D4E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  <w:embedRegular r:id="rId1" w:fontKey="{C38942D9-DCF6-4EB9-8D95-282D2CC2E89C}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  <w:embedRegular r:id="rId2" w:fontKey="{3020D9B9-BC9C-4079-B549-FD1F5456BDFD}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874A81E" w14:textId="77777777" w:rsidR="00882D4E" w:rsidRDefault="00882D4E">
      <w:pPr>
        <w:spacing w:line="240" w:lineRule="auto"/>
      </w:pPr>
      <w:r>
        <w:separator/>
      </w:r>
    </w:p>
  </w:footnote>
  <w:footnote w:type="continuationSeparator" w:id="0">
    <w:p w14:paraId="5EA4AA26" w14:textId="77777777" w:rsidR="00882D4E" w:rsidRDefault="00882D4E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00001C6" w14:textId="77777777" w:rsidR="000E449D" w:rsidRDefault="000E449D"/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5D328B5"/>
    <w:multiLevelType w:val="multilevel"/>
    <w:tmpl w:val="E8661178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" w15:restartNumberingAfterBreak="0">
    <w:nsid w:val="4582423E"/>
    <w:multiLevelType w:val="multilevel"/>
    <w:tmpl w:val="2692013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" w15:restartNumberingAfterBreak="0">
    <w:nsid w:val="5AA374C2"/>
    <w:multiLevelType w:val="multilevel"/>
    <w:tmpl w:val="06ECC69E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" w15:restartNumberingAfterBreak="0">
    <w:nsid w:val="5ED26A5A"/>
    <w:multiLevelType w:val="multilevel"/>
    <w:tmpl w:val="7674C646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num w:numId="1" w16cid:durableId="332756555">
    <w:abstractNumId w:val="0"/>
  </w:num>
  <w:num w:numId="2" w16cid:durableId="730154981">
    <w:abstractNumId w:val="2"/>
  </w:num>
  <w:num w:numId="3" w16cid:durableId="144512124">
    <w:abstractNumId w:val="3"/>
  </w:num>
  <w:num w:numId="4" w16cid:durableId="41420371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0"/>
  <w:displayBackgroundShape/>
  <w:embedTrueTypeFonts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E449D"/>
    <w:rsid w:val="000E449D"/>
    <w:rsid w:val="003507F1"/>
    <w:rsid w:val="00882D4E"/>
    <w:rsid w:val="00F53D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E2323E30-FACB-448A-8351-5A5C73F903D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paperpile.com/c/X05KpB/LyG2" TargetMode="External"/><Relationship Id="rId13" Type="http://schemas.openxmlformats.org/officeDocument/2006/relationships/hyperlink" Target="https://paperpile.com/c/X05KpB/4btC" TargetMode="External"/><Relationship Id="rId3" Type="http://schemas.openxmlformats.org/officeDocument/2006/relationships/settings" Target="settings.xml"/><Relationship Id="rId7" Type="http://schemas.openxmlformats.org/officeDocument/2006/relationships/hyperlink" Target="https://paperpile.com/c/X05KpB/LyG2" TargetMode="External"/><Relationship Id="rId12" Type="http://schemas.openxmlformats.org/officeDocument/2006/relationships/hyperlink" Target="https://paperpile.com/c/X05KpB/4btC" TargetMode="External"/><Relationship Id="rId17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https://paperpile.com/c/X05KpB/LyG2" TargetMode="External"/><Relationship Id="rId5" Type="http://schemas.openxmlformats.org/officeDocument/2006/relationships/footnotes" Target="footnotes.xml"/><Relationship Id="rId15" Type="http://schemas.openxmlformats.org/officeDocument/2006/relationships/header" Target="header1.xml"/><Relationship Id="rId10" Type="http://schemas.openxmlformats.org/officeDocument/2006/relationships/hyperlink" Target="https://paperpile.com/c/X05KpB/LyG2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paperpile.com/c/X05KpB/LyG2" TargetMode="External"/><Relationship Id="rId14" Type="http://schemas.openxmlformats.org/officeDocument/2006/relationships/hyperlink" Target="https://paperpile.com/c/X05KpB/4btC" TargetMode="External"/></Relationships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635</Words>
  <Characters>3622</Characters>
  <Application>Microsoft Office Word</Application>
  <DocSecurity>0</DocSecurity>
  <Lines>30</Lines>
  <Paragraphs>8</Paragraphs>
  <ScaleCrop>false</ScaleCrop>
  <Company>Springer Nature</Company>
  <LinksUpToDate>false</LinksUpToDate>
  <CharactersWithSpaces>4249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Trupti Sudge</dc:creator>
  <cp:lastModifiedBy>Trupti Sudge</cp:lastModifiedBy>
  <cp:revision>2</cp:revision>
  <dcterms:created xsi:type="dcterms:W3CDTF">2025-04-03T08:08:00Z</dcterms:created>
  <dcterms:modified xsi:type="dcterms:W3CDTF">2025-04-03T08:08:00Z</dcterms:modified>
</cp:coreProperties>
</file>