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ABB8D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14:paraId="00B9F5FB" w14:textId="77777777" w:rsidR="003973BE" w:rsidRPr="00DC6758" w:rsidRDefault="003973BE" w:rsidP="003973B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C675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3. </w:t>
      </w:r>
      <w:r w:rsidRPr="00DC6758">
        <w:rPr>
          <w:rFonts w:ascii="Times New Roman" w:hAnsi="Times New Roman" w:cs="Times New Roman"/>
          <w:bCs/>
          <w:sz w:val="20"/>
          <w:szCs w:val="20"/>
          <w:lang w:val="en-US"/>
        </w:rPr>
        <w:t>Pearson Correlation Analysis of Tibial Nutrient Artery Parameters</w:t>
      </w:r>
      <w:r w:rsidRPr="00DC6758">
        <w:rPr>
          <w:rFonts w:ascii="Times New Roman" w:hAnsi="Times New Roman" w:cs="Times New Roman"/>
          <w:sz w:val="20"/>
          <w:szCs w:val="20"/>
        </w:rPr>
        <w:t xml:space="preserve"> </w:t>
      </w:r>
      <w:r w:rsidRPr="00DC6758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49ECC05D" wp14:editId="00BE93AE">
            <wp:extent cx="5748596" cy="1956021"/>
            <wp:effectExtent l="0" t="0" r="5080" b="6350"/>
            <wp:docPr id="3" name="Resim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 descr="A screenshot of a computer&#10;&#10;AI-generated content may be incorrect."/>
                    <pic:cNvPicPr/>
                  </pic:nvPicPr>
                  <pic:blipFill rotWithShape="1">
                    <a:blip r:embed="rId4"/>
                    <a:srcRect l="42926" t="32646" r="9586" b="25249"/>
                    <a:stretch/>
                  </pic:blipFill>
                  <pic:spPr bwMode="auto">
                    <a:xfrm>
                      <a:off x="0" y="0"/>
                      <a:ext cx="5879684" cy="200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oKlavuzu1"/>
        <w:tblW w:w="0" w:type="auto"/>
        <w:tblLook w:val="04A0" w:firstRow="1" w:lastRow="0" w:firstColumn="1" w:lastColumn="0" w:noHBand="0" w:noVBand="1"/>
      </w:tblPr>
      <w:tblGrid>
        <w:gridCol w:w="1860"/>
        <w:gridCol w:w="1877"/>
        <w:gridCol w:w="1853"/>
        <w:gridCol w:w="1351"/>
        <w:gridCol w:w="2121"/>
      </w:tblGrid>
      <w:tr w:rsidR="003973BE" w:rsidRPr="00DC6758" w14:paraId="2510017C" w14:textId="77777777" w:rsidTr="007A6A92">
        <w:tc>
          <w:tcPr>
            <w:tcW w:w="1860" w:type="dxa"/>
          </w:tcPr>
          <w:p w14:paraId="791E4511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 1</w:t>
            </w:r>
          </w:p>
        </w:tc>
        <w:tc>
          <w:tcPr>
            <w:tcW w:w="1877" w:type="dxa"/>
          </w:tcPr>
          <w:p w14:paraId="194CA7CC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 2</w:t>
            </w:r>
          </w:p>
        </w:tc>
        <w:tc>
          <w:tcPr>
            <w:tcW w:w="1853" w:type="dxa"/>
          </w:tcPr>
          <w:p w14:paraId="2CCDFD79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Pearson r</w:t>
            </w:r>
          </w:p>
        </w:tc>
        <w:tc>
          <w:tcPr>
            <w:tcW w:w="1351" w:type="dxa"/>
          </w:tcPr>
          <w:p w14:paraId="7581E5EB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121" w:type="dxa"/>
          </w:tcPr>
          <w:p w14:paraId="135E55D8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95% CI</w:t>
            </w:r>
          </w:p>
        </w:tc>
      </w:tr>
      <w:tr w:rsidR="003973BE" w:rsidRPr="00DC6758" w14:paraId="1886500C" w14:textId="77777777" w:rsidTr="007A6A92">
        <w:tc>
          <w:tcPr>
            <w:tcW w:w="1860" w:type="dxa"/>
          </w:tcPr>
          <w:p w14:paraId="7215A67E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Tibia length (cm)</w:t>
            </w:r>
          </w:p>
        </w:tc>
        <w:tc>
          <w:tcPr>
            <w:tcW w:w="1877" w:type="dxa"/>
          </w:tcPr>
          <w:p w14:paraId="43A135AC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length (cm)</w:t>
            </w:r>
          </w:p>
        </w:tc>
        <w:tc>
          <w:tcPr>
            <w:tcW w:w="1853" w:type="dxa"/>
          </w:tcPr>
          <w:p w14:paraId="1A94D1BE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1351" w:type="dxa"/>
          </w:tcPr>
          <w:p w14:paraId="5A3F19B9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0.00018</w:t>
            </w:r>
          </w:p>
        </w:tc>
        <w:tc>
          <w:tcPr>
            <w:tcW w:w="2121" w:type="dxa"/>
          </w:tcPr>
          <w:p w14:paraId="41CAB4C9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(0.248–0.660)</w:t>
            </w:r>
          </w:p>
        </w:tc>
      </w:tr>
      <w:tr w:rsidR="003973BE" w:rsidRPr="00DC6758" w14:paraId="1A72DF8B" w14:textId="77777777" w:rsidTr="007A6A92">
        <w:tc>
          <w:tcPr>
            <w:tcW w:w="1860" w:type="dxa"/>
          </w:tcPr>
          <w:p w14:paraId="73B9ABB5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Tibia length (cm)</w:t>
            </w:r>
          </w:p>
        </w:tc>
        <w:tc>
          <w:tcPr>
            <w:tcW w:w="1877" w:type="dxa"/>
          </w:tcPr>
          <w:p w14:paraId="34FD264E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diameter (mm)</w:t>
            </w:r>
          </w:p>
        </w:tc>
        <w:tc>
          <w:tcPr>
            <w:tcW w:w="1853" w:type="dxa"/>
          </w:tcPr>
          <w:p w14:paraId="6EB3595F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0.283</w:t>
            </w:r>
          </w:p>
        </w:tc>
        <w:tc>
          <w:tcPr>
            <w:tcW w:w="1351" w:type="dxa"/>
          </w:tcPr>
          <w:p w14:paraId="717885F3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0.03448</w:t>
            </w:r>
          </w:p>
        </w:tc>
        <w:tc>
          <w:tcPr>
            <w:tcW w:w="2121" w:type="dxa"/>
          </w:tcPr>
          <w:p w14:paraId="37B79F9B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(0.022–0.508)</w:t>
            </w:r>
          </w:p>
        </w:tc>
      </w:tr>
      <w:tr w:rsidR="003973BE" w:rsidRPr="00DC6758" w14:paraId="77AAFC41" w14:textId="77777777" w:rsidTr="007A6A92">
        <w:tc>
          <w:tcPr>
            <w:tcW w:w="1860" w:type="dxa"/>
          </w:tcPr>
          <w:p w14:paraId="43F68FFE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length (cm)</w:t>
            </w:r>
          </w:p>
        </w:tc>
        <w:tc>
          <w:tcPr>
            <w:tcW w:w="1877" w:type="dxa"/>
          </w:tcPr>
          <w:p w14:paraId="64FEDB76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diameter (mm)</w:t>
            </w:r>
          </w:p>
        </w:tc>
        <w:tc>
          <w:tcPr>
            <w:tcW w:w="1853" w:type="dxa"/>
          </w:tcPr>
          <w:p w14:paraId="2036360E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1351" w:type="dxa"/>
          </w:tcPr>
          <w:p w14:paraId="5AC4780C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0.94408</w:t>
            </w:r>
          </w:p>
        </w:tc>
        <w:tc>
          <w:tcPr>
            <w:tcW w:w="2121" w:type="dxa"/>
          </w:tcPr>
          <w:p w14:paraId="3E3E50B5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(-0.272–0.254)</w:t>
            </w:r>
          </w:p>
        </w:tc>
      </w:tr>
    </w:tbl>
    <w:p w14:paraId="759C34E8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4A6ACAF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6758">
        <w:rPr>
          <w:rFonts w:ascii="Times New Roman" w:hAnsi="Times New Roman" w:cs="Times New Roman"/>
          <w:b/>
          <w:iCs/>
          <w:sz w:val="20"/>
          <w:szCs w:val="20"/>
          <w:lang w:val="en-US"/>
        </w:rPr>
        <w:t>Table 4.</w:t>
      </w:r>
      <w:r w:rsidRPr="00DC6758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Comparison of Nutrient Artery Parameters Between Right and Left Tibiae Using the Mann-Whitney U Test</w:t>
      </w:r>
    </w:p>
    <w:p w14:paraId="093B678E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6758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01F9B512" wp14:editId="2A343B66">
            <wp:extent cx="5742589" cy="2043486"/>
            <wp:effectExtent l="0" t="0" r="0" b="0"/>
            <wp:docPr id="4" name="Resim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 descr="A screenshot of a computer&#10;&#10;AI-generated content may be incorrect."/>
                    <pic:cNvPicPr/>
                  </pic:nvPicPr>
                  <pic:blipFill rotWithShape="1">
                    <a:blip r:embed="rId5"/>
                    <a:srcRect l="42788" t="27922" r="9867" b="19663"/>
                    <a:stretch/>
                  </pic:blipFill>
                  <pic:spPr bwMode="auto">
                    <a:xfrm>
                      <a:off x="0" y="0"/>
                      <a:ext cx="5788414" cy="2059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oKlavuzu2"/>
        <w:tblW w:w="0" w:type="auto"/>
        <w:tblLook w:val="04A0" w:firstRow="1" w:lastRow="0" w:firstColumn="1" w:lastColumn="0" w:noHBand="0" w:noVBand="1"/>
      </w:tblPr>
      <w:tblGrid>
        <w:gridCol w:w="3256"/>
        <w:gridCol w:w="2785"/>
        <w:gridCol w:w="3021"/>
      </w:tblGrid>
      <w:tr w:rsidR="003973BE" w:rsidRPr="00DC6758" w14:paraId="6CA879EE" w14:textId="77777777" w:rsidTr="007A6A92">
        <w:tc>
          <w:tcPr>
            <w:tcW w:w="3256" w:type="dxa"/>
          </w:tcPr>
          <w:p w14:paraId="47006BFB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2785" w:type="dxa"/>
          </w:tcPr>
          <w:p w14:paraId="763B5B44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 Statistic</w:t>
            </w:r>
          </w:p>
        </w:tc>
        <w:tc>
          <w:tcPr>
            <w:tcW w:w="3021" w:type="dxa"/>
          </w:tcPr>
          <w:p w14:paraId="5E292CCC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p-value</w:t>
            </w:r>
          </w:p>
        </w:tc>
      </w:tr>
      <w:tr w:rsidR="003973BE" w:rsidRPr="00DC6758" w14:paraId="6ADAAD6C" w14:textId="77777777" w:rsidTr="007A6A92">
        <w:tc>
          <w:tcPr>
            <w:tcW w:w="3256" w:type="dxa"/>
          </w:tcPr>
          <w:p w14:paraId="165A87EA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Tibia length (cm)</w:t>
            </w:r>
          </w:p>
        </w:tc>
        <w:tc>
          <w:tcPr>
            <w:tcW w:w="2785" w:type="dxa"/>
          </w:tcPr>
          <w:p w14:paraId="2A1CD794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347.5</w:t>
            </w:r>
          </w:p>
        </w:tc>
        <w:tc>
          <w:tcPr>
            <w:tcW w:w="3021" w:type="dxa"/>
          </w:tcPr>
          <w:p w14:paraId="2F870BC1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0.61349</w:t>
            </w:r>
          </w:p>
        </w:tc>
      </w:tr>
      <w:tr w:rsidR="003973BE" w:rsidRPr="00DC6758" w14:paraId="39651C09" w14:textId="77777777" w:rsidTr="007A6A92">
        <w:tc>
          <w:tcPr>
            <w:tcW w:w="3256" w:type="dxa"/>
          </w:tcPr>
          <w:p w14:paraId="623BFEEB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length (cm)</w:t>
            </w:r>
          </w:p>
        </w:tc>
        <w:tc>
          <w:tcPr>
            <w:tcW w:w="2785" w:type="dxa"/>
          </w:tcPr>
          <w:p w14:paraId="32AF72C9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434.5</w:t>
            </w:r>
          </w:p>
        </w:tc>
        <w:tc>
          <w:tcPr>
            <w:tcW w:w="3021" w:type="dxa"/>
          </w:tcPr>
          <w:p w14:paraId="0FD354B3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0.34577</w:t>
            </w:r>
          </w:p>
        </w:tc>
      </w:tr>
      <w:tr w:rsidR="003973BE" w:rsidRPr="00DC6758" w14:paraId="5AB3853B" w14:textId="77777777" w:rsidTr="007A6A92">
        <w:tc>
          <w:tcPr>
            <w:tcW w:w="3256" w:type="dxa"/>
          </w:tcPr>
          <w:p w14:paraId="76F16A45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Nutrient artery diameter (mm)</w:t>
            </w:r>
          </w:p>
        </w:tc>
        <w:tc>
          <w:tcPr>
            <w:tcW w:w="2785" w:type="dxa"/>
          </w:tcPr>
          <w:p w14:paraId="2686D393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391.0</w:t>
            </w:r>
          </w:p>
        </w:tc>
        <w:tc>
          <w:tcPr>
            <w:tcW w:w="3021" w:type="dxa"/>
          </w:tcPr>
          <w:p w14:paraId="1D6F87A5" w14:textId="77777777" w:rsidR="003973BE" w:rsidRPr="00DC6758" w:rsidRDefault="003973BE" w:rsidP="007A6A9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67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0.83327</w:t>
            </w:r>
          </w:p>
        </w:tc>
      </w:tr>
    </w:tbl>
    <w:p w14:paraId="340AFC6E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482D331" w14:textId="77777777" w:rsidR="003973BE" w:rsidRPr="00DC6758" w:rsidRDefault="003973BE" w:rsidP="003973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6758">
        <w:rPr>
          <w:rFonts w:ascii="Times New Roman" w:hAnsi="Times New Roman" w:cs="Times New Roman"/>
          <w:noProof/>
          <w:sz w:val="20"/>
          <w:szCs w:val="20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CA950A" wp14:editId="7EC45E25">
                <wp:simplePos x="0" y="0"/>
                <wp:positionH relativeFrom="column">
                  <wp:posOffset>-1298</wp:posOffset>
                </wp:positionH>
                <wp:positionV relativeFrom="paragraph">
                  <wp:posOffset>-1298</wp:posOffset>
                </wp:positionV>
                <wp:extent cx="2176780" cy="2019632"/>
                <wp:effectExtent l="0" t="0" r="13970" b="1905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780" cy="20196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10ECA" w14:textId="77777777" w:rsidR="003973BE" w:rsidRPr="00F66BD5" w:rsidRDefault="003973BE" w:rsidP="003973B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F66BD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en-US"/>
                              </w:rPr>
                              <w:t xml:space="preserve">Table 5. </w:t>
                            </w:r>
                            <w:r w:rsidRPr="00F66BD5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High risk</w:t>
                            </w:r>
                            <w:r w:rsidRPr="00F66BD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en-US"/>
                              </w:rPr>
                              <w:t xml:space="preserve"> </w:t>
                            </w:r>
                            <w:r w:rsidRPr="00F66BD5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zone spans from 6.96 cm to 22.75 cm along the bone and corresponds to the 135°–225° arc in a 360° cross-sectional view—encompassing the posterolateral, posterior, and posteromedial aspects—where nutrient arteries are densely concentrated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CA950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-.1pt;margin-top:-.1pt;width:171.4pt;height:159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">
                <v:textbox>
                  <w:txbxContent>
                    <w:p w14:paraId="7E810ECA" w14:textId="77777777" w:rsidR="003973BE" w:rsidRPr="00F66BD5" w:rsidRDefault="003973BE" w:rsidP="003973B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F66BD5">
                        <w:rPr>
                          <w:rFonts w:ascii="Times New Roman" w:hAnsi="Times New Roman" w:cs="Times New Roman"/>
                          <w:b/>
                          <w:sz w:val="24"/>
                          <w:lang w:val="en-US"/>
                        </w:rPr>
                        <w:t xml:space="preserve">Table 5. </w:t>
                      </w:r>
                      <w:r w:rsidRPr="00F66BD5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High risk</w:t>
                      </w:r>
                      <w:r w:rsidRPr="00F66BD5">
                        <w:rPr>
                          <w:rFonts w:ascii="Times New Roman" w:hAnsi="Times New Roman" w:cs="Times New Roman"/>
                          <w:b/>
                          <w:sz w:val="24"/>
                          <w:lang w:val="en-US"/>
                        </w:rPr>
                        <w:t xml:space="preserve"> </w:t>
                      </w:r>
                      <w:r w:rsidRPr="00F66BD5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zone spans from 6.96 cm to 22.75 cm along the bone and corresponds to the 135°–225° arc in a 360° cross-sectional view—encompassing the posterolateral, posterior, and posteromedial aspects—where nutrient arteries are densely concentrated</w:t>
                      </w:r>
                    </w:p>
                  </w:txbxContent>
                </v:textbox>
              </v:shape>
            </w:pict>
          </mc:Fallback>
        </mc:AlternateContent>
      </w:r>
      <w:r w:rsidRPr="00DC6758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4E5CB683" wp14:editId="55D2B035">
            <wp:extent cx="2176802" cy="2031338"/>
            <wp:effectExtent l="0" t="0" r="0" b="7620"/>
            <wp:docPr id="5" name="Resim 5" descr="D:\Radyoloji Okumalık\Tibia Nutrient artery\outp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adyoloji Okumalık\Tibia Nutrient artery\outpu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666" cy="20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58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drawing>
          <wp:inline distT="0" distB="0" distL="0" distR="0" wp14:anchorId="0EBEBB52" wp14:editId="4624F901">
            <wp:extent cx="1645803" cy="4119245"/>
            <wp:effectExtent l="0" t="0" r="0" b="0"/>
            <wp:docPr id="6" name="Resim 6" descr="D:\Radyoloji Okumalık\Tibia Nutrient artery\outpu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Radyoloji Okumalık\Tibia Nutrient artery\output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917" cy="44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7C0A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3BE"/>
    <w:rsid w:val="003973BE"/>
    <w:rsid w:val="003C2EF4"/>
    <w:rsid w:val="00A74540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7755E"/>
  <w15:chartTrackingRefBased/>
  <w15:docId w15:val="{C14F3FF3-F929-4662-A347-A29636321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3BE"/>
    <w:rPr>
      <w:kern w:val="0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3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3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3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3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3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3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3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3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3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3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3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3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3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3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3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3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3BE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3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3BE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3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3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3BE"/>
    <w:rPr>
      <w:b/>
      <w:bCs/>
      <w:smallCaps/>
      <w:color w:val="0F4761" w:themeColor="accent1" w:themeShade="BF"/>
      <w:spacing w:val="5"/>
    </w:rPr>
  </w:style>
  <w:style w:type="table" w:customStyle="1" w:styleId="TabloKlavuzu1">
    <w:name w:val="Tablo Kılavuzu1"/>
    <w:basedOn w:val="TableNormal"/>
    <w:next w:val="TableGrid"/>
    <w:uiPriority w:val="39"/>
    <w:rsid w:val="003973BE"/>
    <w:pPr>
      <w:spacing w:after="0" w:line="240" w:lineRule="auto"/>
    </w:pPr>
    <w:rPr>
      <w:kern w:val="0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TableNormal"/>
    <w:next w:val="TableGrid"/>
    <w:uiPriority w:val="39"/>
    <w:rsid w:val="003973BE"/>
    <w:pPr>
      <w:spacing w:after="0" w:line="240" w:lineRule="auto"/>
    </w:pPr>
    <w:rPr>
      <w:kern w:val="0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97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541</Characters>
  <Application>Microsoft Office Word</Application>
  <DocSecurity>0</DocSecurity>
  <Lines>4</Lines>
  <Paragraphs>1</Paragraphs>
  <ScaleCrop>false</ScaleCrop>
  <Company>Springer Nature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2025-04-03T12:05:00Z</dcterms:created>
  <dcterms:modified xsi:type="dcterms:W3CDTF">2025-04-03T12:06:00Z</dcterms:modified>
</cp:coreProperties>
</file>