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DFBF3E">
      <w:pPr>
        <w:jc w:val="left"/>
        <w:rPr>
          <w:rFonts w:hint="eastAsia" w:ascii="Times New Roman" w:hAnsi="Times New Roman" w:cs="Times New Roman" w:eastAsiaTheme="minorEastAsia"/>
          <w:b/>
          <w:bCs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Supplement</w:t>
      </w:r>
      <w:bookmarkStart w:id="6" w:name="_GoBack"/>
      <w:bookmarkEnd w:id="6"/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  <w:woUserID w:val="2"/>
        </w:rPr>
        <w:t>6</w:t>
      </w:r>
    </w:p>
    <w:p w14:paraId="21D7D421">
      <w:pPr>
        <w:jc w:val="center"/>
        <w:rPr>
          <w:rFonts w:hint="eastAsia" w:ascii="Times New Roman" w:hAnsi="Times New Roman" w:eastAsia="宋体" w:cs="Times New Roman"/>
          <w:color w:val="auto"/>
          <w:kern w:val="2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Table 1: </w:t>
      </w:r>
      <w:r>
        <w:rPr>
          <w:rFonts w:hint="default" w:ascii="Times New Roman" w:hAnsi="Times New Roman" w:cs="Times New Roman"/>
          <w:b/>
          <w:bCs/>
          <w:color w:val="auto"/>
          <w:sz w:val="21"/>
          <w:szCs w:val="21"/>
          <w:highlight w:val="none"/>
          <w:vertAlign w:val="baseline"/>
          <w:lang w:val="en-US" w:eastAsia="zh-CN"/>
        </w:rPr>
        <w:t>Grounds for exclusion or inclusion</w:t>
      </w:r>
      <w:r>
        <w:rPr>
          <w:rFonts w:hint="eastAsia" w:ascii="Times New Roman" w:hAnsi="Times New Roman" w:cs="Times New Roman"/>
          <w:b/>
          <w:bCs/>
          <w:color w:val="auto"/>
          <w:sz w:val="21"/>
          <w:szCs w:val="21"/>
          <w:highlight w:val="none"/>
          <w:vertAlign w:val="baseline"/>
          <w:lang w:val="en-US" w:eastAsia="zh-CN"/>
        </w:rPr>
        <w:t xml:space="preserve"> in the first version of the CFGI</w:t>
      </w:r>
      <w:r>
        <w:rPr>
          <w:rFonts w:hint="eastAsia" w:ascii="Times New Roman" w:hAnsi="Times New Roman" w:eastAsia="宋体" w:cs="Times New Roman"/>
          <w:color w:val="auto"/>
          <w:kern w:val="2"/>
          <w:sz w:val="21"/>
          <w:szCs w:val="21"/>
          <w:lang w:val="en-US" w:eastAsia="zh-CN" w:bidi="ar"/>
        </w:rPr>
        <w:t>.</w:t>
      </w:r>
    </w:p>
    <w:p w14:paraId="1620161C">
      <w:pPr>
        <w:pStyle w:val="2"/>
        <w:numPr>
          <w:ilvl w:val="0"/>
          <w:numId w:val="0"/>
        </w:numPr>
        <w:rPr>
          <w:rFonts w:hint="default" w:ascii="Times New Roman" w:hAnsi="Times New Roman" w:eastAsia="宋体" w:cs="Times New Roman"/>
          <w:color w:val="auto"/>
          <w:kern w:val="2"/>
          <w:sz w:val="21"/>
          <w:szCs w:val="21"/>
          <w:highlight w:val="none"/>
          <w:lang w:val="en-US" w:eastAsia="zh-CN" w:bidi="ar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6"/>
        <w:gridCol w:w="5408"/>
        <w:gridCol w:w="5577"/>
        <w:gridCol w:w="1420"/>
      </w:tblGrid>
      <w:tr w14:paraId="2B7B84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</w:tcPr>
          <w:p w14:paraId="05BD27AB">
            <w:pPr>
              <w:rPr>
                <w:rFonts w:hint="default" w:ascii="Times New Roman" w:hAnsi="Times New Roman" w:cs="Times New Roman"/>
                <w:vertAlign w:val="baseline"/>
                <w:lang w:val="en-US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Domains</w:t>
            </w:r>
          </w:p>
        </w:tc>
        <w:tc>
          <w:tcPr>
            <w:tcW w:w="5408" w:type="dxa"/>
          </w:tcPr>
          <w:p w14:paraId="4208B718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shd w:val="clear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Constructs</w:t>
            </w:r>
          </w:p>
        </w:tc>
        <w:tc>
          <w:tcPr>
            <w:tcW w:w="5577" w:type="dxa"/>
          </w:tcPr>
          <w:p w14:paraId="2E03A516">
            <w:pPr>
              <w:rPr>
                <w:rFonts w:hint="default" w:ascii="Times New Roman" w:hAnsi="Times New Roman" w:cs="Times New Roman"/>
                <w:vertAlign w:val="baseline"/>
              </w:rPr>
            </w:pPr>
            <w:bookmarkStart w:id="0" w:name="OLE_LINK6"/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Grounds for exclusion or inclusion</w:t>
            </w:r>
            <w:bookmarkEnd w:id="0"/>
          </w:p>
        </w:tc>
        <w:tc>
          <w:tcPr>
            <w:tcW w:w="1420" w:type="dxa"/>
          </w:tcPr>
          <w:p w14:paraId="6718B7F5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Include/ delete/ merge</w:t>
            </w:r>
          </w:p>
        </w:tc>
      </w:tr>
      <w:tr w14:paraId="1CC450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  <w:vMerge w:val="restart"/>
          </w:tcPr>
          <w:p w14:paraId="0EF177FC">
            <w:pPr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Clarity and consistency of recommendations</w:t>
            </w:r>
          </w:p>
          <w:p w14:paraId="6BDD4DB6">
            <w:pPr>
              <w:jc w:val="both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  <w:p w14:paraId="3413BD68"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5408" w:type="dxa"/>
          </w:tcPr>
          <w:p w14:paraId="2C49FFBE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1.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The recommendations align with implementation objectives.</w:t>
            </w:r>
          </w:p>
        </w:tc>
        <w:tc>
          <w:tcPr>
            <w:tcW w:w="5577" w:type="dxa"/>
          </w:tcPr>
          <w:p w14:paraId="326B43B9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It's vague.</w:t>
            </w:r>
          </w:p>
        </w:tc>
        <w:tc>
          <w:tcPr>
            <w:tcW w:w="1420" w:type="dxa"/>
          </w:tcPr>
          <w:p w14:paraId="0E022E68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Delete</w:t>
            </w:r>
          </w:p>
        </w:tc>
      </w:tr>
      <w:tr w14:paraId="16471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  <w:vMerge w:val="continue"/>
          </w:tcPr>
          <w:p w14:paraId="5A44B743"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5408" w:type="dxa"/>
          </w:tcPr>
          <w:p w14:paraId="132C40C5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2.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Clinical questions are clearly defined and consistent with recommendations.</w:t>
            </w:r>
          </w:p>
        </w:tc>
        <w:tc>
          <w:tcPr>
            <w:tcW w:w="5577" w:type="dxa"/>
          </w:tcPr>
          <w:p w14:paraId="689E1D37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1-5: The summary of the guideline specifies the specific clinical problems.</w:t>
            </w:r>
          </w:p>
        </w:tc>
        <w:tc>
          <w:tcPr>
            <w:tcW w:w="1420" w:type="dxa"/>
          </w:tcPr>
          <w:p w14:paraId="1FAAB2BA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Include</w:t>
            </w:r>
          </w:p>
        </w:tc>
      </w:tr>
      <w:tr w14:paraId="3B23EF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  <w:vMerge w:val="continue"/>
          </w:tcPr>
          <w:p w14:paraId="56F6443D"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5408" w:type="dxa"/>
          </w:tcPr>
          <w:p w14:paraId="2E549D3C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3.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The guidelines contain no contradictions.</w:t>
            </w:r>
          </w:p>
        </w:tc>
        <w:tc>
          <w:tcPr>
            <w:tcW w:w="5577" w:type="dxa"/>
          </w:tcPr>
          <w:p w14:paraId="6D57E485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It's vague.</w:t>
            </w:r>
          </w:p>
        </w:tc>
        <w:tc>
          <w:tcPr>
            <w:tcW w:w="1420" w:type="dxa"/>
          </w:tcPr>
          <w:p w14:paraId="0FC930B5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Delete</w:t>
            </w:r>
          </w:p>
        </w:tc>
      </w:tr>
      <w:tr w14:paraId="736D6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  <w:vMerge w:val="continue"/>
          </w:tcPr>
          <w:p w14:paraId="73266EE1"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5408" w:type="dxa"/>
          </w:tcPr>
          <w:p w14:paraId="35629288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4.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shd w:val="clear"/>
                <w:vertAlign w:val="baseline"/>
                <w:lang w:val="en-US" w:eastAsia="zh-CN"/>
              </w:rPr>
              <w:t>Recommendations are clear and unambiguous.</w:t>
            </w:r>
          </w:p>
        </w:tc>
        <w:tc>
          <w:tcPr>
            <w:tcW w:w="5577" w:type="dxa"/>
          </w:tcPr>
          <w:p w14:paraId="5FF0A56B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Similar with </w:t>
            </w: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2-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3.Recommendations are clear, explicit, and feasible (specify what actions should or should not be taken, in which circumstances, and by whom).</w:t>
            </w:r>
          </w:p>
        </w:tc>
        <w:tc>
          <w:tcPr>
            <w:tcW w:w="1420" w:type="dxa"/>
          </w:tcPr>
          <w:p w14:paraId="36870A65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Merge</w:t>
            </w:r>
          </w:p>
        </w:tc>
      </w:tr>
      <w:tr w14:paraId="75893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  <w:vMerge w:val="continue"/>
          </w:tcPr>
          <w:p w14:paraId="51A78ED5"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5408" w:type="dxa"/>
          </w:tcPr>
          <w:p w14:paraId="729F6FF0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5.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The potential benefits and harms of recommendations are clearly described.</w:t>
            </w:r>
          </w:p>
        </w:tc>
        <w:tc>
          <w:tcPr>
            <w:tcW w:w="5577" w:type="dxa"/>
          </w:tcPr>
          <w:p w14:paraId="3697AD2F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"/>
              </w:rPr>
              <w:t>3-2: The guideline clearly describes the potential benefits and harms of the recommendations.</w:t>
            </w:r>
          </w:p>
        </w:tc>
        <w:tc>
          <w:tcPr>
            <w:tcW w:w="1420" w:type="dxa"/>
          </w:tcPr>
          <w:p w14:paraId="4FFA5A40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Include</w:t>
            </w:r>
          </w:p>
        </w:tc>
      </w:tr>
      <w:tr w14:paraId="51C13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  <w:vMerge w:val="continue"/>
          </w:tcPr>
          <w:p w14:paraId="0DA0AEF0"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5408" w:type="dxa"/>
          </w:tcPr>
          <w:p w14:paraId="6671E3FC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6.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Methodology for forming recommendations is clearly articulated.</w:t>
            </w:r>
          </w:p>
        </w:tc>
        <w:tc>
          <w:tcPr>
            <w:tcW w:w="5577" w:type="dxa"/>
          </w:tcPr>
          <w:p w14:paraId="60762697">
            <w:pPr>
              <w:rPr>
                <w:rFonts w:hint="default" w:ascii="Times New Roman" w:hAnsi="Times New Roman" w:cs="Times New Roman"/>
                <w:vertAlign w:val="baseline"/>
              </w:rPr>
            </w:pPr>
            <w:bookmarkStart w:id="1" w:name="OLE_LINK2"/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"/>
              </w:rPr>
              <w:t>3-1: Corresponding construct: The guideline clearly describes the methods used to form the recommendations.</w:t>
            </w:r>
            <w:bookmarkEnd w:id="1"/>
          </w:p>
        </w:tc>
        <w:tc>
          <w:tcPr>
            <w:tcW w:w="1420" w:type="dxa"/>
          </w:tcPr>
          <w:p w14:paraId="39618CA1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Include</w:t>
            </w:r>
          </w:p>
        </w:tc>
      </w:tr>
      <w:tr w14:paraId="12B5A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  <w:vMerge w:val="continue"/>
          </w:tcPr>
          <w:p w14:paraId="0610AB2B"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5408" w:type="dxa"/>
          </w:tcPr>
          <w:p w14:paraId="22031780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7.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There is a clear connection between recommendations and supporting evidence.</w:t>
            </w:r>
          </w:p>
        </w:tc>
        <w:tc>
          <w:tcPr>
            <w:tcW w:w="5577" w:type="dxa"/>
          </w:tcPr>
          <w:p w14:paraId="223B578E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"/>
              </w:rPr>
              <w:t>2-1: Recommendations are supported by references.</w:t>
            </w:r>
          </w:p>
        </w:tc>
        <w:tc>
          <w:tcPr>
            <w:tcW w:w="1420" w:type="dxa"/>
          </w:tcPr>
          <w:p w14:paraId="59D0C8B4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Include</w:t>
            </w:r>
          </w:p>
        </w:tc>
      </w:tr>
      <w:tr w14:paraId="0C3609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  <w:vMerge w:val="continue"/>
          </w:tcPr>
          <w:p w14:paraId="1286A8C2"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5408" w:type="dxa"/>
          </w:tcPr>
          <w:p w14:paraId="06175BF2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shd w:val="clear"/>
                <w:vertAlign w:val="baseline"/>
                <w:lang w:val="en-US" w:eastAsia="zh-CN" w:bidi="ar-SA"/>
              </w:rPr>
              <w:t>8.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shd w:val="clear"/>
                <w:vertAlign w:val="baseline"/>
                <w:lang w:val="en-US" w:eastAsia="zh-CN"/>
              </w:rPr>
              <w:t>Guidelines define their scope and purpose clearly.</w:t>
            </w:r>
          </w:p>
        </w:tc>
        <w:tc>
          <w:tcPr>
            <w:tcW w:w="5577" w:type="dxa"/>
          </w:tcPr>
          <w:p w14:paraId="2A401E55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1-1: The guideline clearly defines its scope and purpose.</w:t>
            </w:r>
          </w:p>
        </w:tc>
        <w:tc>
          <w:tcPr>
            <w:tcW w:w="1420" w:type="dxa"/>
          </w:tcPr>
          <w:p w14:paraId="16DCAAB3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Include</w:t>
            </w:r>
          </w:p>
        </w:tc>
      </w:tr>
      <w:tr w14:paraId="57BEE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  <w:vMerge w:val="restart"/>
          </w:tcPr>
          <w:p w14:paraId="7C36C88B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Detail and usability</w:t>
            </w:r>
          </w:p>
        </w:tc>
        <w:tc>
          <w:tcPr>
            <w:tcW w:w="5408" w:type="dxa"/>
          </w:tcPr>
          <w:p w14:paraId="1D6711D9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shd w:val="clear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1.Recommendations provide sufficient detail for target users based on their baseline knowledge and skills.</w:t>
            </w:r>
          </w:p>
        </w:tc>
        <w:tc>
          <w:tcPr>
            <w:tcW w:w="5577" w:type="dxa"/>
          </w:tcPr>
          <w:p w14:paraId="6B51478B">
            <w:pPr>
              <w:pStyle w:val="2"/>
              <w:numPr>
                <w:ilvl w:val="0"/>
                <w:numId w:val="0"/>
              </w:num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"/>
              </w:rPr>
              <w:t xml:space="preserve">2-2: Recommendations provides sufficient details to support the implementation of the guideline, such as recommendations to specific dosage, timing, and frequency of medication, etc. </w:t>
            </w:r>
          </w:p>
        </w:tc>
        <w:tc>
          <w:tcPr>
            <w:tcW w:w="1420" w:type="dxa"/>
          </w:tcPr>
          <w:p w14:paraId="5BE71BAC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Include</w:t>
            </w:r>
          </w:p>
        </w:tc>
      </w:tr>
      <w:tr w14:paraId="7AA876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  <w:vMerge w:val="continue"/>
          </w:tcPr>
          <w:p w14:paraId="4C897640"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5408" w:type="dxa"/>
          </w:tcPr>
          <w:p w14:paraId="7EE67FCA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shd w:val="clear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  <w:t>2.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Recommendations allow for interpretation and substitution during implementation.</w:t>
            </w:r>
          </w:p>
        </w:tc>
        <w:tc>
          <w:tcPr>
            <w:tcW w:w="5577" w:type="dxa"/>
          </w:tcPr>
          <w:p w14:paraId="7A16860A">
            <w:pPr>
              <w:jc w:val="left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"/>
              </w:rPr>
              <w:t>2-4: Recommendations are feasible in the actual clinical setting, with specific implementation steps provided.</w:t>
            </w:r>
          </w:p>
        </w:tc>
        <w:tc>
          <w:tcPr>
            <w:tcW w:w="1420" w:type="dxa"/>
          </w:tcPr>
          <w:p w14:paraId="21FFF62C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Include</w:t>
            </w:r>
          </w:p>
        </w:tc>
      </w:tr>
      <w:tr w14:paraId="3B172F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  <w:vMerge w:val="continue"/>
          </w:tcPr>
          <w:p w14:paraId="18193636"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5408" w:type="dxa"/>
          </w:tcPr>
          <w:p w14:paraId="501E93E3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shd w:val="clear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3.The language of the guidelines is clear, simple, and concise, avoiding excessive numbers or statistical data.</w:t>
            </w:r>
          </w:p>
        </w:tc>
        <w:tc>
          <w:tcPr>
            <w:tcW w:w="5577" w:type="dxa"/>
          </w:tcPr>
          <w:p w14:paraId="7FA93210">
            <w:pPr>
              <w:pStyle w:val="2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"/>
              </w:rPr>
              <w:t>2-3: Recommendations are clear, explicit, and feasible (specify what actions should or should not be taken, in which circumstances, and by whom).</w:t>
            </w:r>
          </w:p>
          <w:p w14:paraId="4A069152"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420" w:type="dxa"/>
          </w:tcPr>
          <w:p w14:paraId="7B0D4E5E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Include</w:t>
            </w:r>
          </w:p>
        </w:tc>
      </w:tr>
      <w:tr w14:paraId="0DF64B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  <w:vMerge w:val="continue"/>
          </w:tcPr>
          <w:p w14:paraId="6311A7CF"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5408" w:type="dxa"/>
          </w:tcPr>
          <w:p w14:paraId="050FBD91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shd w:val="clear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4. Diagnostic key points and other content are clearly defined.</w:t>
            </w:r>
          </w:p>
        </w:tc>
        <w:tc>
          <w:tcPr>
            <w:tcW w:w="5577" w:type="dxa"/>
          </w:tcPr>
          <w:p w14:paraId="76F1255A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It's vague.</w:t>
            </w:r>
          </w:p>
        </w:tc>
        <w:tc>
          <w:tcPr>
            <w:tcW w:w="1420" w:type="dxa"/>
          </w:tcPr>
          <w:p w14:paraId="4E3B37D6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Delete</w:t>
            </w:r>
          </w:p>
        </w:tc>
      </w:tr>
      <w:tr w14:paraId="2B615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  <w:vMerge w:val="continue"/>
          </w:tcPr>
          <w:p w14:paraId="0ADAABD7"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5408" w:type="dxa"/>
          </w:tcPr>
          <w:p w14:paraId="14DFEBEF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shd w:val="clear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5. The guidelines include a summary table of contents and present evidence in an accessible format.</w:t>
            </w:r>
          </w:p>
        </w:tc>
        <w:tc>
          <w:tcPr>
            <w:tcW w:w="5577" w:type="dxa"/>
          </w:tcPr>
          <w:p w14:paraId="225BFD66">
            <w:pPr>
              <w:pStyle w:val="2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"/>
              </w:rPr>
              <w:t>1-4: The summary of the guideline details the number of clinical problems.</w:t>
            </w:r>
          </w:p>
          <w:p w14:paraId="54267F92">
            <w:pP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"/>
              </w:rPr>
              <w:t>3-5: The summary of the guideline explains the overall situation of the evidence.</w:t>
            </w:r>
          </w:p>
          <w:p w14:paraId="66D41B65">
            <w:pP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"/>
              </w:rPr>
              <w:t xml:space="preserve">4-1: 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The guideline has proper formatting, layout, and structure for easy reference.</w:t>
            </w:r>
          </w:p>
        </w:tc>
        <w:tc>
          <w:tcPr>
            <w:tcW w:w="1420" w:type="dxa"/>
          </w:tcPr>
          <w:p w14:paraId="490C8259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Include</w:t>
            </w:r>
          </w:p>
        </w:tc>
      </w:tr>
      <w:tr w14:paraId="45A107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  <w:vMerge w:val="continue"/>
          </w:tcPr>
          <w:p w14:paraId="48AACD96"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5408" w:type="dxa"/>
          </w:tcPr>
          <w:p w14:paraId="702660D3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shd w:val="clear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6. Guidelines explain educational or training requirements for practitioners.</w:t>
            </w:r>
          </w:p>
        </w:tc>
        <w:tc>
          <w:tcPr>
            <w:tcW w:w="5577" w:type="dxa"/>
          </w:tcPr>
          <w:p w14:paraId="0751A8DC"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It's vague.</w:t>
            </w:r>
          </w:p>
        </w:tc>
        <w:tc>
          <w:tcPr>
            <w:tcW w:w="1420" w:type="dxa"/>
          </w:tcPr>
          <w:p w14:paraId="1C786EFA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Delete</w:t>
            </w:r>
          </w:p>
        </w:tc>
      </w:tr>
      <w:tr w14:paraId="7F4703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  <w:vMerge w:val="continue"/>
          </w:tcPr>
          <w:p w14:paraId="5C33CCFF"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5408" w:type="dxa"/>
          </w:tcPr>
          <w:p w14:paraId="1C2741D2">
            <w:pP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7. All terms are defined, with English translations provided.</w:t>
            </w:r>
          </w:p>
        </w:tc>
        <w:tc>
          <w:tcPr>
            <w:tcW w:w="5577" w:type="dxa"/>
          </w:tcPr>
          <w:p w14:paraId="23C1E0D2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4-2: The guideline provides all terms and their English translations, along with specific definitions. </w:t>
            </w:r>
          </w:p>
        </w:tc>
        <w:tc>
          <w:tcPr>
            <w:tcW w:w="1420" w:type="dxa"/>
          </w:tcPr>
          <w:p w14:paraId="23E0A932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Include</w:t>
            </w:r>
          </w:p>
        </w:tc>
      </w:tr>
      <w:tr w14:paraId="13351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  <w:vMerge w:val="restart"/>
          </w:tcPr>
          <w:p w14:paraId="1C6432C3">
            <w:pPr>
              <w:jc w:val="both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Contextual relevance</w:t>
            </w:r>
          </w:p>
          <w:p w14:paraId="7EA8C3F3"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5408" w:type="dxa"/>
          </w:tcPr>
          <w:p w14:paraId="4D938165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1.Recommendations are applicable to the implementation environment.</w:t>
            </w:r>
          </w:p>
        </w:tc>
        <w:tc>
          <w:tcPr>
            <w:tcW w:w="5577" w:type="dxa"/>
          </w:tcPr>
          <w:p w14:paraId="1B8D64B6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Similar with 4-4.</w:t>
            </w:r>
            <w:bookmarkStart w:id="2" w:name="OLE_LINK4"/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Recommendations are feasible in the actual clinical setting, with specific implementation steps provided.</w:t>
            </w:r>
            <w:bookmarkEnd w:id="2"/>
          </w:p>
        </w:tc>
        <w:tc>
          <w:tcPr>
            <w:tcW w:w="1420" w:type="dxa"/>
          </w:tcPr>
          <w:p w14:paraId="08DFF291"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Merge</w:t>
            </w:r>
          </w:p>
        </w:tc>
      </w:tr>
      <w:tr w14:paraId="64132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  <w:vMerge w:val="continue"/>
          </w:tcPr>
          <w:p w14:paraId="5D353979"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5408" w:type="dxa"/>
          </w:tcPr>
          <w:p w14:paraId="76C49EC8">
            <w:pP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>2.Guidelines are constructed based on the local implementation context.</w:t>
            </w:r>
          </w:p>
        </w:tc>
        <w:tc>
          <w:tcPr>
            <w:tcW w:w="5577" w:type="dxa"/>
          </w:tcPr>
          <w:p w14:paraId="5E469E5C"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Similar with 4-4.Recommendations are feasible in the actual clinical setting, with specific implementation steps provided.</w:t>
            </w:r>
          </w:p>
        </w:tc>
        <w:tc>
          <w:tcPr>
            <w:tcW w:w="1420" w:type="dxa"/>
          </w:tcPr>
          <w:p w14:paraId="62EBAF8B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Merge</w:t>
            </w:r>
          </w:p>
        </w:tc>
      </w:tr>
      <w:tr w14:paraId="7244BA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  <w:vMerge w:val="continue"/>
          </w:tcPr>
          <w:p w14:paraId="3C4355CF"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5408" w:type="dxa"/>
          </w:tcPr>
          <w:p w14:paraId="0B402A92">
            <w:pP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>3.The summary is adapted to meet the needs of users.</w:t>
            </w:r>
          </w:p>
        </w:tc>
        <w:tc>
          <w:tcPr>
            <w:tcW w:w="5577" w:type="dxa"/>
          </w:tcPr>
          <w:p w14:paraId="5CB251DD"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It's vague.</w:t>
            </w:r>
          </w:p>
        </w:tc>
        <w:tc>
          <w:tcPr>
            <w:tcW w:w="1420" w:type="dxa"/>
          </w:tcPr>
          <w:p w14:paraId="4BA5C8AD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Delete</w:t>
            </w:r>
          </w:p>
        </w:tc>
      </w:tr>
      <w:tr w14:paraId="13546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  <w:vMerge w:val="continue"/>
          </w:tcPr>
          <w:p w14:paraId="7F391986"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5408" w:type="dxa"/>
          </w:tcPr>
          <w:p w14:paraId="242D9871">
            <w:pP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>4.Guidelines reflect the values and preferences of patients, policymakers, and developers.</w:t>
            </w:r>
          </w:p>
        </w:tc>
        <w:tc>
          <w:tcPr>
            <w:tcW w:w="5577" w:type="dxa"/>
          </w:tcPr>
          <w:p w14:paraId="7C831130"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It’s unnecessary</w:t>
            </w:r>
          </w:p>
        </w:tc>
        <w:tc>
          <w:tcPr>
            <w:tcW w:w="1420" w:type="dxa"/>
          </w:tcPr>
          <w:p w14:paraId="1A8C58E1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Delete</w:t>
            </w:r>
          </w:p>
        </w:tc>
      </w:tr>
      <w:tr w14:paraId="5ECB2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  <w:vMerge w:val="restart"/>
          </w:tcPr>
          <w:p w14:paraId="1403B46A">
            <w:pPr>
              <w:jc w:val="both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Implementation support</w:t>
            </w:r>
          </w:p>
          <w:p w14:paraId="02A422BB"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5408" w:type="dxa"/>
          </w:tcPr>
          <w:p w14:paraId="5B854BE9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>1.Guidelines highlight various expression methods for recommendations.</w:t>
            </w:r>
          </w:p>
        </w:tc>
        <w:tc>
          <w:tcPr>
            <w:tcW w:w="5577" w:type="dxa"/>
          </w:tcPr>
          <w:p w14:paraId="132E7DDF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6-2.</w:t>
            </w:r>
            <w:bookmarkStart w:id="3" w:name="OLE_LINK5"/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The format of the guideline facilitates use by clinicians, including diagrams, flowcharts, and other auxiliary tools.</w:t>
            </w:r>
            <w:bookmarkEnd w:id="3"/>
          </w:p>
        </w:tc>
        <w:tc>
          <w:tcPr>
            <w:tcW w:w="1420" w:type="dxa"/>
          </w:tcPr>
          <w:p w14:paraId="6B42B496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Include</w:t>
            </w:r>
          </w:p>
        </w:tc>
      </w:tr>
      <w:tr w14:paraId="62076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  <w:vMerge w:val="continue"/>
          </w:tcPr>
          <w:p w14:paraId="3B8DA5EA"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5408" w:type="dxa"/>
          </w:tcPr>
          <w:p w14:paraId="50926CE3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>2.Barriers to implementation are analyzed.</w:t>
            </w:r>
          </w:p>
        </w:tc>
        <w:tc>
          <w:tcPr>
            <w:tcW w:w="5577" w:type="dxa"/>
          </w:tcPr>
          <w:p w14:paraId="7C819415"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It’s unnecessary</w:t>
            </w:r>
          </w:p>
        </w:tc>
        <w:tc>
          <w:tcPr>
            <w:tcW w:w="1420" w:type="dxa"/>
          </w:tcPr>
          <w:p w14:paraId="4BA84ACF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Delete</w:t>
            </w:r>
          </w:p>
        </w:tc>
      </w:tr>
      <w:tr w14:paraId="405A9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  <w:vMerge w:val="continue"/>
          </w:tcPr>
          <w:p w14:paraId="745F6B07"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5408" w:type="dxa"/>
          </w:tcPr>
          <w:p w14:paraId="76E8A4EA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>3.Auxiliary tools and resources are provided to facilitate implementation.</w:t>
            </w:r>
          </w:p>
        </w:tc>
        <w:tc>
          <w:tcPr>
            <w:tcW w:w="5577" w:type="dxa"/>
          </w:tcPr>
          <w:p w14:paraId="12838AF2">
            <w:pPr>
              <w:rPr>
                <w:rFonts w:hint="default" w:ascii="Times New Roman" w:hAnsi="Times New Roman" w:cs="Times New Roman"/>
                <w:vertAlign w:val="baseline"/>
              </w:rPr>
            </w:pPr>
            <w:bookmarkStart w:id="4" w:name="OLE_LINK3"/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Similar with 6-2.The format of the guideline facilitates use by clinicians, including diagrams, flowcharts, and other auxiliary tools.</w:t>
            </w:r>
            <w:bookmarkEnd w:id="4"/>
          </w:p>
        </w:tc>
        <w:tc>
          <w:tcPr>
            <w:tcW w:w="1420" w:type="dxa"/>
          </w:tcPr>
          <w:p w14:paraId="2964D03C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Merge</w:t>
            </w:r>
          </w:p>
        </w:tc>
      </w:tr>
      <w:tr w14:paraId="0FCA2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  <w:vMerge w:val="continue"/>
          </w:tcPr>
          <w:p w14:paraId="0EC76FFC"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5408" w:type="dxa"/>
          </w:tcPr>
          <w:p w14:paraId="6B739EF1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>4.Supervision and auditing standards are included.</w:t>
            </w:r>
          </w:p>
        </w:tc>
        <w:tc>
          <w:tcPr>
            <w:tcW w:w="5577" w:type="dxa"/>
          </w:tcPr>
          <w:p w14:paraId="7ACC9BD5"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It's vague.</w:t>
            </w:r>
          </w:p>
        </w:tc>
        <w:tc>
          <w:tcPr>
            <w:tcW w:w="1420" w:type="dxa"/>
          </w:tcPr>
          <w:p w14:paraId="660510DA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Delete</w:t>
            </w:r>
          </w:p>
        </w:tc>
      </w:tr>
      <w:tr w14:paraId="642C9A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  <w:vMerge w:val="continue"/>
          </w:tcPr>
          <w:p w14:paraId="1F2A4192"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5408" w:type="dxa"/>
          </w:tcPr>
          <w:p w14:paraId="4DCDF53D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>5.Guidelines emphasize simplicity and ease of clinical application.</w:t>
            </w:r>
          </w:p>
        </w:tc>
        <w:tc>
          <w:tcPr>
            <w:tcW w:w="5577" w:type="dxa"/>
          </w:tcPr>
          <w:p w14:paraId="731FAF9B"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It's vague.</w:t>
            </w:r>
          </w:p>
        </w:tc>
        <w:tc>
          <w:tcPr>
            <w:tcW w:w="1420" w:type="dxa"/>
          </w:tcPr>
          <w:p w14:paraId="2B9F058F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Delete</w:t>
            </w:r>
          </w:p>
        </w:tc>
      </w:tr>
      <w:tr w14:paraId="18B7BB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  <w:vMerge w:val="continue"/>
          </w:tcPr>
          <w:p w14:paraId="42D8CDCD"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5408" w:type="dxa"/>
          </w:tcPr>
          <w:p w14:paraId="118E8FC0">
            <w:pP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>6.Necessary equipment and technology for recommendations are specified.</w:t>
            </w:r>
          </w:p>
        </w:tc>
        <w:tc>
          <w:tcPr>
            <w:tcW w:w="5577" w:type="dxa"/>
          </w:tcPr>
          <w:p w14:paraId="37B81797"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It's vague.</w:t>
            </w:r>
          </w:p>
        </w:tc>
        <w:tc>
          <w:tcPr>
            <w:tcW w:w="1420" w:type="dxa"/>
          </w:tcPr>
          <w:p w14:paraId="64301C16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Delete</w:t>
            </w:r>
          </w:p>
        </w:tc>
      </w:tr>
      <w:tr w14:paraId="67DE89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  <w:vMerge w:val="continue"/>
          </w:tcPr>
          <w:p w14:paraId="40E3B3B6"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5408" w:type="dxa"/>
          </w:tcPr>
          <w:p w14:paraId="47E92E04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7. 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The guidelines incorporate economic data regarding implementation costs.</w:t>
            </w:r>
          </w:p>
        </w:tc>
        <w:tc>
          <w:tcPr>
            <w:tcW w:w="5577" w:type="dxa"/>
          </w:tcPr>
          <w:p w14:paraId="7A333800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It’s unnecessary</w:t>
            </w:r>
          </w:p>
        </w:tc>
        <w:tc>
          <w:tcPr>
            <w:tcW w:w="1420" w:type="dxa"/>
          </w:tcPr>
          <w:p w14:paraId="38CD80A4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Delete</w:t>
            </w:r>
          </w:p>
        </w:tc>
      </w:tr>
      <w:tr w14:paraId="2C91FF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  <w:vMerge w:val="continue"/>
          </w:tcPr>
          <w:p w14:paraId="3DD877AB"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5408" w:type="dxa"/>
          </w:tcPr>
          <w:p w14:paraId="1A45D83B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8.Standards to measure the effectiveness of recommendations are included.</w:t>
            </w:r>
          </w:p>
        </w:tc>
        <w:tc>
          <w:tcPr>
            <w:tcW w:w="5577" w:type="dxa"/>
          </w:tcPr>
          <w:p w14:paraId="73BB3429"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It's vague.</w:t>
            </w:r>
          </w:p>
        </w:tc>
        <w:tc>
          <w:tcPr>
            <w:tcW w:w="1420" w:type="dxa"/>
          </w:tcPr>
          <w:p w14:paraId="6E2B7A3C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Delete</w:t>
            </w:r>
          </w:p>
        </w:tc>
      </w:tr>
      <w:tr w14:paraId="29B41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  <w:vMerge w:val="continue"/>
          </w:tcPr>
          <w:p w14:paraId="4BC04668"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5408" w:type="dxa"/>
          </w:tcPr>
          <w:p w14:paraId="7CFF6DD0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9. The content is detailed, with supporting documentation provided.</w:t>
            </w:r>
          </w:p>
        </w:tc>
        <w:tc>
          <w:tcPr>
            <w:tcW w:w="5577" w:type="dxa"/>
          </w:tcPr>
          <w:p w14:paraId="5A95DF8E"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It's vague.</w:t>
            </w:r>
          </w:p>
        </w:tc>
        <w:tc>
          <w:tcPr>
            <w:tcW w:w="1420" w:type="dxa"/>
          </w:tcPr>
          <w:p w14:paraId="1188F3D6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Delete</w:t>
            </w:r>
          </w:p>
        </w:tc>
      </w:tr>
      <w:tr w14:paraId="427653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  <w:vMerge w:val="continue"/>
          </w:tcPr>
          <w:p w14:paraId="21F66602"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5408" w:type="dxa"/>
          </w:tcPr>
          <w:p w14:paraId="1B5B5321">
            <w:pP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10. The summary includes background information, costs, and resources required for implementation.</w:t>
            </w:r>
          </w:p>
        </w:tc>
        <w:tc>
          <w:tcPr>
            <w:tcW w:w="5577" w:type="dxa"/>
          </w:tcPr>
          <w:p w14:paraId="4CC49235"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It's vague.</w:t>
            </w:r>
          </w:p>
        </w:tc>
        <w:tc>
          <w:tcPr>
            <w:tcW w:w="1420" w:type="dxa"/>
          </w:tcPr>
          <w:p w14:paraId="44F4BA36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Delete</w:t>
            </w:r>
          </w:p>
        </w:tc>
      </w:tr>
      <w:tr w14:paraId="6BE61F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  <w:vMerge w:val="restart"/>
          </w:tcPr>
          <w:p w14:paraId="70DE06E6">
            <w:pPr>
              <w:jc w:val="both"/>
              <w:rPr>
                <w:rFonts w:hint="default" w:ascii="Times New Roman" w:hAnsi="Times New Roman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Transparency/ authority</w:t>
            </w:r>
            <w:r>
              <w:rPr>
                <w:rFonts w:hint="default" w:ascii="Times New Roman" w:hAnsi="Times New Roman" w:cs="Times New Roman"/>
                <w:b/>
                <w:bCs/>
                <w:highlight w:val="none"/>
                <w:lang w:val="en-US" w:eastAsia="zh-CN"/>
              </w:rPr>
              <w:t xml:space="preserve"> and conflict of interest</w:t>
            </w:r>
          </w:p>
          <w:p w14:paraId="2D8C4015"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5408" w:type="dxa"/>
          </w:tcPr>
          <w:p w14:paraId="081BBA1D">
            <w:pPr>
              <w:numPr>
                <w:ilvl w:val="0"/>
                <w:numId w:val="0"/>
              </w:numPr>
              <w:ind w:leftChars="0"/>
              <w:jc w:val="left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1.The language used is persuasive, with expected impacts of recommendations described.</w:t>
            </w:r>
          </w:p>
        </w:tc>
        <w:tc>
          <w:tcPr>
            <w:tcW w:w="5577" w:type="dxa"/>
          </w:tcPr>
          <w:p w14:paraId="6FB4CD1E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Similar with 3-2.The guideline clearly describes the potential benefits and harms of the recommendations.</w:t>
            </w:r>
          </w:p>
        </w:tc>
        <w:tc>
          <w:tcPr>
            <w:tcW w:w="1420" w:type="dxa"/>
          </w:tcPr>
          <w:p w14:paraId="760D6504"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Merge</w:t>
            </w:r>
          </w:p>
        </w:tc>
      </w:tr>
      <w:tr w14:paraId="7D374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  <w:vMerge w:val="continue"/>
          </w:tcPr>
          <w:p w14:paraId="4B4C23C9"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5408" w:type="dxa"/>
          </w:tcPr>
          <w:p w14:paraId="10A0C876">
            <w:pPr>
              <w:numPr>
                <w:ilvl w:val="0"/>
                <w:numId w:val="0"/>
              </w:numPr>
              <w:ind w:leftChars="0"/>
              <w:jc w:val="left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2.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The organizations and members developing the guidelines are authoritative and trustworthy.</w:t>
            </w:r>
          </w:p>
        </w:tc>
        <w:tc>
          <w:tcPr>
            <w:tcW w:w="5577" w:type="dxa"/>
          </w:tcPr>
          <w:p w14:paraId="6C8FF721"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It's vague.</w:t>
            </w:r>
          </w:p>
        </w:tc>
        <w:tc>
          <w:tcPr>
            <w:tcW w:w="1420" w:type="dxa"/>
          </w:tcPr>
          <w:p w14:paraId="019705C7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Delete</w:t>
            </w:r>
          </w:p>
        </w:tc>
      </w:tr>
      <w:tr w14:paraId="61484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  <w:vMerge w:val="continue"/>
          </w:tcPr>
          <w:p w14:paraId="67249540"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5408" w:type="dxa"/>
          </w:tcPr>
          <w:p w14:paraId="1DF3E92C">
            <w:pPr>
              <w:numPr>
                <w:ilvl w:val="0"/>
                <w:numId w:val="0"/>
              </w:numPr>
              <w:ind w:leftChars="0"/>
              <w:jc w:val="left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3.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Systematic evidence review methods are employed by developers.</w:t>
            </w:r>
          </w:p>
        </w:tc>
        <w:tc>
          <w:tcPr>
            <w:tcW w:w="5577" w:type="dxa"/>
          </w:tcPr>
          <w:p w14:paraId="39A49C37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3-3: The guideline clearly describes the criteria for selecting evidence (e.g., the guideline developers used systematic evidence review processes to identify and evaluate evidence relevant to the guideline).</w:t>
            </w:r>
          </w:p>
        </w:tc>
        <w:tc>
          <w:tcPr>
            <w:tcW w:w="1420" w:type="dxa"/>
          </w:tcPr>
          <w:p w14:paraId="0E742FF6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Include</w:t>
            </w:r>
          </w:p>
        </w:tc>
      </w:tr>
      <w:tr w14:paraId="0D152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  <w:vMerge w:val="continue"/>
          </w:tcPr>
          <w:p w14:paraId="4D100013"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5408" w:type="dxa"/>
          </w:tcPr>
          <w:p w14:paraId="75FE92C4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4</w:t>
            </w:r>
            <w: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.</w:t>
            </w:r>
            <w:r>
              <w:rPr>
                <w:rFonts w:hint="default" w:ascii="Times New Roman" w:hAnsi="Times New Roman" w:cs="Times New Roman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Conflicts of interest among development group members are recorded and disclosed.</w:t>
            </w:r>
          </w:p>
        </w:tc>
        <w:tc>
          <w:tcPr>
            <w:tcW w:w="5577" w:type="dxa"/>
          </w:tcPr>
          <w:p w14:paraId="66D746F4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5-3.The relationships of interest in the guideline are clearly transparent. </w:t>
            </w:r>
          </w:p>
        </w:tc>
        <w:tc>
          <w:tcPr>
            <w:tcW w:w="1420" w:type="dxa"/>
          </w:tcPr>
          <w:p w14:paraId="4D0F6936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Include</w:t>
            </w:r>
          </w:p>
        </w:tc>
      </w:tr>
      <w:tr w14:paraId="460AD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  <w:vMerge w:val="continue"/>
          </w:tcPr>
          <w:p w14:paraId="0382921F"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5408" w:type="dxa"/>
          </w:tcPr>
          <w:p w14:paraId="6C02B452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5. The development process is transparent, with funding sources and affiliations disclosed.</w:t>
            </w:r>
          </w:p>
        </w:tc>
        <w:tc>
          <w:tcPr>
            <w:tcW w:w="5577" w:type="dxa"/>
          </w:tcPr>
          <w:p w14:paraId="6DA9CBCC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Similar with 5-3.The relationships of interest in the guideline are clearly transparent. </w:t>
            </w:r>
          </w:p>
        </w:tc>
        <w:tc>
          <w:tcPr>
            <w:tcW w:w="1420" w:type="dxa"/>
          </w:tcPr>
          <w:p w14:paraId="3ADCEF98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Merge</w:t>
            </w:r>
          </w:p>
        </w:tc>
      </w:tr>
      <w:tr w14:paraId="660D6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  <w:vMerge w:val="continue"/>
          </w:tcPr>
          <w:p w14:paraId="7D32916C"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5408" w:type="dxa"/>
          </w:tcPr>
          <w:p w14:paraId="4DDD8356">
            <w:pPr>
              <w:numPr>
                <w:ilvl w:val="0"/>
                <w:numId w:val="0"/>
              </w:numPr>
              <w:ind w:leftChars="0"/>
              <w:jc w:val="left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6. Consensus processes among expert group members are described</w:t>
            </w:r>
          </w:p>
        </w:tc>
        <w:tc>
          <w:tcPr>
            <w:tcW w:w="5577" w:type="dxa"/>
          </w:tcPr>
          <w:p w14:paraId="207F5A8A"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It's vague.</w:t>
            </w:r>
          </w:p>
        </w:tc>
        <w:tc>
          <w:tcPr>
            <w:tcW w:w="1420" w:type="dxa"/>
          </w:tcPr>
          <w:p w14:paraId="7B0F15CC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Delete</w:t>
            </w:r>
          </w:p>
        </w:tc>
      </w:tr>
      <w:tr w14:paraId="353D9B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  <w:vMerge w:val="restart"/>
          </w:tcPr>
          <w:p w14:paraId="37355F79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Feedback and Updating procedures</w:t>
            </w:r>
          </w:p>
        </w:tc>
        <w:tc>
          <w:tcPr>
            <w:tcW w:w="5408" w:type="dxa"/>
          </w:tcPr>
          <w:p w14:paraId="188B55AD">
            <w:pPr>
              <w:numPr>
                <w:ilvl w:val="0"/>
                <w:numId w:val="0"/>
              </w:numPr>
              <w:ind w:leftChars="0"/>
              <w:jc w:val="left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1.The guidelines provide a detailed description of the procedures and steps for regular updates.</w:t>
            </w:r>
          </w:p>
        </w:tc>
        <w:tc>
          <w:tcPr>
            <w:tcW w:w="5577" w:type="dxa"/>
          </w:tcPr>
          <w:p w14:paraId="5140C572"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It’s unnecessary</w:t>
            </w:r>
          </w:p>
        </w:tc>
        <w:tc>
          <w:tcPr>
            <w:tcW w:w="1420" w:type="dxa"/>
          </w:tcPr>
          <w:p w14:paraId="15BAE81D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Delete</w:t>
            </w:r>
          </w:p>
        </w:tc>
      </w:tr>
      <w:tr w14:paraId="3729AE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  <w:vMerge w:val="continue"/>
          </w:tcPr>
          <w:p w14:paraId="0D1C7098"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5408" w:type="dxa"/>
          </w:tcPr>
          <w:p w14:paraId="75D004CC">
            <w:pPr>
              <w:numPr>
                <w:ilvl w:val="0"/>
                <w:numId w:val="0"/>
              </w:numPr>
              <w:ind w:leftChars="0"/>
              <w:jc w:val="left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2.Communication methods for user feedback are established.</w:t>
            </w:r>
          </w:p>
        </w:tc>
        <w:tc>
          <w:tcPr>
            <w:tcW w:w="5577" w:type="dxa"/>
          </w:tcPr>
          <w:p w14:paraId="3C875F70"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It’s unnecessary</w:t>
            </w:r>
          </w:p>
        </w:tc>
        <w:tc>
          <w:tcPr>
            <w:tcW w:w="1420" w:type="dxa"/>
          </w:tcPr>
          <w:p w14:paraId="49AC2E10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Delete</w:t>
            </w:r>
          </w:p>
        </w:tc>
      </w:tr>
      <w:tr w14:paraId="1F3519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6" w:type="dxa"/>
            <w:vMerge w:val="continue"/>
          </w:tcPr>
          <w:p w14:paraId="52A6E92F"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5408" w:type="dxa"/>
          </w:tcPr>
          <w:p w14:paraId="1F4A12EC">
            <w:pPr>
              <w:numPr>
                <w:ilvl w:val="0"/>
                <w:numId w:val="0"/>
              </w:numPr>
              <w:ind w:leftChars="0"/>
              <w:jc w:val="left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3. External stakeholders review guidelines prior to publication.</w:t>
            </w:r>
          </w:p>
        </w:tc>
        <w:tc>
          <w:tcPr>
            <w:tcW w:w="5577" w:type="dxa"/>
          </w:tcPr>
          <w:p w14:paraId="73D12CA3"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It’s unnecessary</w:t>
            </w:r>
          </w:p>
        </w:tc>
        <w:tc>
          <w:tcPr>
            <w:tcW w:w="1420" w:type="dxa"/>
          </w:tcPr>
          <w:p w14:paraId="4DA3FB3E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Delete</w:t>
            </w:r>
          </w:p>
        </w:tc>
      </w:tr>
    </w:tbl>
    <w:p w14:paraId="593780CF"/>
    <w:p w14:paraId="05E73AFD"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Added constructs:</w:t>
      </w:r>
    </w:p>
    <w:p w14:paraId="369089EA">
      <w:pPr>
        <w:numPr>
          <w:ilvl w:val="0"/>
          <w:numId w:val="1"/>
        </w:numP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The guideline clearly describes the target users and populations.</w:t>
      </w:r>
    </w:p>
    <w:p w14:paraId="68CDB623">
      <w:pPr>
        <w:numPr>
          <w:ilvl w:val="0"/>
          <w:numId w:val="1"/>
        </w:numPr>
        <w:ind w:left="0" w:leftChars="0" w:firstLine="0" w:firstLineChars="0"/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The guidelines clearly describe applicable populations or applicable diseases.</w:t>
      </w:r>
    </w:p>
    <w:p w14:paraId="5F6BFE18">
      <w:pPr>
        <w:numPr>
          <w:ilvl w:val="0"/>
          <w:numId w:val="1"/>
        </w:numPr>
        <w:ind w:left="0" w:leftChars="0" w:firstLine="0" w:firstLineChars="0"/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"/>
        </w:rPr>
        <w:t>The guideline provides a grading of the quality or strength of evidence for each recommendation.</w:t>
      </w:r>
    </w:p>
    <w:p w14:paraId="4FB43439">
      <w:pPr>
        <w:numPr>
          <w:ilvl w:val="0"/>
          <w:numId w:val="1"/>
        </w:numPr>
        <w:ind w:left="0" w:leftChars="0" w:firstLine="0" w:firstLineChars="0"/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"/>
        </w:rPr>
        <w:t xml:space="preserve">The guideline development team should include </w:t>
      </w:r>
      <w:r>
        <w:rPr>
          <w:rFonts w:hint="eastAsia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"/>
        </w:rPr>
        <w:t>main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"/>
        </w:rPr>
        <w:t xml:space="preserve"> stakeholders</w:t>
      </w:r>
      <w:r>
        <w:rPr>
          <w:rFonts w:hint="eastAsia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"/>
        </w:rPr>
        <w:t>(Considerations include multidisciplinarity, geographic diversity, gender balance, qualifications balance, and patient participation).</w:t>
      </w:r>
    </w:p>
    <w:p w14:paraId="51829EB5">
      <w:pPr>
        <w:numPr>
          <w:ilvl w:val="0"/>
          <w:numId w:val="1"/>
        </w:numPr>
        <w:ind w:left="0" w:leftChars="0" w:firstLine="0" w:firstLineChars="0"/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"/>
        </w:rPr>
        <w:t>The guideline</w:t>
      </w:r>
      <w:r>
        <w:rPr>
          <w:rFonts w:hint="eastAsia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"/>
        </w:rPr>
        <w:t>present</w:t>
      </w:r>
      <w:r>
        <w:rPr>
          <w:rFonts w:hint="eastAsia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"/>
        </w:rPr>
        <w:t>s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"/>
        </w:rPr>
        <w:t xml:space="preserve"> the development team.</w:t>
      </w:r>
    </w:p>
    <w:p w14:paraId="28C5B71C">
      <w:pPr>
        <w:numPr>
          <w:ilvl w:val="0"/>
          <w:numId w:val="1"/>
        </w:numPr>
        <w:ind w:left="0" w:leftChars="0" w:firstLine="0" w:firstLineChars="0"/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strike w:val="0"/>
          <w:dstrike w:val="0"/>
          <w:color w:val="auto"/>
          <w:kern w:val="2"/>
          <w:sz w:val="24"/>
          <w:szCs w:val="24"/>
          <w:lang w:val="en-US" w:eastAsia="zh-CN" w:bidi="ar"/>
        </w:rPr>
        <w:t>The guideline has clearly identifiable recommendations (e.g., highlights the recommendations in boxes, with bold, bold text, underlined text, etc.).</w:t>
      </w:r>
    </w:p>
    <w:p w14:paraId="4886C9D6">
      <w:pPr>
        <w:numPr>
          <w:ilvl w:val="0"/>
          <w:numId w:val="0"/>
        </w:numPr>
        <w:ind w:leftChars="0"/>
        <w:rPr>
          <w:rFonts w:hint="default" w:ascii="Times New Roman" w:hAnsi="Times New Roman" w:eastAsia="宋体" w:cs="Times New Roman"/>
          <w:strike w:val="0"/>
          <w:dstrike w:val="0"/>
          <w:color w:val="auto"/>
          <w:kern w:val="2"/>
          <w:sz w:val="24"/>
          <w:szCs w:val="24"/>
          <w:lang w:val="en-US" w:eastAsia="zh-CN" w:bidi="ar"/>
        </w:rPr>
      </w:pPr>
    </w:p>
    <w:p w14:paraId="22527E5B">
      <w:pPr>
        <w:numPr>
          <w:ilvl w:val="0"/>
          <w:numId w:val="0"/>
        </w:numPr>
        <w:ind w:leftChars="0"/>
        <w:rPr>
          <w:rFonts w:hint="default" w:ascii="Times New Roman" w:hAnsi="Times New Roman" w:eastAsia="宋体" w:cs="Times New Roman"/>
          <w:strike w:val="0"/>
          <w:dstrike w:val="0"/>
          <w:color w:val="auto"/>
          <w:kern w:val="2"/>
          <w:sz w:val="24"/>
          <w:szCs w:val="24"/>
          <w:lang w:val="en-US" w:eastAsia="zh-CN" w:bidi="ar"/>
        </w:rPr>
      </w:pPr>
    </w:p>
    <w:p w14:paraId="5FCB127B">
      <w:pPr>
        <w:numPr>
          <w:ilvl w:val="0"/>
          <w:numId w:val="0"/>
        </w:numPr>
        <w:ind w:leftChars="0"/>
        <w:rPr>
          <w:rFonts w:hint="default" w:ascii="Times New Roman" w:hAnsi="Times New Roman" w:eastAsia="宋体" w:cs="Times New Roman"/>
          <w:strike w:val="0"/>
          <w:dstrike w:val="0"/>
          <w:color w:val="auto"/>
          <w:kern w:val="2"/>
          <w:sz w:val="24"/>
          <w:szCs w:val="24"/>
          <w:lang w:val="en-US" w:eastAsia="zh-CN" w:bidi="ar"/>
        </w:rPr>
      </w:pPr>
    </w:p>
    <w:p w14:paraId="5FD727E6">
      <w:pPr>
        <w:numPr>
          <w:ilvl w:val="0"/>
          <w:numId w:val="0"/>
        </w:numPr>
        <w:ind w:leftChars="0"/>
        <w:rPr>
          <w:rFonts w:hint="default" w:ascii="Times New Roman" w:hAnsi="Times New Roman" w:eastAsia="宋体" w:cs="Times New Roman"/>
          <w:strike w:val="0"/>
          <w:dstrike w:val="0"/>
          <w:color w:val="auto"/>
          <w:kern w:val="2"/>
          <w:sz w:val="24"/>
          <w:szCs w:val="24"/>
          <w:lang w:val="en-US" w:eastAsia="zh-CN" w:bidi="ar"/>
        </w:rPr>
      </w:pPr>
    </w:p>
    <w:p w14:paraId="32B19968">
      <w:pPr>
        <w:numPr>
          <w:ilvl w:val="0"/>
          <w:numId w:val="0"/>
        </w:numPr>
        <w:ind w:leftChars="0"/>
        <w:rPr>
          <w:rFonts w:hint="default" w:ascii="Times New Roman" w:hAnsi="Times New Roman" w:eastAsia="宋体" w:cs="Times New Roman"/>
          <w:strike w:val="0"/>
          <w:dstrike w:val="0"/>
          <w:color w:val="auto"/>
          <w:kern w:val="2"/>
          <w:sz w:val="24"/>
          <w:szCs w:val="24"/>
          <w:lang w:val="en-US" w:eastAsia="zh-CN" w:bidi="ar"/>
        </w:rPr>
      </w:pPr>
    </w:p>
    <w:p w14:paraId="69405D95">
      <w:pPr>
        <w:numPr>
          <w:ilvl w:val="0"/>
          <w:numId w:val="0"/>
        </w:numPr>
        <w:ind w:leftChars="0"/>
        <w:rPr>
          <w:rFonts w:hint="default" w:ascii="Times New Roman" w:hAnsi="Times New Roman" w:eastAsia="宋体" w:cs="Times New Roman"/>
          <w:strike w:val="0"/>
          <w:dstrike w:val="0"/>
          <w:color w:val="auto"/>
          <w:kern w:val="2"/>
          <w:sz w:val="24"/>
          <w:szCs w:val="24"/>
          <w:lang w:val="en-US" w:eastAsia="zh-CN" w:bidi="ar"/>
        </w:rPr>
        <w:sectPr>
          <w:footerReference r:id="rId3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4BE65EAD">
      <w:pPr>
        <w:numPr>
          <w:ilvl w:val="0"/>
          <w:numId w:val="0"/>
        </w:numPr>
        <w:ind w:leftChars="0"/>
        <w:rPr>
          <w:rFonts w:hint="default" w:ascii="Times New Roman" w:hAnsi="Times New Roman" w:eastAsia="宋体" w:cs="Times New Roman"/>
          <w:strike w:val="0"/>
          <w:dstrike w:val="0"/>
          <w:color w:val="auto"/>
          <w:kern w:val="2"/>
          <w:sz w:val="24"/>
          <w:szCs w:val="24"/>
          <w:lang w:val="en-US" w:eastAsia="zh-CN" w:bidi="ar"/>
        </w:rPr>
      </w:pPr>
    </w:p>
    <w:p w14:paraId="6ECECCAA">
      <w:pPr>
        <w:jc w:val="center"/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Table 2 The </w:t>
      </w:r>
      <w:r>
        <w:rPr>
          <w:rFonts w:hint="eastAsia" w:ascii="Times New Roman" w:hAnsi="Times New Roman" w:cs="Times New Roman"/>
          <w:b/>
          <w:bCs/>
          <w:color w:val="auto"/>
          <w:sz w:val="21"/>
          <w:szCs w:val="21"/>
          <w:vertAlign w:val="baseline"/>
          <w:lang w:val="en-US" w:eastAsia="zh-CN"/>
        </w:rPr>
        <w:t>c</w:t>
      </w:r>
      <w:r>
        <w:rPr>
          <w:rFonts w:hint="default" w:ascii="Times New Roman" w:hAnsi="Times New Roman" w:cs="Times New Roman"/>
          <w:b/>
          <w:bCs/>
          <w:color w:val="auto"/>
          <w:sz w:val="21"/>
          <w:szCs w:val="21"/>
          <w:vertAlign w:val="baseline"/>
          <w:lang w:val="en-US" w:eastAsia="zh-CN"/>
        </w:rPr>
        <w:t>onstructs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of 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the 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final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version of 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the CFGI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6"/>
        <w:gridCol w:w="6466"/>
      </w:tblGrid>
      <w:tr w14:paraId="225CF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</w:tcPr>
          <w:p w14:paraId="798ADAE5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No.</w:t>
            </w:r>
          </w:p>
        </w:tc>
        <w:tc>
          <w:tcPr>
            <w:tcW w:w="6466" w:type="dxa"/>
          </w:tcPr>
          <w:p w14:paraId="6D281C10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Constructs</w:t>
            </w:r>
          </w:p>
        </w:tc>
      </w:tr>
      <w:tr w14:paraId="69B56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205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2A251B6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49DE175">
            <w:pPr>
              <w:keepNext w:val="0"/>
              <w:keepLines w:val="0"/>
              <w:widowControl w:val="0"/>
              <w:numPr>
                <w:ilvl w:val="1"/>
                <w:numId w:val="0"/>
              </w:numPr>
              <w:suppressLineNumbers w:val="0"/>
              <w:spacing w:before="0" w:beforeLines="0" w:beforeAutospacing="0" w:after="0" w:afterLines="0" w:afterAutospacing="0"/>
              <w:ind w:left="0" w:leftChars="0" w:right="0" w:rightChars="0" w:firstLine="0" w:firstLine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The guideline clearly defines its scope and purpose.</w:t>
            </w:r>
          </w:p>
        </w:tc>
      </w:tr>
      <w:tr w14:paraId="1E72E7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05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1B9AA91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7638C36">
            <w:pPr>
              <w:keepNext w:val="0"/>
              <w:keepLines w:val="0"/>
              <w:widowControl w:val="0"/>
              <w:numPr>
                <w:ilvl w:val="1"/>
                <w:numId w:val="0"/>
              </w:numPr>
              <w:suppressLineNumbers w:val="0"/>
              <w:spacing w:before="0" w:beforeLines="0" w:beforeAutospacing="0" w:after="0" w:afterLines="0" w:afterAutospacing="0"/>
              <w:ind w:left="0" w:leftChars="0" w:right="0" w:rightChars="0" w:firstLine="0" w:firstLine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The guideline clearly describes the target users and populations.</w:t>
            </w:r>
          </w:p>
        </w:tc>
      </w:tr>
      <w:tr w14:paraId="6E93F0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05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3AAA765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927C7DF">
            <w:pPr>
              <w:keepNext w:val="0"/>
              <w:keepLines w:val="0"/>
              <w:widowControl w:val="0"/>
              <w:numPr>
                <w:ilvl w:val="1"/>
                <w:numId w:val="0"/>
              </w:numPr>
              <w:suppressLineNumbers w:val="0"/>
              <w:spacing w:before="0" w:beforeLines="0" w:beforeAutospacing="0" w:after="0" w:afterLines="0" w:afterAutospacing="0"/>
              <w:ind w:left="0" w:leftChars="0" w:right="0" w:rightChars="0" w:firstLine="0" w:firstLine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The guidelines clearly describe applicable populations or applicable diseases.</w:t>
            </w:r>
          </w:p>
        </w:tc>
      </w:tr>
      <w:tr w14:paraId="7F61D3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205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857D079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192DD8A">
            <w:pPr>
              <w:keepNext w:val="0"/>
              <w:keepLines w:val="0"/>
              <w:widowControl w:val="0"/>
              <w:numPr>
                <w:ilvl w:val="1"/>
                <w:numId w:val="0"/>
              </w:numPr>
              <w:suppressLineNumbers w:val="0"/>
              <w:spacing w:before="0" w:beforeLines="0" w:beforeAutospacing="0" w:after="0" w:afterLines="0" w:afterAutospacing="0"/>
              <w:ind w:left="0" w:leftChars="0" w:right="0" w:rightChars="0" w:firstLine="0" w:firstLine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The summary of the guideline details the number of clinical problems.</w:t>
            </w:r>
          </w:p>
        </w:tc>
      </w:tr>
      <w:tr w14:paraId="29077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A1C0A78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AE50976">
            <w:pPr>
              <w:keepNext w:val="0"/>
              <w:keepLines w:val="0"/>
              <w:widowControl w:val="0"/>
              <w:numPr>
                <w:ilvl w:val="1"/>
                <w:numId w:val="0"/>
              </w:numPr>
              <w:suppressLineNumbers w:val="0"/>
              <w:spacing w:before="0" w:beforeLines="0" w:beforeAutospacing="0" w:after="0" w:afterLines="0" w:afterAutospacing="0"/>
              <w:ind w:left="0" w:leftChars="0" w:right="0" w:rightChars="0" w:firstLine="0" w:firstLine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The summary of the guideline specifies the specific clinical problems.</w:t>
            </w:r>
          </w:p>
        </w:tc>
      </w:tr>
      <w:tr w14:paraId="71D0E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7086355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4E471C0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Recommendations are supported by references.</w:t>
            </w:r>
          </w:p>
        </w:tc>
      </w:tr>
      <w:tr w14:paraId="0F52E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B42B00A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2FDF129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Recommendations provides sufficient details to support the implementation of the guideline, such as </w:t>
            </w: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recommendations to 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specific dosage, timing, and frequency of medication.</w:t>
            </w: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</w:p>
        </w:tc>
      </w:tr>
      <w:tr w14:paraId="41934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27202F5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6E7CE0D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Recommendations are clear, explicit, and feasible (specify what actions should or should not be taken, in which circumstances, and by whom).</w:t>
            </w:r>
          </w:p>
        </w:tc>
      </w:tr>
      <w:tr w14:paraId="6BAE4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EED5CA5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0ED6774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Recommendations are feasible in the actual clinical setting, with specific implementation steps provided.</w:t>
            </w:r>
          </w:p>
        </w:tc>
      </w:tr>
      <w:tr w14:paraId="55FCD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BE9784A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D1EDA84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The guideline clearly describes the methods used to form the recommendations.</w:t>
            </w:r>
          </w:p>
        </w:tc>
      </w:tr>
      <w:tr w14:paraId="05FA4A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FBE4D0F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6ECF147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The guideline clearly describes the potential benefits and harms of the recommendations.</w:t>
            </w:r>
          </w:p>
        </w:tc>
      </w:tr>
      <w:tr w14:paraId="04082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5CFBA0A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A7939EE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The guideline clearly describes the criteria for selecting evidence (e.g., the guideline developers used systematic evidence review process</w:t>
            </w: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es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 to identify and evaluate evidence relevant to the guideline).</w:t>
            </w:r>
          </w:p>
        </w:tc>
      </w:tr>
      <w:tr w14:paraId="3A0125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2D3BC87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1D16DD5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The guideline provides a grading of the quality or strength of evidence for each recommendation.</w:t>
            </w:r>
          </w:p>
        </w:tc>
      </w:tr>
      <w:tr w14:paraId="2147E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205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78E9BB5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E3AE1BB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The summary of the guideline explains</w:t>
            </w: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the overall situation of the evidence.</w:t>
            </w:r>
          </w:p>
        </w:tc>
      </w:tr>
      <w:tr w14:paraId="4994AE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5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36EED5C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  <w:t>15</w:t>
            </w: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2207737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The guideline has proper formatting, layout, and structure.</w:t>
            </w:r>
          </w:p>
        </w:tc>
      </w:tr>
      <w:tr w14:paraId="2D6CF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E750633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F3A7D89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The guideline provides </w:t>
            </w: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key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 terms and their</w:t>
            </w: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definitions.</w:t>
            </w: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</w:p>
        </w:tc>
      </w:tr>
      <w:tr w14:paraId="22DF3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8ED409E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  <w:t>17</w:t>
            </w: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AB8D57A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The guideline development team should include </w:t>
            </w: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main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 stakeholders</w:t>
            </w: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(Considerations include multidisciplinarity, geographic diversity, gender balance, qualifications balance, and patient participation)</w:t>
            </w: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.</w:t>
            </w:r>
          </w:p>
        </w:tc>
      </w:tr>
      <w:tr w14:paraId="66ABD6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76B3C43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45CDCB5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The guideline present</w:t>
            </w: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 the development team.</w:t>
            </w:r>
          </w:p>
        </w:tc>
      </w:tr>
      <w:tr w14:paraId="366F5C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1CF0568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264225F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The relationships of interest in the guideline are clearly transparent.</w:t>
            </w: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</w:p>
        </w:tc>
      </w:tr>
      <w:tr w14:paraId="202CE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9805E19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26C6ADE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trike/>
                <w:dstrike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kern w:val="2"/>
                <w:sz w:val="21"/>
                <w:szCs w:val="21"/>
                <w:lang w:val="en-US" w:eastAsia="zh-CN" w:bidi="ar"/>
              </w:rPr>
              <w:t>The guideline has clearly identifiable recommendations (e.g., highlights the recommendations in boxes, with bold, bold text, underlined text).</w:t>
            </w:r>
          </w:p>
        </w:tc>
      </w:tr>
      <w:tr w14:paraId="5856A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B923D5E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3B8AB0A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The format of the guideline facilitates use by clinicians, including diagrams, flowcharts, and other auxiliary tools.</w:t>
            </w:r>
          </w:p>
        </w:tc>
      </w:tr>
    </w:tbl>
    <w:p w14:paraId="316D6E43">
      <w:pPr>
        <w:numPr>
          <w:ilvl w:val="0"/>
          <w:numId w:val="0"/>
        </w:numPr>
        <w:ind w:leftChars="0"/>
        <w:rPr>
          <w:rFonts w:hint="default" w:ascii="Times New Roman" w:hAnsi="Times New Roman" w:eastAsia="宋体" w:cs="Times New Roman"/>
          <w:strike w:val="0"/>
          <w:dstrike w:val="0"/>
          <w:color w:val="auto"/>
          <w:kern w:val="2"/>
          <w:sz w:val="24"/>
          <w:szCs w:val="24"/>
          <w:lang w:val="en-US" w:eastAsia="zh-CN" w:bidi="ar"/>
        </w:rPr>
      </w:pPr>
    </w:p>
    <w:p w14:paraId="0F229E04">
      <w:pPr>
        <w:jc w:val="center"/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Table 3 The contents of 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the 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final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version of 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the CFGI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6"/>
        <w:gridCol w:w="6466"/>
      </w:tblGrid>
      <w:tr w14:paraId="6DC639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</w:tcPr>
          <w:p w14:paraId="1404E05D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Domains</w:t>
            </w:r>
          </w:p>
        </w:tc>
        <w:tc>
          <w:tcPr>
            <w:tcW w:w="6466" w:type="dxa"/>
          </w:tcPr>
          <w:p w14:paraId="699C8B69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Constructs</w:t>
            </w:r>
          </w:p>
        </w:tc>
      </w:tr>
      <w:tr w14:paraId="56BED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20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A87B4D7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Scope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&amp; 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Purpose</w:t>
            </w: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34F58AC">
            <w:pPr>
              <w:keepNext w:val="0"/>
              <w:keepLines w:val="0"/>
              <w:widowControl w:val="0"/>
              <w:numPr>
                <w:ilvl w:val="1"/>
                <w:numId w:val="0"/>
              </w:numPr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  <w:t>1-1.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The guideline clearly defines its scope and purpose.</w:t>
            </w:r>
          </w:p>
        </w:tc>
      </w:tr>
      <w:tr w14:paraId="16E05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05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7DC93F0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0D8D631">
            <w:pPr>
              <w:keepNext w:val="0"/>
              <w:keepLines w:val="0"/>
              <w:widowControl w:val="0"/>
              <w:numPr>
                <w:ilvl w:val="1"/>
                <w:numId w:val="0"/>
              </w:numPr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  <w:t>1-2.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The guideline clearly describes the target users and populations.</w:t>
            </w:r>
          </w:p>
        </w:tc>
      </w:tr>
      <w:tr w14:paraId="0B388E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05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59808F0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05FCE87">
            <w:pPr>
              <w:keepNext w:val="0"/>
              <w:keepLines w:val="0"/>
              <w:widowControl w:val="0"/>
              <w:numPr>
                <w:ilvl w:val="1"/>
                <w:numId w:val="0"/>
              </w:numPr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  <w:t>1-3.</w:t>
            </w: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The guidelines clearly describe applicable populations or applicable diseases.</w:t>
            </w:r>
          </w:p>
        </w:tc>
      </w:tr>
      <w:tr w14:paraId="737235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205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D0198A6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8EDD792">
            <w:pPr>
              <w:keepNext w:val="0"/>
              <w:keepLines w:val="0"/>
              <w:widowControl w:val="0"/>
              <w:numPr>
                <w:ilvl w:val="1"/>
                <w:numId w:val="0"/>
              </w:numPr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  <w:t>1-4.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The summary of the guideline details the number of clinical problems.</w:t>
            </w:r>
          </w:p>
        </w:tc>
      </w:tr>
      <w:tr w14:paraId="2F8FBF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E39515F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EFBAE81">
            <w:pPr>
              <w:keepNext w:val="0"/>
              <w:keepLines w:val="0"/>
              <w:widowControl w:val="0"/>
              <w:numPr>
                <w:ilvl w:val="1"/>
                <w:numId w:val="0"/>
              </w:numPr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  <w:t>1-5.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The summary of the guideline specifies the specific clinical problems.</w:t>
            </w:r>
          </w:p>
        </w:tc>
      </w:tr>
      <w:tr w14:paraId="7C0E8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A4C0D8C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Clarity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&amp; 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Consistency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  of recommendations</w:t>
            </w:r>
          </w:p>
          <w:p w14:paraId="1BB23A7E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D622DB6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bookmarkStart w:id="5" w:name="OLE_LINK1"/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2-</w:t>
            </w:r>
            <w:bookmarkEnd w:id="5"/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1. 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Recommendations are supported by references.</w:t>
            </w:r>
          </w:p>
        </w:tc>
      </w:tr>
      <w:tr w14:paraId="55741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3A502DF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4BA6EDB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2-2. 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Recommendations provides sufficient details to support the implementation of the guideline, such as </w:t>
            </w: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recommendations to 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specific dosage, timing, and frequency of medication.</w:t>
            </w: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</w:p>
        </w:tc>
      </w:tr>
      <w:tr w14:paraId="7ADF4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5AC3A76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14662DD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2-3. 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Recommendations are clear, explicit, and feasible (specify what actions should or should not be taken, in which circumstances, and by whom).</w:t>
            </w:r>
          </w:p>
        </w:tc>
      </w:tr>
      <w:tr w14:paraId="37FFD2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AF56928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DCADFFE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2-4. 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Recommendations are feasible in the actual clinical setting, with specific implementation steps provided.</w:t>
            </w:r>
          </w:p>
        </w:tc>
      </w:tr>
      <w:tr w14:paraId="26130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07FBF80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Development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&amp; 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Evidence Base</w:t>
            </w: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C662EA5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3-1. 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The guideline clearly describes the methods used to form the recommendations.</w:t>
            </w:r>
          </w:p>
        </w:tc>
      </w:tr>
      <w:tr w14:paraId="4B3FF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F004F07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3A3C1BF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3-2. 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The guideline clearly describes the potential benefits and harms of the recommendations.</w:t>
            </w:r>
          </w:p>
        </w:tc>
      </w:tr>
      <w:tr w14:paraId="5E667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FCFA401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1050B09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3-3. 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The guideline clearly describes the criteria for selecting evidence (e.g., the guideline developers used systematic evidence review process</w:t>
            </w: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es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 to identify and evaluate evidence relevant to the guideline).</w:t>
            </w:r>
          </w:p>
        </w:tc>
      </w:tr>
      <w:tr w14:paraId="38C06F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6713C4A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A91947B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3-4. 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The guideline provides a grading of the quality or strength of evidence for each recommendation.</w:t>
            </w:r>
          </w:p>
        </w:tc>
      </w:tr>
      <w:tr w14:paraId="286DF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20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A54631F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A2CFA01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3-5. 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The summary of the guideline explains</w:t>
            </w: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the overall situation of the evidence.</w:t>
            </w:r>
          </w:p>
        </w:tc>
      </w:tr>
      <w:tr w14:paraId="4A8249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2056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41BF9EC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" w:bidi="ar"/>
                <w:woUserID w:val="2"/>
              </w:rPr>
              <w:t xml:space="preserve">4. 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Structure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&amp;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Content</w:t>
            </w: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39CB0AB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4-1. 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The guideline has proper formatting, layout, and structure.</w:t>
            </w:r>
          </w:p>
        </w:tc>
      </w:tr>
      <w:tr w14:paraId="692ED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8A04B9A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6C0102A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4-2. 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The guideline provides </w:t>
            </w: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key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 terms and their</w:t>
            </w: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definitions.</w:t>
            </w: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</w:p>
        </w:tc>
      </w:tr>
      <w:tr w14:paraId="5EEEF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A7C0E84">
            <w:pPr>
              <w:keepNext w:val="0"/>
              <w:keepLines w:val="0"/>
              <w:widowControl w:val="0"/>
              <w:numPr>
                <w:ilvl w:val="-1"/>
                <w:numId w:val="0"/>
              </w:numPr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" w:bidi="ar"/>
                <w:woUserID w:val="2"/>
              </w:rPr>
              <w:t>5.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Development Team 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&amp; 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Transparency</w:t>
            </w: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A0A5A19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5-1. 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The guideline development team should include </w:t>
            </w: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main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 stakeholders</w:t>
            </w: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(Considerations include multidisciplinarity, geographic diversity, gender balance, qualifications balance, and patient participation)</w:t>
            </w: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.</w:t>
            </w:r>
          </w:p>
        </w:tc>
      </w:tr>
      <w:tr w14:paraId="41D04F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DEB3A36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4A09C1B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5-2. 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The guideline present</w:t>
            </w: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 the development team.</w:t>
            </w:r>
          </w:p>
        </w:tc>
      </w:tr>
      <w:tr w14:paraId="5C1939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13A7FD2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16CEFB1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5-3. 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The relationships of interest in the guideline are clearly transparent.</w:t>
            </w: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</w:p>
        </w:tc>
      </w:tr>
      <w:tr w14:paraId="49AC2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589BFE0">
            <w:pPr>
              <w:keepNext w:val="0"/>
              <w:keepLines w:val="0"/>
              <w:widowControl w:val="0"/>
              <w:numPr>
                <w:ilvl w:val="-1"/>
                <w:numId w:val="0"/>
              </w:numPr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" w:bidi="ar"/>
                <w:woUserID w:val="2"/>
              </w:rPr>
              <w:t>6.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Implementation Environment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&amp; 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Tools</w:t>
            </w: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202747E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trike/>
                <w:dstrike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6-1. </w:t>
            </w: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kern w:val="2"/>
                <w:sz w:val="21"/>
                <w:szCs w:val="21"/>
                <w:lang w:val="en-US" w:eastAsia="zh-CN" w:bidi="ar"/>
              </w:rPr>
              <w:t>The guideline has clearly identifiable recommendations (e.g., highlights the recommendations in boxes, with bold, bold text, underlined text).</w:t>
            </w:r>
          </w:p>
        </w:tc>
      </w:tr>
      <w:tr w14:paraId="21CD3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BEB2314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6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48DF63A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6-2. 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The format of the guideline facilitates use by clinicians, including diagrams, flowcharts, and other auxiliary tools.</w:t>
            </w:r>
          </w:p>
        </w:tc>
      </w:tr>
    </w:tbl>
    <w:p w14:paraId="08F48534">
      <w:pPr>
        <w:numPr>
          <w:ilvl w:val="0"/>
          <w:numId w:val="0"/>
        </w:numPr>
        <w:ind w:leftChars="0"/>
        <w:rPr>
          <w:rFonts w:hint="default" w:ascii="Times New Roman" w:hAnsi="Times New Roman" w:eastAsia="宋体" w:cs="Times New Roman"/>
          <w:strike w:val="0"/>
          <w:dstrike w:val="0"/>
          <w:color w:val="auto"/>
          <w:kern w:val="2"/>
          <w:sz w:val="24"/>
          <w:szCs w:val="24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14B757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A572E7B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A572E7B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8FD52D"/>
    <w:multiLevelType w:val="singleLevel"/>
    <w:tmpl w:val="2A8FD52D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6FA76DD1"/>
    <w:multiLevelType w:val="singleLevel"/>
    <w:tmpl w:val="6FA76DD1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1NGQ4MDY4NjMxYWVlMzc3ODM2NDE0MmU1ODUxYzYifQ=="/>
  </w:docVars>
  <w:rsids>
    <w:rsidRoot w:val="7AAE72E6"/>
    <w:rsid w:val="01915C04"/>
    <w:rsid w:val="020E2058"/>
    <w:rsid w:val="098045D4"/>
    <w:rsid w:val="099E7FA5"/>
    <w:rsid w:val="0A4F3085"/>
    <w:rsid w:val="15211ED9"/>
    <w:rsid w:val="2ED859A9"/>
    <w:rsid w:val="310D77FB"/>
    <w:rsid w:val="3738386E"/>
    <w:rsid w:val="3CBC3B7F"/>
    <w:rsid w:val="3EA01CAF"/>
    <w:rsid w:val="405F29EA"/>
    <w:rsid w:val="4114603C"/>
    <w:rsid w:val="446C184E"/>
    <w:rsid w:val="4C0931B0"/>
    <w:rsid w:val="4DF177D0"/>
    <w:rsid w:val="4F15121C"/>
    <w:rsid w:val="565F400E"/>
    <w:rsid w:val="5EEECF2F"/>
    <w:rsid w:val="699530B2"/>
    <w:rsid w:val="6AF074BF"/>
    <w:rsid w:val="6D341690"/>
    <w:rsid w:val="6DEB7619"/>
    <w:rsid w:val="6FBA6C9A"/>
    <w:rsid w:val="78D637AB"/>
    <w:rsid w:val="79963FDF"/>
    <w:rsid w:val="7AAE72E6"/>
    <w:rsid w:val="7C0A6452"/>
    <w:rsid w:val="7DB52379"/>
    <w:rsid w:val="7FAF68CD"/>
    <w:rsid w:val="7FD9DF2D"/>
    <w:rsid w:val="7FEA9BEB"/>
    <w:rsid w:val="913E40C1"/>
    <w:rsid w:val="BF5B7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893</Words>
  <Characters>5880</Characters>
  <Lines>1</Lines>
  <Paragraphs>1</Paragraphs>
  <TotalTime>0</TotalTime>
  <ScaleCrop>false</ScaleCrop>
  <LinksUpToDate>false</LinksUpToDate>
  <CharactersWithSpaces>6638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2024-10-13T22:52:00Z</dcterms:created>
  <dc:creator>钟冬梅</dc:creator>
  <cp:lastModifiedBy>钟冬梅</cp:lastModifiedBy>
  <dcterms:modified xsi:type="dcterms:W3CDTF">2025-01-11T08:13:55Z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C683570D81874A6396A66E97B6E55F05_13</vt:lpwstr>
  </property>
  <property fmtid="{D5CDD505-2E9C-101B-9397-08002B2CF9AE}" pid="4" name="KSOTemplateDocerSaveRecord">
    <vt:lpwstr>eyJoZGlkIjoiNDI1NGQ4MDY4NjMxYWVlMzc3ODM2NDE0MmU1ODUxYzYiLCJ1c2VySWQiOiI1MDcxMTM0OTUifQ==</vt:lpwstr>
  </property>
</Properties>
</file>