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C8F1D">
      <w:pPr>
        <w:spacing w:line="360" w:lineRule="auto"/>
        <w:ind w:firstLine="420" w:firstLineChars="0"/>
        <w:jc w:val="center"/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Table 1 Guide implementability related </w:t>
      </w:r>
      <w:bookmarkStart w:id="0" w:name="OLE_LINK1"/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concepts, theories, models, frameworks, or scales</w:t>
      </w:r>
      <w:bookmarkEnd w:id="0"/>
    </w:p>
    <w:tbl>
      <w:tblPr>
        <w:tblStyle w:val="4"/>
        <w:tblpPr w:leftFromText="180" w:rightFromText="180" w:vertAnchor="text" w:horzAnchor="page" w:tblpX="1346" w:tblpY="873"/>
        <w:tblOverlap w:val="never"/>
        <w:tblW w:w="144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035"/>
        <w:gridCol w:w="2351"/>
        <w:gridCol w:w="1200"/>
        <w:gridCol w:w="1468"/>
        <w:gridCol w:w="2614"/>
        <w:gridCol w:w="4286"/>
      </w:tblGrid>
      <w:tr w14:paraId="28F3A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97E5B47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Publication Year and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First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Author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BE924D0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Location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E6D5693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 xml:space="preserve">Name of the 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concepts, theories, models, frameworks, or scales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AF7D75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Type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3BDEBA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Development Method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F98805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Reliability and Validity Verification Method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04442A8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Main Content</w:t>
            </w:r>
          </w:p>
        </w:tc>
      </w:tr>
      <w:tr w14:paraId="6D872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EFD6100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2003,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instrText xml:space="preserve"> HYPERLINK "https://pubmed.ncbi.nlm.nih.gov/?term=AGREE+Collaboration[Corporate+Author]" 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AGREE Collaboration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instrText xml:space="preserve"> ADDIN NE.Ref.{ADACADBB-7CDB-4EC3-869D-EE23D2966EDC}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[1]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1785928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11 countries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E7540E1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Appraisal of Guidelines, REsearch and Evaluation (AGREE)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E6C77A8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3CBF32B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and 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xpert opinion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8934731">
            <w:pPr>
              <w:spacing w:line="240" w:lineRule="auto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Reliability: internal consistency, test- </w:t>
            </w:r>
            <w:bookmarkStart w:id="1" w:name="OLE_LINK4"/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retest reliability</w:t>
            </w:r>
            <w:bookmarkEnd w:id="1"/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</w:t>
            </w:r>
          </w:p>
          <w:p w14:paraId="32E3BA1A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Validity: face validity, construct validity, criterion validity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526AC65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Includes 6 quality domains: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scope and purpose, stakeholder involvement, rigour of development, clarity and presentation, applicability, editorial independence</w:t>
            </w:r>
          </w:p>
        </w:tc>
      </w:tr>
      <w:tr w14:paraId="31AC3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9E8252A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2005, Shiffman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NE.Ref.{A064EA0A-9834-4989-AF3C-983FD26CDCDB}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[2]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0C9B64C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USA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7A115F7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Implementability Appraisal (GLIA)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0701124A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bookmarkStart w:id="2" w:name="OLE_LINK2"/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  <w:bookmarkEnd w:id="2"/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1615C376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Expert opinion and consensus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2B384C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Content validity: expert assessment. C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onstruct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validity: comparison of GLIA evaluation results with expert evaluation results.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1EF8640B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Includes: 10 dimensions (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Global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 Decidability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 Executability, Presentation and formatting, Measurable outcomes, Apparent validity, Flexibility, Effect on process of care, Novelty/innovation, Computability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), a total of 31 items.</w:t>
            </w:r>
          </w:p>
        </w:tc>
      </w:tr>
      <w:tr w14:paraId="30249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533F7A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2011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Gagliardi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NE.Ref.{726778BC-E19E-4E44-A47F-878BB0342A89}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[3]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477032BB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75DC1F8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Implementability Framework (GIF)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5091D60B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Framework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2F75B2D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E80308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None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6851032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Includes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adaptability, usability, validity, applicability, communicability, accommodation, implementation, and evaluation,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comprising 8 dimensions and 22 elements.</w:t>
            </w:r>
          </w:p>
        </w:tc>
      </w:tr>
      <w:tr w14:paraId="5104C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064864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2012, Amir Qaseem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NE.Ref.{6781FA19-8B56-4FE9-A322-6E2C5C1FD58D}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[4]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1C36AA3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46 countries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superscript"/>
                <w:lang w:val="en-US" w:eastAsia="zh-CN"/>
              </w:rPr>
              <w:t>#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C53B01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nternational standards for clinical practice guidelines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FB28AD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Concept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27C9716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B092E22">
            <w:pPr>
              <w:spacing w:line="240" w:lineRule="auto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Not Applicable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7B73ADE0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Includes: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panel composition, decision-making process, conflicts of interest, guideline objective, development methods, evidence review, basis of recommendations, ratings of evidence and recommendations, guideline review, updating processes, and funding.</w:t>
            </w:r>
          </w:p>
        </w:tc>
      </w:tr>
      <w:tr w14:paraId="3679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DD7326B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2013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Kastner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NE.Ref.{37005117-0B2F-4F1E-B283-C1318E7D0B92}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[5]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746CCA30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6396023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Implementability Map (GIM)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3C323B0D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Concept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6A81E1D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7D69098B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Not Applicable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144F603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5 core concepts, namely language, format, rigor of development, feasibility, and decision-making.</w:t>
            </w:r>
          </w:p>
        </w:tc>
      </w:tr>
      <w:tr w14:paraId="33B01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1487C7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2014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Kastner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NE.Ref.{04DB9DAF-1FF6-47FE-89FD-C8B0CEE349C2}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[6]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1845CBE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579BAB5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Implementability Tool (GUIDE-IT)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FC4D68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Framework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0DAC958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Qualitative research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6FD451C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None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3C52F522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6 categories of guideline implementability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(format, content, language, usability, development, and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the practice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environment).</w:t>
            </w:r>
          </w:p>
        </w:tc>
      </w:tr>
      <w:tr w14:paraId="175D3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21A911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Kastner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NE.Ref.{E7C5D90D-6934-49A6-9272-56695EA7BB07}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[7]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E7F03B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73F956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Implementability Domains (GID)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C259F8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Concept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D5AB7B6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6596866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Not Applicable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813EB6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2 broad goals in guideline development, namely creation of guideline content and the effective communication of this content.</w:t>
            </w:r>
          </w:p>
        </w:tc>
      </w:tr>
      <w:tr w14:paraId="67983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47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71FD15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2015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Brouwers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NE.Ref.{03E92F9F-860C-4E98-9A44-6E3BB4733280}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[8]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EA72B8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D5FE82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Implementability Decision Excellence Model (GUIDE-M)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75CEEA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Model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8333EF8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review, expert consensus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3A70E9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None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F7CBEF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The model consists of 3 core strategies,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namely developers of content, creating content, and communicating content, a total of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7 domains, 9 subdomains, 44 attributes, and 40 subattributes and elements.</w:t>
            </w:r>
          </w:p>
        </w:tc>
      </w:tr>
      <w:tr w14:paraId="02A22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47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6679302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2018,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HYPERLINK "https://pubmed.ncbi.nlm.nih.gov/?term=Li+H&amp;cauthor_id=29695274" </w:instrTex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Hui Li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NE.Ref.{F75131CF-FD61-48FC-8FCE-08D50C2E86F4}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[9]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0916B8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China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783D4F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valuation of clinical practice guidelines applicability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2AED9DA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6D801C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expert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interview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C1D6CB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Reliability: internal consistency, test-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retest reliability.</w:t>
            </w:r>
          </w:p>
          <w:p w14:paraId="5215C600">
            <w:pPr>
              <w:spacing w:line="240" w:lineRule="auto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Validity: content validity, construct validity, discriminant validity.</w:t>
            </w:r>
          </w:p>
          <w:p w14:paraId="6B0C7A5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Responsiveness analysis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A8F05C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4 domains: technical level, 4 items; coordination of support, 2 items; structure and content, 9 items; the role of the guideline, 4 items.</w:t>
            </w:r>
          </w:p>
        </w:tc>
      </w:tr>
      <w:tr w14:paraId="71AAB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47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490E88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2019,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HYPERLINK "https://pubmed.ncbi.nlm.nih.gov/?term=Jue+JJ&amp;cauthor_id=30884527" </w:instrTex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J Jane Jue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NE.Ref.{BF134379-7464-482D-95CA-CA0A593036B2}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[10]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B4D458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USA</w:t>
            </w:r>
          </w:p>
        </w:tc>
        <w:tc>
          <w:tcPr>
            <w:tcW w:w="23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85B63A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National Guideline Clearinghouse Extent of Adherence to Trustworthy Standards (NEATS)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A68A40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7E859D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expert consensus</w:t>
            </w:r>
          </w:p>
        </w:tc>
        <w:tc>
          <w:tcPr>
            <w:tcW w:w="2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6198EFA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Reliability: Interrater reliability</w:t>
            </w:r>
          </w:p>
          <w:p w14:paraId="4BB8F1E6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Validity: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content validity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</w:t>
            </w:r>
          </w:p>
        </w:tc>
        <w:tc>
          <w:tcPr>
            <w:tcW w:w="42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19F9F28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15 items that cover disclosure of the funding source; disclosure and management of conflicts of interest; multidisciplinary input; incorporation of patient perspectives; rigorous systematic review; recommendations accompanied by rationale, assessment of benefits and harms, clear linkage to the evidence, and assessment of strength of evidence and strength of recommendation; clear articulation of recommendations; external review by diverse stakeholders; and plans for updating.</w:t>
            </w:r>
          </w:p>
        </w:tc>
      </w:tr>
      <w:tr w14:paraId="3759B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34957D9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2020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Brouwers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NE.Ref.{F09CB70F-D42E-4CF7-8B06-6C93B2A09E35}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[11]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048B545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677EE7E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Appraisal of Guidelines Research and Evaluation – Recommendations Excellence (AGREE-REX)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4107754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1747CFC8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review, expert consensus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4867A34D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Reliability: internal consistency. </w:t>
            </w:r>
          </w:p>
          <w:p w14:paraId="358D2D9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Validity: discriminant validity.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3490927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Includes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dimensions, with one dimension for evaluating guideline implementability, including two items: purpose and local application and adoption.</w:t>
            </w:r>
          </w:p>
        </w:tc>
      </w:tr>
      <w:tr w14:paraId="40060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896406E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2021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Bai Xue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NE.Ref.{08C99234-42DF-4991-A1F8-815D77030F1F}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[12]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5519C54D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China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9B0547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Checklist for Assessing the Applicability of Traditional Chinese Medicine Clinical Practice Guidelines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6C58EE8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5BDECAA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review, expert consensus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4AEEA15A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None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2E713BC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3 domains: overall guideline, clarity, executability, with a total of 16 items.</w:t>
            </w:r>
          </w:p>
        </w:tc>
      </w:tr>
      <w:tr w14:paraId="243B1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3B66E45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Gupta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NE.Ref.{471011AC-BF96-4655-BDD7-E5ACD4BCDA71}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[13]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230FD008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Canada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00685BC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Guideline Language and Format Instrument (GLAFI)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149A3BCD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Framework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53533DD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AF2D4A2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None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4954205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4 language and 4 format sub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domains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.</w:t>
            </w:r>
          </w:p>
        </w:tc>
      </w:tr>
      <w:tr w14:paraId="5E6E3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7AF68C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Jin Yinghui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NE.Ref.{D4E410D4-7983-49D8-9A5A-86D9ABE65E9E}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[14]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</w:tcPr>
          <w:p w14:paraId="254C9A62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China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</w:tcPr>
          <w:p w14:paraId="57C78971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Tool for Evaluating Implementability of Clinical Practice Guidelines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14:paraId="2670E63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Scale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14:paraId="1C9CCB9F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Literature review, </w:t>
            </w:r>
            <w:bookmarkStart w:id="3" w:name="OLE_LINK3"/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expert consensus</w:t>
            </w:r>
            <w:bookmarkEnd w:id="3"/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66BA3C4">
            <w:pPr>
              <w:spacing w:line="240" w:lineRule="auto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Reliability: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 none.</w:t>
            </w:r>
          </w:p>
          <w:p w14:paraId="45792610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Validity: surface validity, content validity.</w:t>
            </w:r>
          </w:p>
        </w:tc>
        <w:tc>
          <w:tcPr>
            <w:tcW w:w="4286" w:type="dxa"/>
            <w:tcBorders>
              <w:top w:val="nil"/>
              <w:left w:val="nil"/>
              <w:bottom w:val="nil"/>
              <w:right w:val="nil"/>
            </w:tcBorders>
          </w:tcPr>
          <w:p w14:paraId="7B7A2EC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Includes accessibility, communicability, executability, recognizability, and applicability comprising 5 domains and 7 items.</w:t>
            </w:r>
          </w:p>
        </w:tc>
      </w:tr>
      <w:tr w14:paraId="31C78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C843B94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2022, Melissa K Sharp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instrText xml:space="preserve"> ADDIN NE.Ref.{2663221B-0419-42C3-93B3-AE3704EA70E7}</w:instrTex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[15]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8DA7C0B">
            <w:pPr>
              <w:spacing w:line="240" w:lineRule="auto"/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Ireland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33109C0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vidence synthesis summary formats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DDA4823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Concept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209CF3C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Literature review</w:t>
            </w:r>
          </w:p>
        </w:tc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510F3F7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Not Applicable</w:t>
            </w:r>
          </w:p>
        </w:tc>
        <w:tc>
          <w:tcPr>
            <w:tcW w:w="428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5152F80">
            <w:pPr>
              <w:spacing w:line="240" w:lineRule="auto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 xml:space="preserve">Includes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6 categories: ‘presenting information’, ‘tailoring information’ for end users, ‘trust in producers and summary’, ‘knowledge required’ to understand findings, ‘quality of evidence’, and properly ‘contextualising information’.</w:t>
            </w:r>
          </w:p>
        </w:tc>
      </w:tr>
    </w:tbl>
    <w:p w14:paraId="4496DED5">
      <w:pPr>
        <w:spacing w:beforeLines="0" w:afterLines="0"/>
        <w:jc w:val="left"/>
        <w:rPr>
          <w:rFonts w:hint="default" w:ascii="Times New Roman" w:hAnsi="Times New Roman" w:cs="Times New Roman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Note: </w:t>
      </w:r>
      <w:r>
        <w:rPr>
          <w:rFonts w:hint="eastAsia" w:ascii="Times New Roman" w:hAnsi="Times New Roman" w:cs="Times New Roman"/>
          <w:lang w:val="en-US" w:eastAsia="zh-CN"/>
        </w:rPr>
        <w:t xml:space="preserve">① </w:t>
      </w:r>
      <w:r>
        <w:rPr>
          <w:rFonts w:hint="default" w:ascii="Times New Roman" w:hAnsi="Times New Roman" w:cs="Times New Roman"/>
          <w:lang w:val="en-US" w:eastAsia="zh-CN"/>
        </w:rPr>
        <w:t xml:space="preserve">11 countries 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vertAlign w:val="baseline"/>
          <w:lang w:val="en-US" w:eastAsia="zh-CN"/>
        </w:rPr>
        <w:t>: including Canada, Denmark, England, Finland, France, Germany, Italy, The Netherlands, Scotland, Spain, Switzerland (England and Scotland were considered separately because they have independent guideline programmes).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 xml:space="preserve"> ② 46 countries #: including North America, Europe, Australia, and Asia. </w:t>
      </w:r>
    </w:p>
    <w:p w14:paraId="4AF76B98">
      <w:pPr>
        <w:spacing w:beforeLines="0" w:afterLines="0"/>
        <w:jc w:val="left"/>
      </w:pPr>
    </w:p>
    <w:p w14:paraId="59988C78">
      <w:pPr>
        <w:spacing w:beforeLines="0" w:afterLines="0"/>
        <w:jc w:val="left"/>
      </w:pPr>
    </w:p>
    <w:p w14:paraId="639CDED8">
      <w:pPr>
        <w:spacing w:beforeLines="0" w:afterLines="0"/>
        <w:jc w:val="left"/>
      </w:pPr>
    </w:p>
    <w:p w14:paraId="71638B3D">
      <w:pPr>
        <w:spacing w:beforeLines="0" w:afterLines="0"/>
        <w:jc w:val="left"/>
      </w:pPr>
    </w:p>
    <w:p w14:paraId="771CB011">
      <w:pPr>
        <w:spacing w:beforeLines="0" w:afterLines="0"/>
        <w:jc w:val="left"/>
      </w:pPr>
    </w:p>
    <w:p w14:paraId="1039D4C3">
      <w:pPr>
        <w:spacing w:beforeLines="0" w:afterLines="0"/>
        <w:jc w:val="left"/>
      </w:pPr>
    </w:p>
    <w:p w14:paraId="030795D6">
      <w:pPr>
        <w:spacing w:beforeLines="0" w:afterLines="0"/>
        <w:jc w:val="left"/>
      </w:pPr>
    </w:p>
    <w:p w14:paraId="50A819E8">
      <w:pPr>
        <w:spacing w:beforeLines="0" w:afterLines="0"/>
        <w:jc w:val="left"/>
      </w:pPr>
    </w:p>
    <w:p w14:paraId="7C009970">
      <w:pPr>
        <w:spacing w:beforeLines="0" w:afterLines="0"/>
        <w:jc w:val="left"/>
      </w:pPr>
    </w:p>
    <w:p w14:paraId="5CC3A78E">
      <w:pPr>
        <w:spacing w:beforeLines="0" w:afterLines="0"/>
        <w:jc w:val="left"/>
      </w:pPr>
    </w:p>
    <w:p w14:paraId="7DE8C5C2">
      <w:pPr>
        <w:spacing w:beforeLines="0" w:afterLines="0"/>
        <w:jc w:val="left"/>
      </w:pPr>
    </w:p>
    <w:p w14:paraId="34854468">
      <w:pPr>
        <w:spacing w:beforeLines="0" w:afterLines="0"/>
        <w:jc w:val="left"/>
      </w:pPr>
    </w:p>
    <w:p w14:paraId="602D0484">
      <w:pPr>
        <w:spacing w:beforeLines="0" w:afterLines="0"/>
        <w:jc w:val="left"/>
      </w:pPr>
    </w:p>
    <w:p w14:paraId="58C03331">
      <w:pPr>
        <w:spacing w:beforeLines="0" w:afterLines="0"/>
        <w:jc w:val="left"/>
      </w:pPr>
    </w:p>
    <w:p w14:paraId="1827DA42">
      <w:pPr>
        <w:spacing w:beforeLines="0" w:afterLines="0"/>
        <w:jc w:val="left"/>
      </w:pPr>
    </w:p>
    <w:p w14:paraId="4296B380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: Matrix of Constructs from Models in the literature to CFGI Constructs</w:t>
      </w:r>
    </w:p>
    <w:p w14:paraId="6284579B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 w14:paraId="1D8E85DA"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Implementability of Clinical Practice Guidelines: the Review and Development of a Comprehensive Framework for Guideline Implementability (CFGI)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6100"/>
        <w:gridCol w:w="480"/>
        <w:gridCol w:w="500"/>
        <w:gridCol w:w="490"/>
        <w:gridCol w:w="470"/>
        <w:gridCol w:w="510"/>
        <w:gridCol w:w="500"/>
        <w:gridCol w:w="510"/>
        <w:gridCol w:w="510"/>
        <w:gridCol w:w="470"/>
        <w:gridCol w:w="520"/>
        <w:gridCol w:w="460"/>
        <w:gridCol w:w="460"/>
        <w:gridCol w:w="480"/>
        <w:gridCol w:w="500"/>
        <w:gridCol w:w="491"/>
      </w:tblGrid>
      <w:tr w14:paraId="225AD4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6823" w:type="dxa"/>
            <w:gridSpan w:val="2"/>
            <w:tcBorders>
              <w:bottom w:val="nil"/>
              <w:right w:val="nil"/>
            </w:tcBorders>
            <w:vAlign w:val="center"/>
          </w:tcPr>
          <w:p w14:paraId="7C86E01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See Table 1 in main paper for full citations: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240DF5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8C97109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1B2FBF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660316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01BE5F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DF3FBA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000E29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945AF03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721642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63D5A6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BF2321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CC05E8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DCE9A9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AC12A5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6745E5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  <w:tr w14:paraId="33B0BA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  <w:jc w:val="center"/>
        </w:trPr>
        <w:tc>
          <w:tcPr>
            <w:tcW w:w="723" w:type="dxa"/>
            <w:tcBorders>
              <w:top w:val="nil"/>
              <w:bottom w:val="single" w:color="auto" w:sz="12" w:space="0"/>
              <w:right w:val="nil"/>
            </w:tcBorders>
          </w:tcPr>
          <w:p w14:paraId="38AF8645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0CDE5BA3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4BA33605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206C2B22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66F14300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69141B3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575B0DD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27EDEEC2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Code</w:t>
            </w:r>
          </w:p>
        </w:tc>
        <w:tc>
          <w:tcPr>
            <w:tcW w:w="61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DA12462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68C52B7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3D5E8BA0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45C8D853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3FF5CB5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6F2B236E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0D98828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 w14:paraId="155209E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Topic/ Description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557245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HYPERLINK "https://pubmed.ncbi.nlm.nih.gov/?term=AGREE+Collaboration[Corporate+Author]" 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AGREE Collaboration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NE.Ref.{AF203D20-8E1D-4305-9C9F-1AA91A01DD98}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  <w:p w14:paraId="66077560"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0887FF64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Shiffman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NE.Ref.{B709E04B-D384-451B-9EFE-C4CB9360CE28}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[2]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49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3C314D39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Gagliardi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NE.Ref.{B71D23D1-DC01-4A24-A8D8-C28B12BF45FD}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[3]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342F8472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Amir Qaseem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NE.Ref.{54CAF2B2-FC4F-4F26-9C75-7C079891F513}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[4]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12C2EB3C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Kastner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NE.Ref.{A67692F4-7B99-4A8A-BA9D-AD47D1B0331E}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[5]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74BD4C6B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Kastner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NE.Ref.{89E47A56-D42B-4B2C-83D6-49D4414001E7}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[6]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17E46B66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4" w:name="OLE_LINK7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Kastner</w:t>
            </w:r>
            <w:bookmarkEnd w:id="4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NE.Ref.{BC1E6271-543D-4DF9-929D-821A97083257}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[7]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03A1595A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5" w:name="OLE_LINK6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Brouwers</w:t>
            </w:r>
            <w:bookmarkEnd w:id="5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NE.Ref.{9F1BA7D9-F116-4F1E-85E2-C8219B3563E7}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[8]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47166374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Hui Li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NE.Ref.{79D37722-85BC-4564-8334-AC1623D243E4}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[9]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1A2646AA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J Jane Jue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instrText xml:space="preserve"> ADDIN NE.Ref.{A34C4BC7-A151-4713-AF1C-5C868FEA6136}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[10]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419CFC29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Brouwers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ADDIN NE.Ref.{E31B8EA8-1047-45EA-85E7-FA9D1A7DF649}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[11]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  <w:p w14:paraId="1479D789"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32C0527D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Bai Xue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ADDIN NE.Ref.{5394E054-F43C-4EE2-9D47-8B3A897DD9EC}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[12]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  <w:p w14:paraId="72299CDF"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1609BC89">
            <w:pPr>
              <w:ind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Gupta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ADDIN NE.Ref.{21EE84B6-2AFC-43F7-8902-6CF344B68ADA}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[13]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75A38CF8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Jin Yinghui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ADDIN NE.Ref.{04981523-A403-449A-893B-B6F8E71CEAF7}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[14]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  <w:p w14:paraId="7D29303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BBA1789"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nil"/>
              <w:left w:val="nil"/>
              <w:bottom w:val="single" w:color="auto" w:sz="12" w:space="0"/>
              <w:right w:val="nil"/>
            </w:tcBorders>
            <w:textDirection w:val="btLr"/>
            <w:vAlign w:val="top"/>
          </w:tcPr>
          <w:p w14:paraId="66C4385B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Melissa K Sharp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instrText xml:space="preserve"> ADDIN NE.Ref.{2714C14F-AD1E-4C4A-8E25-FF7D1DBBC161}</w:instrTex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color w:val="080000"/>
                <w:sz w:val="21"/>
                <w:szCs w:val="24"/>
                <w:vertAlign w:val="superscript"/>
              </w:rPr>
              <w:t>[15]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  <w:p w14:paraId="2CBB7766">
            <w:pPr>
              <w:ind w:left="113" w:right="113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C9627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3" w:type="dxa"/>
            <w:gridSpan w:val="2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 w14:paraId="325B236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Ⅰ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Scope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Purpose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395534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6F61AC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34A679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5FC87A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A96E1F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5D7A0F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FE2605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4FC36E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C29BF8B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3420E8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A5DA83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6A2578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B78621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C2C768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3DE2F8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281940</wp:posOffset>
                      </wp:positionH>
                      <wp:positionV relativeFrom="paragraph">
                        <wp:posOffset>26670</wp:posOffset>
                      </wp:positionV>
                      <wp:extent cx="342900" cy="1124585"/>
                      <wp:effectExtent l="0" t="0" r="0" b="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342900" cy="11245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EF6BC5">
                                  <w:pPr>
                                    <w:rPr>
                                      <w:rFonts w:hint="eastAsia"/>
                                      <w:lang w:val="en-US" w:eastAsia="zh-C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.2pt;margin-top:2.1pt;height:88.55pt;width:27pt;rotation:11796480f;z-index:251659264;mso-width-relative:page;mso-height-relative:page;" filled="f" stroked="f" coordsize="21600,21600" o:gfxdata="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Sk95aNQAAAAHAQAADwAAAAAAAAABACAAAAAi&#10;AAAAZHJzL2Rvd25yZXYueG1sUEsBAhQAFAAAAAgAh07iQOmExyNHAgAAeQQAAA4AAAAAAAAAAQAg&#10;AAAAIwEAAGRycy9lMm9Eb2MueG1sUEsFBgAAAAAGAAYAWQEAANwFAAAAAA==&#10;">
                      <v:fill on="f" focussize="0,0"/>
                      <v:stroke on="f" weight="0.5pt"/>
                      <v:imagedata o:title=""/>
                      <o:lock v:ext="edit" aspectratio="f"/>
                      <v:textbox style="layout-flow:vertical-ideographic;">
                        <w:txbxContent>
                          <w:p w14:paraId="20EF6BC5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21E4AC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12" w:space="0"/>
              <w:right w:val="nil"/>
            </w:tcBorders>
            <w:vAlign w:val="center"/>
          </w:tcPr>
          <w:p w14:paraId="15FEF7C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6100" w:type="dxa"/>
            <w:tcBorders>
              <w:top w:val="single" w:color="auto" w:sz="12" w:space="0"/>
              <w:left w:val="nil"/>
              <w:right w:val="nil"/>
            </w:tcBorders>
          </w:tcPr>
          <w:p w14:paraId="0D57837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 clearly defines its scope and purpose.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0D115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438932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9FF07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5D0B45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F6B03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474D62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227466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84BA40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9076CE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6A0447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8FACBD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E8A9A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32AC9E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78063B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9486C4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F537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1E19AC8E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5169944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 clearly describes the target users and populations.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D52152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06B4A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27553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C1EC71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9B9848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31947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F2515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518DBC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836679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BA3687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1B7E41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94A4B6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E5E119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BFEF08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F77CEC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5B16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2B718AF8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4A8343B1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guidelines clearly describe applicable populations or applicable diseases.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8EAF4A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D57D5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391889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EF56BA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F009DE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7A9067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B55098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6D03F7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1D8BDC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81FDA9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97D262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906C4A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FCF9E1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8B6A6B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FD682C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FA180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6197208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74D2C329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summary of the guideline details the number of clinical problems.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E107F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B83106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941370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C7BE0F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E4D937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E6B946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EBEF06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8D2826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BA94F8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8D31F4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FB363D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B7B1DD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3D838A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E79E8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715E73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1208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bottom w:val="single" w:color="auto" w:sz="12" w:space="0"/>
              <w:right w:val="nil"/>
            </w:tcBorders>
            <w:vAlign w:val="center"/>
          </w:tcPr>
          <w:p w14:paraId="442882F0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</w:t>
            </w:r>
          </w:p>
        </w:tc>
        <w:tc>
          <w:tcPr>
            <w:tcW w:w="6100" w:type="dxa"/>
            <w:tcBorders>
              <w:left w:val="nil"/>
              <w:bottom w:val="single" w:color="auto" w:sz="12" w:space="0"/>
              <w:right w:val="nil"/>
            </w:tcBorders>
          </w:tcPr>
          <w:p w14:paraId="1F8D4639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summary of the guideline specifies the specific clinical problems.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42AAC7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034474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2BCFB7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AC5B04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C909F9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0F24C2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DDBAB2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CE987D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9FC918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1369D6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3B786C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29953D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888CF6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AD3060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D41631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49CF2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3" w:type="dxa"/>
            <w:gridSpan w:val="2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 w14:paraId="3A28834C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Ⅱ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Clarity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Consistency of recommendations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1B7422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3D3BBE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882585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7EB985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0817CC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69F430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F8ABBE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184F79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8A5568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A586A5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18A765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A2AD28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D2CF57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60264C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6CAF45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7120A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12" w:space="0"/>
              <w:right w:val="nil"/>
            </w:tcBorders>
            <w:vAlign w:val="center"/>
          </w:tcPr>
          <w:p w14:paraId="2271FC1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6100" w:type="dxa"/>
            <w:tcBorders>
              <w:top w:val="single" w:color="auto" w:sz="12" w:space="0"/>
              <w:left w:val="nil"/>
              <w:right w:val="nil"/>
            </w:tcBorders>
          </w:tcPr>
          <w:p w14:paraId="28713450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Recommendations are supported by references.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A7E5C0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9BF2BB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24ABA6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028E8E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0894DD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8782F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5C2F8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B37DB7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7E61C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3BC7E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17398E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84BEAF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79885F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641621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23B2E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CB74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317C2D8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1D559190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Recommendations provides sufficient details to support the implementation of the guideline, such as recommendations to specific dosage, timing, and frequency of medication. 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D87C7C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BF2663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36F96B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6C99B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F55E8C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85E748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E01EA4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5B30C9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5C2300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A45E20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8FEC53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E8CA3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560C87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AE5B6A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0E1A0F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</w:tr>
      <w:tr w14:paraId="787ED9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7E3046A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2B7A7D1C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Recommendations are clear, explicit, and feasible (specify what actions should or should not be taken, in which circumstances, and by whom).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3BEC05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B6EF9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FC597A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E5F05A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1E95B7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6B1A26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997226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E365B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4605F7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A4BFE1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6FB456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0815FF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210182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E8C816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ED0271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DBA9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bottom w:val="single" w:color="auto" w:sz="12" w:space="0"/>
              <w:right w:val="nil"/>
            </w:tcBorders>
            <w:vAlign w:val="center"/>
          </w:tcPr>
          <w:p w14:paraId="65DECFE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D</w:t>
            </w:r>
          </w:p>
        </w:tc>
        <w:tc>
          <w:tcPr>
            <w:tcW w:w="6100" w:type="dxa"/>
            <w:tcBorders>
              <w:left w:val="nil"/>
              <w:bottom w:val="single" w:color="auto" w:sz="12" w:space="0"/>
              <w:right w:val="nil"/>
            </w:tcBorders>
          </w:tcPr>
          <w:p w14:paraId="2FF6C9CD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Recommendations are feasible in the actual clinical setting, with specific implementation steps provided.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7EA02C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CEBAB4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949DD1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655C1A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3CC848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62B137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4E8B7B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14C638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6" w:name="OLE_LINK5"/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  <w:bookmarkEnd w:id="6"/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251978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F969C0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80179B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A764BB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C57842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046630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55478C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76EE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3" w:type="dxa"/>
            <w:gridSpan w:val="2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 w14:paraId="79EBF5FB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Ⅲ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Development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Evidence Base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306D19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8AAA2C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83F434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8687F2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86A936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40ABCB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834EDC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782D5F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18EF64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FE406C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FF9E97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C961A9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DEF550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7BEF09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495921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89DD0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12" w:space="0"/>
              <w:right w:val="nil"/>
            </w:tcBorders>
            <w:vAlign w:val="center"/>
          </w:tcPr>
          <w:p w14:paraId="2EF974A1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6100" w:type="dxa"/>
            <w:tcBorders>
              <w:top w:val="single" w:color="auto" w:sz="12" w:space="0"/>
              <w:left w:val="nil"/>
              <w:right w:val="nil"/>
            </w:tcBorders>
          </w:tcPr>
          <w:p w14:paraId="1A23EC2C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 clearly describes the methods used to form the recommendations.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F07A42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5A0320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C6D451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11CD81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20C625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BEF7EA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16535E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8F892D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9D66DA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2CC408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D0BACF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8D55AF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A51A7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C39D07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2D57C4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1EA2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2B9A894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66A9CCD5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 clearly describes the potential benefits and harms of the recommendations.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B0C190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146A80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C28A60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3C9B97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079B61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5F366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816C1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66932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BBD5BC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3BBF6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82A9D8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D86CDB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22F9C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C9C9BD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C3D4DB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C4BBA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01BD79E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0AA61699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 clearly describes the criteria for selecting evidence (e.g., the guideline developers used systematic evidence review processes to identify and evaluate evidence relevant to the guideline).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1EACB3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247DF7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97C7C9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7245B6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17E661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103BE1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62039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A695D9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EFD91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25F88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F6C8CB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21FD9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444F96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6C840D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524F8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A7C6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752D3B8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D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3D8D7CE8">
            <w:pPr>
              <w:rPr>
                <w:rFonts w:hint="default" w:ascii="Times New Roman" w:hAnsi="Times New Roman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The guideline provides a grading of the quality or strength of evidence for each recommendation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"/>
              </w:rPr>
              <w:t>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95CE7F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5E2017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C8CF14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B3595E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5BB4E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7EBFDE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26FDC2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720308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A91A04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38902C4"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125E9D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94E8A3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65B19B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55CD1E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5AE97A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</w:tr>
      <w:tr w14:paraId="0C66C7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bottom w:val="single" w:color="auto" w:sz="12" w:space="0"/>
              <w:right w:val="nil"/>
            </w:tcBorders>
            <w:vAlign w:val="center"/>
          </w:tcPr>
          <w:p w14:paraId="7636F9E5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E</w:t>
            </w:r>
          </w:p>
        </w:tc>
        <w:tc>
          <w:tcPr>
            <w:tcW w:w="6100" w:type="dxa"/>
            <w:tcBorders>
              <w:left w:val="nil"/>
              <w:bottom w:val="single" w:color="auto" w:sz="12" w:space="0"/>
              <w:right w:val="nil"/>
            </w:tcBorders>
          </w:tcPr>
          <w:p w14:paraId="112A548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summary of the guideline explains the overall situation of the evidence.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44A63B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79D03D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9B1A15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CD6484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8DADC5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0675AE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F582A1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9BC06E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DD918B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D1DBDA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17B353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C6CCA0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5E39B0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2A8ECE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9750F3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</w:tr>
      <w:tr w14:paraId="3D3361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3" w:type="dxa"/>
            <w:gridSpan w:val="2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 w14:paraId="50FE43E9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Ⅳ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Structure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&amp;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Content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C86642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A6CC1D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D1643F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0A8B0F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FDEDAB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B4BFE4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76D2D7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57AECB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B4CF1C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85DF13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24E0A0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D14768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70052F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6BA8DF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E4C7CF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566F9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12" w:space="0"/>
              <w:right w:val="nil"/>
            </w:tcBorders>
            <w:vAlign w:val="center"/>
          </w:tcPr>
          <w:p w14:paraId="105554F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6100" w:type="dxa"/>
            <w:tcBorders>
              <w:top w:val="single" w:color="auto" w:sz="12" w:space="0"/>
              <w:left w:val="nil"/>
              <w:right w:val="nil"/>
            </w:tcBorders>
          </w:tcPr>
          <w:p w14:paraId="43F7F3AF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 has proper formatting, layout, and structure.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782712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47CB75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808E4C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02DC98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6FFEF1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A61948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C3892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6574A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2AA9AC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D3D83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4D248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43A4AD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E50C4C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7D967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8D7552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</w:tr>
      <w:tr w14:paraId="6B23104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bottom w:val="single" w:color="auto" w:sz="12" w:space="0"/>
              <w:right w:val="nil"/>
            </w:tcBorders>
            <w:vAlign w:val="center"/>
          </w:tcPr>
          <w:p w14:paraId="36D0265F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7" w:name="OLE_LINK8" w:colFirst="0" w:colLast="0"/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6100" w:type="dxa"/>
            <w:tcBorders>
              <w:left w:val="nil"/>
              <w:bottom w:val="single" w:color="auto" w:sz="12" w:space="0"/>
              <w:right w:val="nil"/>
            </w:tcBorders>
          </w:tcPr>
          <w:p w14:paraId="7CDC732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The guideline provides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key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terms and their definitions. 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6C0FD7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682E43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AD1F1C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9939BD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917AE5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C46532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E1AC2D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50C2DF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485208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013F8D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4AE3B0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24FFAD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E804C8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80E4D0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B4175D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bookmarkEnd w:id="7"/>
      <w:tr w14:paraId="122B86C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3" w:type="dxa"/>
            <w:gridSpan w:val="2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 w14:paraId="6713CA06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Ⅴ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Development Team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Transparency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352616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A35C03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35CBF7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08B663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D3DBD4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F1DB6C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1D6B7B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5CDA2C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384374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2CE763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C774DA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FDD6D7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B6EAD1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15914A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C4129E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6CF9C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12" w:space="0"/>
              <w:right w:val="nil"/>
            </w:tcBorders>
            <w:vAlign w:val="center"/>
          </w:tcPr>
          <w:p w14:paraId="13FA8FE2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6100" w:type="dxa"/>
            <w:tcBorders>
              <w:top w:val="single" w:color="auto" w:sz="12" w:space="0"/>
              <w:left w:val="nil"/>
              <w:right w:val="nil"/>
            </w:tcBorders>
          </w:tcPr>
          <w:p w14:paraId="24EB7ADE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The guideline development team should include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main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stakeholders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(Considerations include multidisciplinarity, geographic diversity, gender balance, qualifications balance, and patient participation).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5B674D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A45D66B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41F13B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A3B908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14A69D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FE92CC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1ACB12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22D08D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2F52BB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504121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62BF42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79085E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C953BD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001C44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9BBC6D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9C78E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771C391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10E5303F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guideline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present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 xml:space="preserve"> the development team.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6EF8E1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A88398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B3E50C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B4C3A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AE4DA0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2E3D98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A59982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C5F00A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776367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D0E63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6F2A57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C06A2D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F17C4C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E9AC4C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D881ED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C060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bottom w:val="single" w:color="auto" w:sz="12" w:space="0"/>
              <w:right w:val="nil"/>
            </w:tcBorders>
            <w:vAlign w:val="center"/>
          </w:tcPr>
          <w:p w14:paraId="6156E8A4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</w:t>
            </w:r>
          </w:p>
        </w:tc>
        <w:tc>
          <w:tcPr>
            <w:tcW w:w="6100" w:type="dxa"/>
            <w:tcBorders>
              <w:left w:val="nil"/>
              <w:bottom w:val="single" w:color="auto" w:sz="12" w:space="0"/>
              <w:right w:val="nil"/>
            </w:tcBorders>
          </w:tcPr>
          <w:p w14:paraId="0D7CCD7A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relationships of interest in the guideline are clearly transparent.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6D5CFD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9687A3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746999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733E48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43F24C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C6E4D3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EC8A76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2E36E8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4ED49B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BBC842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6163D3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A549FB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063FBE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03ECB6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B6A49D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</w:tr>
      <w:tr w14:paraId="3074C6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23" w:type="dxa"/>
            <w:gridSpan w:val="2"/>
            <w:tcBorders>
              <w:top w:val="single" w:color="auto" w:sz="12" w:space="0"/>
              <w:bottom w:val="single" w:color="auto" w:sz="12" w:space="0"/>
              <w:right w:val="nil"/>
            </w:tcBorders>
          </w:tcPr>
          <w:p w14:paraId="5099D684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Ⅵ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Implementation Environment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&amp;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Tools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93C3D8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D6C4B2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518A24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F364F92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2216069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863F24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BB91CC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0E63B37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F7459B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9C8402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5207810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483604AF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3AF1E7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A2DB00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CBBDEF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91221A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top w:val="single" w:color="auto" w:sz="12" w:space="0"/>
              <w:right w:val="nil"/>
            </w:tcBorders>
            <w:vAlign w:val="center"/>
          </w:tcPr>
          <w:p w14:paraId="3298BA0A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  <w:tc>
          <w:tcPr>
            <w:tcW w:w="6100" w:type="dxa"/>
            <w:tcBorders>
              <w:top w:val="single" w:color="auto" w:sz="12" w:space="0"/>
              <w:left w:val="nil"/>
              <w:right w:val="nil"/>
            </w:tcBorders>
          </w:tcPr>
          <w:p w14:paraId="493A382C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kern w:val="2"/>
                <w:sz w:val="24"/>
                <w:szCs w:val="24"/>
                <w:lang w:val="en-US" w:eastAsia="zh-CN" w:bidi="ar"/>
              </w:rPr>
              <w:t>The guideline has clearly identifiable recommendations (e.g., highlights the recommendations in boxes, with bold, bold text, underlined text).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EF6721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C5B28B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1DF908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27B53E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FD5033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E084BB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38B2E4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1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B50E81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0AA489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0B9A25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1158A4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2E2DB7E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30E17DC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13AB8D8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9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0522AD4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</w:tr>
      <w:tr w14:paraId="1AAA01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3" w:type="dxa"/>
            <w:tcBorders>
              <w:right w:val="nil"/>
            </w:tcBorders>
            <w:vAlign w:val="center"/>
          </w:tcPr>
          <w:p w14:paraId="643C52E7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B</w:t>
            </w:r>
          </w:p>
        </w:tc>
        <w:tc>
          <w:tcPr>
            <w:tcW w:w="6100" w:type="dxa"/>
            <w:tcBorders>
              <w:left w:val="nil"/>
              <w:right w:val="nil"/>
            </w:tcBorders>
          </w:tcPr>
          <w:p w14:paraId="22DE71C8"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The format of the guideline facilitates use by clinicians, including diagrams, flowcharts, and other auxiliary tools.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237EAE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5D6AF6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6A2599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86BA5A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3B682A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1119EE1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FB45639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3C8FD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46BDA35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4B60A27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D6426F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240C813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C93422A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F4D226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  <w:szCs w:val="24"/>
                <w:vertAlign w:val="baseline"/>
                <w:lang w:val="en-US" w:eastAsia="zh-CN"/>
              </w:rPr>
              <w:t>√</w:t>
            </w:r>
          </w:p>
        </w:tc>
        <w:tc>
          <w:tcPr>
            <w:tcW w:w="4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E0AFFD"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23D6869">
      <w:pPr>
        <w:spacing w:beforeLines="0" w:afterLines="0"/>
        <w:jc w:val="left"/>
      </w:pPr>
    </w:p>
    <w:p w14:paraId="57A3D192">
      <w:pPr>
        <w:spacing w:beforeLines="0" w:afterLines="0"/>
        <w:jc w:val="left"/>
      </w:pPr>
    </w:p>
    <w:p w14:paraId="0A6542CF">
      <w:pPr>
        <w:spacing w:beforeLines="0" w:afterLines="0"/>
        <w:jc w:val="left"/>
      </w:pPr>
    </w:p>
    <w:p w14:paraId="28B99EE3">
      <w:pPr>
        <w:spacing w:beforeLines="0" w:afterLines="0"/>
        <w:jc w:val="left"/>
      </w:pPr>
    </w:p>
    <w:p w14:paraId="2EB9ED83">
      <w:pPr>
        <w:spacing w:beforeLines="0" w:afterLines="0"/>
        <w:jc w:val="left"/>
      </w:pPr>
    </w:p>
    <w:p w14:paraId="349801AF">
      <w:pPr>
        <w:spacing w:beforeLines="0" w:afterLines="0"/>
        <w:jc w:val="left"/>
      </w:pPr>
    </w:p>
    <w:p w14:paraId="73A32521">
      <w:pPr>
        <w:spacing w:beforeLines="0" w:afterLines="0"/>
        <w:jc w:val="left"/>
      </w:pPr>
    </w:p>
    <w:p w14:paraId="1248B4A8">
      <w:pPr>
        <w:spacing w:beforeLines="0" w:afterLines="0"/>
        <w:jc w:val="left"/>
      </w:pPr>
    </w:p>
    <w:p w14:paraId="096F8965">
      <w:pPr>
        <w:spacing w:beforeLines="0" w:afterLines="0"/>
        <w:jc w:val="left"/>
      </w:pPr>
    </w:p>
    <w:p w14:paraId="62D87215">
      <w:pPr>
        <w:spacing w:beforeLines="0" w:afterLines="0"/>
        <w:jc w:val="left"/>
      </w:pPr>
    </w:p>
    <w:p w14:paraId="7B79EB28">
      <w:pPr>
        <w:spacing w:beforeLines="0" w:afterLines="0"/>
        <w:jc w:val="left"/>
      </w:pPr>
    </w:p>
    <w:p w14:paraId="55D6C2D2">
      <w:pPr>
        <w:spacing w:beforeLines="0" w:afterLines="0"/>
        <w:jc w:val="left"/>
      </w:pPr>
    </w:p>
    <w:p w14:paraId="219F7751">
      <w:pPr>
        <w:spacing w:beforeLines="0" w:afterLines="0"/>
        <w:jc w:val="left"/>
      </w:pPr>
    </w:p>
    <w:p w14:paraId="7A85AA3D">
      <w:pPr>
        <w:spacing w:line="360" w:lineRule="auto"/>
        <w:ind w:firstLine="420" w:firstLineChars="0"/>
        <w:jc w:val="center"/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5</w:t>
      </w:r>
      <w:r>
        <w:rPr>
          <w:rFonts w:hint="eastAsia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 xml:space="preserve"> The resu</w:t>
      </w:r>
      <w:bookmarkStart w:id="23" w:name="_GoBack"/>
      <w:bookmarkEnd w:id="23"/>
      <w:r>
        <w:rPr>
          <w:rFonts w:hint="eastAsia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>lts of the external validation of the CFGI</w:t>
      </w:r>
    </w:p>
    <w:tbl>
      <w:tblPr>
        <w:tblStyle w:val="4"/>
        <w:tblW w:w="14196" w:type="dxa"/>
        <w:tblInd w:w="17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211"/>
        <w:gridCol w:w="595"/>
        <w:gridCol w:w="851"/>
        <w:gridCol w:w="1238"/>
        <w:gridCol w:w="659"/>
        <w:gridCol w:w="803"/>
        <w:gridCol w:w="1217"/>
        <w:gridCol w:w="616"/>
        <w:gridCol w:w="707"/>
        <w:gridCol w:w="1253"/>
        <w:gridCol w:w="627"/>
        <w:gridCol w:w="702"/>
        <w:gridCol w:w="1221"/>
        <w:gridCol w:w="649"/>
        <w:gridCol w:w="760"/>
      </w:tblGrid>
      <w:tr w14:paraId="55152ED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</w:tcPr>
          <w:p w14:paraId="5FED1D28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57" w:type="dxa"/>
            <w:gridSpan w:val="3"/>
            <w:tcBorders>
              <w:bottom w:val="single" w:color="auto" w:sz="4" w:space="0"/>
            </w:tcBorders>
          </w:tcPr>
          <w:p w14:paraId="3000079A"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Rationality</w:t>
            </w:r>
          </w:p>
        </w:tc>
        <w:tc>
          <w:tcPr>
            <w:tcW w:w="2700" w:type="dxa"/>
            <w:gridSpan w:val="3"/>
            <w:tcBorders>
              <w:bottom w:val="single" w:color="auto" w:sz="4" w:space="0"/>
            </w:tcBorders>
          </w:tcPr>
          <w:p w14:paraId="1A10813B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Importance</w:t>
            </w:r>
          </w:p>
        </w:tc>
        <w:tc>
          <w:tcPr>
            <w:tcW w:w="2540" w:type="dxa"/>
            <w:gridSpan w:val="3"/>
            <w:tcBorders>
              <w:bottom w:val="single" w:color="auto" w:sz="4" w:space="0"/>
            </w:tcBorders>
          </w:tcPr>
          <w:p w14:paraId="51B87003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Clarity</w:t>
            </w:r>
          </w:p>
        </w:tc>
        <w:tc>
          <w:tcPr>
            <w:tcW w:w="2582" w:type="dxa"/>
            <w:gridSpan w:val="3"/>
            <w:tcBorders>
              <w:bottom w:val="single" w:color="auto" w:sz="4" w:space="0"/>
            </w:tcBorders>
          </w:tcPr>
          <w:p w14:paraId="556CFB3F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Feasibility</w:t>
            </w:r>
          </w:p>
        </w:tc>
        <w:tc>
          <w:tcPr>
            <w:tcW w:w="2630" w:type="dxa"/>
            <w:gridSpan w:val="3"/>
            <w:tcBorders>
              <w:bottom w:val="single" w:color="auto" w:sz="4" w:space="0"/>
            </w:tcBorders>
          </w:tcPr>
          <w:p w14:paraId="6DCC90B3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Necessity</w:t>
            </w:r>
          </w:p>
        </w:tc>
      </w:tr>
      <w:tr w14:paraId="0BE10B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bottom w:val="single" w:color="auto" w:sz="4" w:space="0"/>
            </w:tcBorders>
          </w:tcPr>
          <w:p w14:paraId="23E72130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auto" w:sz="4" w:space="0"/>
              <w:bottom w:val="single" w:color="auto" w:sz="4" w:space="0"/>
            </w:tcBorders>
          </w:tcPr>
          <w:p w14:paraId="3CB5D1EA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mean±SD</w:t>
            </w:r>
          </w:p>
        </w:tc>
        <w:tc>
          <w:tcPr>
            <w:tcW w:w="595" w:type="dxa"/>
            <w:tcBorders>
              <w:top w:val="single" w:color="auto" w:sz="4" w:space="0"/>
              <w:bottom w:val="single" w:color="auto" w:sz="4" w:space="0"/>
            </w:tcBorders>
          </w:tcPr>
          <w:p w14:paraId="2C8F9079"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CV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</w:tcPr>
          <w:p w14:paraId="3F69D36F"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Full score ratio (%)</w:t>
            </w:r>
          </w:p>
        </w:tc>
        <w:tc>
          <w:tcPr>
            <w:tcW w:w="1238" w:type="dxa"/>
            <w:tcBorders>
              <w:top w:val="single" w:color="auto" w:sz="4" w:space="0"/>
              <w:bottom w:val="single" w:color="auto" w:sz="4" w:space="0"/>
            </w:tcBorders>
          </w:tcPr>
          <w:p w14:paraId="47389343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mean±SD</w:t>
            </w:r>
          </w:p>
        </w:tc>
        <w:tc>
          <w:tcPr>
            <w:tcW w:w="659" w:type="dxa"/>
            <w:tcBorders>
              <w:top w:val="single" w:color="auto" w:sz="4" w:space="0"/>
              <w:bottom w:val="single" w:color="auto" w:sz="4" w:space="0"/>
            </w:tcBorders>
          </w:tcPr>
          <w:p w14:paraId="3FE7FF1E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CV</w:t>
            </w:r>
          </w:p>
        </w:tc>
        <w:tc>
          <w:tcPr>
            <w:tcW w:w="803" w:type="dxa"/>
            <w:tcBorders>
              <w:top w:val="single" w:color="auto" w:sz="4" w:space="0"/>
              <w:bottom w:val="single" w:color="auto" w:sz="4" w:space="0"/>
            </w:tcBorders>
          </w:tcPr>
          <w:p w14:paraId="78188530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Full score ratio (%)</w:t>
            </w:r>
          </w:p>
        </w:tc>
        <w:tc>
          <w:tcPr>
            <w:tcW w:w="1217" w:type="dxa"/>
            <w:tcBorders>
              <w:top w:val="single" w:color="auto" w:sz="4" w:space="0"/>
              <w:bottom w:val="single" w:color="auto" w:sz="4" w:space="0"/>
            </w:tcBorders>
          </w:tcPr>
          <w:p w14:paraId="283B9573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mean±SD</w:t>
            </w:r>
          </w:p>
        </w:tc>
        <w:tc>
          <w:tcPr>
            <w:tcW w:w="616" w:type="dxa"/>
            <w:tcBorders>
              <w:top w:val="single" w:color="auto" w:sz="4" w:space="0"/>
              <w:bottom w:val="single" w:color="auto" w:sz="4" w:space="0"/>
            </w:tcBorders>
          </w:tcPr>
          <w:p w14:paraId="70AFA3B9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CV</w:t>
            </w:r>
          </w:p>
        </w:tc>
        <w:tc>
          <w:tcPr>
            <w:tcW w:w="707" w:type="dxa"/>
            <w:tcBorders>
              <w:top w:val="single" w:color="auto" w:sz="4" w:space="0"/>
              <w:bottom w:val="single" w:color="auto" w:sz="4" w:space="0"/>
            </w:tcBorders>
          </w:tcPr>
          <w:p w14:paraId="7A250D09"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Full score ratio (%)</w:t>
            </w:r>
          </w:p>
        </w:tc>
        <w:tc>
          <w:tcPr>
            <w:tcW w:w="1253" w:type="dxa"/>
            <w:tcBorders>
              <w:top w:val="single" w:color="auto" w:sz="4" w:space="0"/>
              <w:bottom w:val="single" w:color="auto" w:sz="4" w:space="0"/>
            </w:tcBorders>
          </w:tcPr>
          <w:p w14:paraId="0A287500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mean±SD</w:t>
            </w:r>
          </w:p>
        </w:tc>
        <w:tc>
          <w:tcPr>
            <w:tcW w:w="627" w:type="dxa"/>
            <w:tcBorders>
              <w:top w:val="single" w:color="auto" w:sz="4" w:space="0"/>
              <w:bottom w:val="single" w:color="auto" w:sz="4" w:space="0"/>
            </w:tcBorders>
          </w:tcPr>
          <w:p w14:paraId="182EC28F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CV</w:t>
            </w:r>
          </w:p>
        </w:tc>
        <w:tc>
          <w:tcPr>
            <w:tcW w:w="702" w:type="dxa"/>
            <w:tcBorders>
              <w:top w:val="single" w:color="auto" w:sz="4" w:space="0"/>
              <w:bottom w:val="single" w:color="auto" w:sz="4" w:space="0"/>
            </w:tcBorders>
          </w:tcPr>
          <w:p w14:paraId="71DA4A81"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Full score ratio (%)</w:t>
            </w:r>
          </w:p>
        </w:tc>
        <w:tc>
          <w:tcPr>
            <w:tcW w:w="1221" w:type="dxa"/>
            <w:tcBorders>
              <w:top w:val="single" w:color="auto" w:sz="4" w:space="0"/>
              <w:bottom w:val="single" w:color="auto" w:sz="4" w:space="0"/>
            </w:tcBorders>
          </w:tcPr>
          <w:p w14:paraId="58CF21CA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mean±SD</w:t>
            </w:r>
          </w:p>
        </w:tc>
        <w:tc>
          <w:tcPr>
            <w:tcW w:w="649" w:type="dxa"/>
            <w:tcBorders>
              <w:top w:val="single" w:color="auto" w:sz="4" w:space="0"/>
              <w:bottom w:val="single" w:color="auto" w:sz="4" w:space="0"/>
            </w:tcBorders>
          </w:tcPr>
          <w:p w14:paraId="0FE06EAA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CV</w:t>
            </w:r>
          </w:p>
        </w:tc>
        <w:tc>
          <w:tcPr>
            <w:tcW w:w="760" w:type="dxa"/>
            <w:tcBorders>
              <w:top w:val="single" w:color="auto" w:sz="4" w:space="0"/>
              <w:bottom w:val="single" w:color="auto" w:sz="4" w:space="0"/>
            </w:tcBorders>
          </w:tcPr>
          <w:p w14:paraId="32198818"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Full score ratio (%)</w:t>
            </w:r>
          </w:p>
        </w:tc>
      </w:tr>
      <w:tr w14:paraId="5AF5AA0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top w:val="single" w:color="auto" w:sz="4" w:space="0"/>
              <w:tl2br w:val="nil"/>
              <w:tr2bl w:val="nil"/>
            </w:tcBorders>
          </w:tcPr>
          <w:p w14:paraId="1AEED680">
            <w:pPr>
              <w:spacing w:line="240" w:lineRule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Domain 1</w:t>
            </w:r>
          </w:p>
        </w:tc>
        <w:tc>
          <w:tcPr>
            <w:tcW w:w="1211" w:type="dxa"/>
            <w:tcBorders>
              <w:top w:val="single" w:color="auto" w:sz="4" w:space="0"/>
              <w:tl2br w:val="nil"/>
              <w:tr2bl w:val="nil"/>
            </w:tcBorders>
          </w:tcPr>
          <w:p w14:paraId="68B1F3B3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b w:val="0"/>
                <w:bCs w:val="0"/>
                <w:sz w:val="21"/>
                <w:szCs w:val="21"/>
              </w:rPr>
              <w:t>4.34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 0.61</w:t>
            </w:r>
          </w:p>
        </w:tc>
        <w:tc>
          <w:tcPr>
            <w:tcW w:w="595" w:type="dxa"/>
            <w:tcBorders>
              <w:top w:val="single" w:color="auto" w:sz="4" w:space="0"/>
              <w:tl2br w:val="nil"/>
              <w:tr2bl w:val="nil"/>
            </w:tcBorders>
          </w:tcPr>
          <w:p w14:paraId="2C7EE924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0.14</w:t>
            </w:r>
          </w:p>
        </w:tc>
        <w:tc>
          <w:tcPr>
            <w:tcW w:w="851" w:type="dxa"/>
            <w:tcBorders>
              <w:top w:val="single" w:color="auto" w:sz="4" w:space="0"/>
              <w:tl2br w:val="nil"/>
              <w:tr2bl w:val="nil"/>
            </w:tcBorders>
          </w:tcPr>
          <w:p w14:paraId="75E87E46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41.38</w:t>
            </w:r>
          </w:p>
        </w:tc>
        <w:tc>
          <w:tcPr>
            <w:tcW w:w="1238" w:type="dxa"/>
            <w:tcBorders>
              <w:top w:val="single" w:color="auto" w:sz="4" w:space="0"/>
              <w:tl2br w:val="nil"/>
              <w:tr2bl w:val="nil"/>
            </w:tcBorders>
          </w:tcPr>
          <w:p w14:paraId="07DC1F3E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4.41± 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.63</w:t>
            </w:r>
          </w:p>
        </w:tc>
        <w:tc>
          <w:tcPr>
            <w:tcW w:w="659" w:type="dxa"/>
            <w:tcBorders>
              <w:top w:val="single" w:color="auto" w:sz="4" w:space="0"/>
              <w:tl2br w:val="nil"/>
              <w:tr2bl w:val="nil"/>
            </w:tcBorders>
          </w:tcPr>
          <w:p w14:paraId="599A1349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0.14</w:t>
            </w:r>
          </w:p>
        </w:tc>
        <w:tc>
          <w:tcPr>
            <w:tcW w:w="803" w:type="dxa"/>
            <w:tcBorders>
              <w:top w:val="single" w:color="auto" w:sz="4" w:space="0"/>
              <w:tl2br w:val="nil"/>
              <w:tr2bl w:val="nil"/>
            </w:tcBorders>
          </w:tcPr>
          <w:p w14:paraId="1A26DB47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48.28</w:t>
            </w:r>
          </w:p>
        </w:tc>
        <w:tc>
          <w:tcPr>
            <w:tcW w:w="1217" w:type="dxa"/>
            <w:tcBorders>
              <w:top w:val="single" w:color="auto" w:sz="4" w:space="0"/>
              <w:tl2br w:val="nil"/>
              <w:tr2bl w:val="nil"/>
            </w:tcBorders>
          </w:tcPr>
          <w:p w14:paraId="23EE8FFC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4.07±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0.84</w:t>
            </w:r>
          </w:p>
        </w:tc>
        <w:tc>
          <w:tcPr>
            <w:tcW w:w="616" w:type="dxa"/>
            <w:tcBorders>
              <w:top w:val="single" w:color="auto" w:sz="4" w:space="0"/>
              <w:tl2br w:val="nil"/>
              <w:tr2bl w:val="nil"/>
            </w:tcBorders>
          </w:tcPr>
          <w:p w14:paraId="0191E2A7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0.21</w:t>
            </w:r>
          </w:p>
        </w:tc>
        <w:tc>
          <w:tcPr>
            <w:tcW w:w="707" w:type="dxa"/>
            <w:tcBorders>
              <w:top w:val="single" w:color="auto" w:sz="4" w:space="0"/>
              <w:tl2br w:val="nil"/>
              <w:tr2bl w:val="nil"/>
            </w:tcBorders>
          </w:tcPr>
          <w:p w14:paraId="5F275E7B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34.48</w:t>
            </w:r>
          </w:p>
        </w:tc>
        <w:tc>
          <w:tcPr>
            <w:tcW w:w="1253" w:type="dxa"/>
            <w:tcBorders>
              <w:top w:val="single" w:color="auto" w:sz="4" w:space="0"/>
              <w:tl2br w:val="nil"/>
              <w:tr2bl w:val="nil"/>
            </w:tcBorders>
          </w:tcPr>
          <w:p w14:paraId="5D936238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4.21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 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27" w:type="dxa"/>
            <w:tcBorders>
              <w:top w:val="single" w:color="auto" w:sz="4" w:space="0"/>
              <w:tl2br w:val="nil"/>
              <w:tr2bl w:val="nil"/>
            </w:tcBorders>
          </w:tcPr>
          <w:p w14:paraId="6CC1A32C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0.17</w:t>
            </w:r>
          </w:p>
        </w:tc>
        <w:tc>
          <w:tcPr>
            <w:tcW w:w="702" w:type="dxa"/>
            <w:tcBorders>
              <w:top w:val="single" w:color="auto" w:sz="4" w:space="0"/>
              <w:tl2br w:val="nil"/>
              <w:tr2bl w:val="nil"/>
            </w:tcBorders>
          </w:tcPr>
          <w:p w14:paraId="15F78FC6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34.48</w:t>
            </w:r>
          </w:p>
        </w:tc>
        <w:tc>
          <w:tcPr>
            <w:tcW w:w="1221" w:type="dxa"/>
            <w:tcBorders>
              <w:top w:val="single" w:color="auto" w:sz="4" w:space="0"/>
              <w:tl2br w:val="nil"/>
              <w:tr2bl w:val="nil"/>
            </w:tcBorders>
          </w:tcPr>
          <w:p w14:paraId="615B6110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 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.83</w:t>
            </w:r>
          </w:p>
        </w:tc>
        <w:tc>
          <w:tcPr>
            <w:tcW w:w="649" w:type="dxa"/>
            <w:tcBorders>
              <w:top w:val="single" w:color="auto" w:sz="4" w:space="0"/>
              <w:tl2br w:val="nil"/>
              <w:tr2bl w:val="nil"/>
            </w:tcBorders>
          </w:tcPr>
          <w:p w14:paraId="18ED0EC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0.20</w:t>
            </w:r>
          </w:p>
        </w:tc>
        <w:tc>
          <w:tcPr>
            <w:tcW w:w="760" w:type="dxa"/>
            <w:tcBorders>
              <w:top w:val="single" w:color="auto" w:sz="4" w:space="0"/>
              <w:tl2br w:val="nil"/>
              <w:tr2bl w:val="nil"/>
            </w:tcBorders>
          </w:tcPr>
          <w:p w14:paraId="3CC79BFD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37.93</w:t>
            </w:r>
          </w:p>
        </w:tc>
      </w:tr>
      <w:tr w14:paraId="0FDD6A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tl2br w:val="nil"/>
              <w:tr2bl w:val="nil"/>
            </w:tcBorders>
          </w:tcPr>
          <w:p w14:paraId="15759033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Domain 2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7FB80133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4.48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.70</w:t>
            </w:r>
          </w:p>
        </w:tc>
        <w:tc>
          <w:tcPr>
            <w:tcW w:w="595" w:type="dxa"/>
            <w:tcBorders>
              <w:tl2br w:val="nil"/>
              <w:tr2bl w:val="nil"/>
            </w:tcBorders>
          </w:tcPr>
          <w:p w14:paraId="184AD56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0.16</w:t>
            </w:r>
          </w:p>
        </w:tc>
        <w:tc>
          <w:tcPr>
            <w:tcW w:w="851" w:type="dxa"/>
            <w:tcBorders>
              <w:tl2br w:val="nil"/>
              <w:tr2bl w:val="nil"/>
            </w:tcBorders>
          </w:tcPr>
          <w:p w14:paraId="31923B6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55.17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2C88572F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4.56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59" w:type="dxa"/>
            <w:tcBorders>
              <w:tl2br w:val="nil"/>
              <w:tr2bl w:val="nil"/>
            </w:tcBorders>
          </w:tcPr>
          <w:p w14:paraId="601ACDB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5E2443B1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55.17</w:t>
            </w:r>
          </w:p>
        </w:tc>
        <w:tc>
          <w:tcPr>
            <w:tcW w:w="1217" w:type="dxa"/>
            <w:tcBorders>
              <w:tl2br w:val="nil"/>
              <w:tr2bl w:val="nil"/>
            </w:tcBorders>
          </w:tcPr>
          <w:p w14:paraId="010CFB3C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4.33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 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.73</w:t>
            </w:r>
          </w:p>
        </w:tc>
        <w:tc>
          <w:tcPr>
            <w:tcW w:w="616" w:type="dxa"/>
            <w:tcBorders>
              <w:tl2br w:val="nil"/>
              <w:tr2bl w:val="nil"/>
            </w:tcBorders>
          </w:tcPr>
          <w:p w14:paraId="63BDD9F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0.17</w:t>
            </w:r>
          </w:p>
        </w:tc>
        <w:tc>
          <w:tcPr>
            <w:tcW w:w="707" w:type="dxa"/>
            <w:tcBorders>
              <w:tl2br w:val="nil"/>
              <w:tr2bl w:val="nil"/>
            </w:tcBorders>
          </w:tcPr>
          <w:p w14:paraId="7A669B0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48.15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14:paraId="4559EF9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4.22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.64</w:t>
            </w:r>
          </w:p>
        </w:tc>
        <w:tc>
          <w:tcPr>
            <w:tcW w:w="627" w:type="dxa"/>
            <w:tcBorders>
              <w:tl2br w:val="nil"/>
              <w:tr2bl w:val="nil"/>
            </w:tcBorders>
          </w:tcPr>
          <w:p w14:paraId="412C469C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0.15</w:t>
            </w:r>
          </w:p>
        </w:tc>
        <w:tc>
          <w:tcPr>
            <w:tcW w:w="702" w:type="dxa"/>
            <w:tcBorders>
              <w:tl2br w:val="nil"/>
              <w:tr2bl w:val="nil"/>
            </w:tcBorders>
          </w:tcPr>
          <w:p w14:paraId="1851A97E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33.33</w:t>
            </w:r>
          </w:p>
        </w:tc>
        <w:tc>
          <w:tcPr>
            <w:tcW w:w="1221" w:type="dxa"/>
            <w:tcBorders>
              <w:tl2br w:val="nil"/>
              <w:tr2bl w:val="nil"/>
            </w:tcBorders>
          </w:tcPr>
          <w:p w14:paraId="14C1A4BF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 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 w14:paraId="363520EB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0.21</w:t>
            </w:r>
          </w:p>
        </w:tc>
        <w:tc>
          <w:tcPr>
            <w:tcW w:w="760" w:type="dxa"/>
            <w:tcBorders>
              <w:tl2br w:val="nil"/>
              <w:tr2bl w:val="nil"/>
            </w:tcBorders>
          </w:tcPr>
          <w:p w14:paraId="32217D69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37.04</w:t>
            </w:r>
          </w:p>
        </w:tc>
      </w:tr>
      <w:tr w14:paraId="489E759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tl2br w:val="nil"/>
              <w:tr2bl w:val="nil"/>
            </w:tcBorders>
          </w:tcPr>
          <w:p w14:paraId="0A9B6AEC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Domain 3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321FF237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95" w:type="dxa"/>
            <w:tcBorders>
              <w:tl2br w:val="nil"/>
              <w:tr2bl w:val="nil"/>
            </w:tcBorders>
          </w:tcPr>
          <w:p w14:paraId="44F70DA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851" w:type="dxa"/>
            <w:tcBorders>
              <w:tl2br w:val="nil"/>
              <w:tr2bl w:val="nil"/>
            </w:tcBorders>
          </w:tcPr>
          <w:p w14:paraId="43D3233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48.15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50AE2ABD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.69</w:t>
            </w:r>
          </w:p>
        </w:tc>
        <w:tc>
          <w:tcPr>
            <w:tcW w:w="659" w:type="dxa"/>
            <w:tcBorders>
              <w:tl2br w:val="nil"/>
              <w:tr2bl w:val="nil"/>
            </w:tcBorders>
          </w:tcPr>
          <w:p w14:paraId="6B9D56A2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0.16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7565354F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51.85</w:t>
            </w:r>
          </w:p>
        </w:tc>
        <w:tc>
          <w:tcPr>
            <w:tcW w:w="1217" w:type="dxa"/>
            <w:tcBorders>
              <w:tl2br w:val="nil"/>
              <w:tr2bl w:val="nil"/>
            </w:tcBorders>
          </w:tcPr>
          <w:p w14:paraId="2845E783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16" w:type="dxa"/>
            <w:tcBorders>
              <w:tl2br w:val="nil"/>
              <w:tr2bl w:val="nil"/>
            </w:tcBorders>
          </w:tcPr>
          <w:p w14:paraId="61B2BA3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0.20</w:t>
            </w:r>
          </w:p>
        </w:tc>
        <w:tc>
          <w:tcPr>
            <w:tcW w:w="707" w:type="dxa"/>
            <w:tcBorders>
              <w:tl2br w:val="nil"/>
              <w:tr2bl w:val="nil"/>
            </w:tcBorders>
          </w:tcPr>
          <w:p w14:paraId="036BB4F9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37.04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14:paraId="1CDD42B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4.22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.80</w:t>
            </w:r>
          </w:p>
        </w:tc>
        <w:tc>
          <w:tcPr>
            <w:tcW w:w="627" w:type="dxa"/>
            <w:tcBorders>
              <w:tl2br w:val="nil"/>
              <w:tr2bl w:val="nil"/>
            </w:tcBorders>
          </w:tcPr>
          <w:p w14:paraId="68F85F0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0.19</w:t>
            </w:r>
          </w:p>
        </w:tc>
        <w:tc>
          <w:tcPr>
            <w:tcW w:w="702" w:type="dxa"/>
            <w:tcBorders>
              <w:tl2br w:val="nil"/>
              <w:tr2bl w:val="nil"/>
            </w:tcBorders>
          </w:tcPr>
          <w:p w14:paraId="3895EA6F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40.74</w:t>
            </w:r>
          </w:p>
        </w:tc>
        <w:tc>
          <w:tcPr>
            <w:tcW w:w="1221" w:type="dxa"/>
            <w:tcBorders>
              <w:tl2br w:val="nil"/>
              <w:tr2bl w:val="nil"/>
            </w:tcBorders>
          </w:tcPr>
          <w:p w14:paraId="2FD73653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.97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 w14:paraId="00488434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0.22</w:t>
            </w:r>
          </w:p>
        </w:tc>
        <w:tc>
          <w:tcPr>
            <w:tcW w:w="760" w:type="dxa"/>
            <w:tcBorders>
              <w:tl2br w:val="nil"/>
              <w:tr2bl w:val="nil"/>
            </w:tcBorders>
          </w:tcPr>
          <w:p w14:paraId="5681E81B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62.96</w:t>
            </w:r>
          </w:p>
        </w:tc>
      </w:tr>
      <w:tr w14:paraId="7A315A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tl2br w:val="nil"/>
              <w:tr2bl w:val="nil"/>
            </w:tcBorders>
          </w:tcPr>
          <w:p w14:paraId="1625585C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Domain 4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324C7A0D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4.56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595" w:type="dxa"/>
            <w:tcBorders>
              <w:tl2br w:val="nil"/>
              <w:tr2bl w:val="nil"/>
            </w:tcBorders>
          </w:tcPr>
          <w:p w14:paraId="0B5644D7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851" w:type="dxa"/>
            <w:tcBorders>
              <w:tl2br w:val="nil"/>
              <w:tr2bl w:val="nil"/>
            </w:tcBorders>
          </w:tcPr>
          <w:p w14:paraId="2B335AF2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59.26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472A402E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.57</w:t>
            </w:r>
          </w:p>
        </w:tc>
        <w:tc>
          <w:tcPr>
            <w:tcW w:w="659" w:type="dxa"/>
            <w:tcBorders>
              <w:tl2br w:val="nil"/>
              <w:tr2bl w:val="nil"/>
            </w:tcBorders>
          </w:tcPr>
          <w:p w14:paraId="77087481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2E7CAE93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44.44</w:t>
            </w:r>
          </w:p>
        </w:tc>
        <w:tc>
          <w:tcPr>
            <w:tcW w:w="1217" w:type="dxa"/>
            <w:tcBorders>
              <w:tl2br w:val="nil"/>
              <w:tr2bl w:val="nil"/>
            </w:tcBorders>
          </w:tcPr>
          <w:p w14:paraId="563F2122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4.52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0.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70</w:t>
            </w:r>
          </w:p>
        </w:tc>
        <w:tc>
          <w:tcPr>
            <w:tcW w:w="616" w:type="dxa"/>
            <w:tcBorders>
              <w:tl2br w:val="nil"/>
              <w:tr2bl w:val="nil"/>
            </w:tcBorders>
          </w:tcPr>
          <w:p w14:paraId="6879C30E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0.15</w:t>
            </w:r>
          </w:p>
        </w:tc>
        <w:tc>
          <w:tcPr>
            <w:tcW w:w="707" w:type="dxa"/>
            <w:tcBorders>
              <w:tl2br w:val="nil"/>
              <w:tr2bl w:val="nil"/>
            </w:tcBorders>
          </w:tcPr>
          <w:p w14:paraId="657C0151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62.96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14:paraId="27C13746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4.37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 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27" w:type="dxa"/>
            <w:tcBorders>
              <w:tl2br w:val="nil"/>
              <w:tr2bl w:val="nil"/>
            </w:tcBorders>
          </w:tcPr>
          <w:p w14:paraId="6E46FF7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0.14</w:t>
            </w:r>
          </w:p>
        </w:tc>
        <w:tc>
          <w:tcPr>
            <w:tcW w:w="702" w:type="dxa"/>
            <w:tcBorders>
              <w:tl2br w:val="nil"/>
              <w:tr2bl w:val="nil"/>
            </w:tcBorders>
          </w:tcPr>
          <w:p w14:paraId="2179CF8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44.44</w:t>
            </w:r>
          </w:p>
        </w:tc>
        <w:tc>
          <w:tcPr>
            <w:tcW w:w="1221" w:type="dxa"/>
            <w:tcBorders>
              <w:tl2br w:val="nil"/>
              <w:tr2bl w:val="nil"/>
            </w:tcBorders>
          </w:tcPr>
          <w:p w14:paraId="2C792C1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4.37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.88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 w14:paraId="05AC357F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0.20</w:t>
            </w:r>
          </w:p>
        </w:tc>
        <w:tc>
          <w:tcPr>
            <w:tcW w:w="760" w:type="dxa"/>
            <w:tcBorders>
              <w:tl2br w:val="nil"/>
              <w:tr2bl w:val="nil"/>
            </w:tcBorders>
          </w:tcPr>
          <w:p w14:paraId="0B89CA2D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51.85</w:t>
            </w:r>
          </w:p>
        </w:tc>
      </w:tr>
      <w:tr w14:paraId="372C99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tl2br w:val="nil"/>
              <w:tr2bl w:val="nil"/>
            </w:tcBorders>
          </w:tcPr>
          <w:p w14:paraId="35613CF6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Domain 5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3CFC5D37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4.30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95" w:type="dxa"/>
            <w:tcBorders>
              <w:tl2br w:val="nil"/>
              <w:tr2bl w:val="nil"/>
            </w:tcBorders>
          </w:tcPr>
          <w:p w14:paraId="0E51F5DD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0.20</w:t>
            </w:r>
          </w:p>
        </w:tc>
        <w:tc>
          <w:tcPr>
            <w:tcW w:w="851" w:type="dxa"/>
            <w:tcBorders>
              <w:tl2br w:val="nil"/>
              <w:tr2bl w:val="nil"/>
            </w:tcBorders>
          </w:tcPr>
          <w:p w14:paraId="1F34967D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48.15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27B228F6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.5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59" w:type="dxa"/>
            <w:tcBorders>
              <w:tl2br w:val="nil"/>
              <w:tr2bl w:val="nil"/>
            </w:tcBorders>
          </w:tcPr>
          <w:p w14:paraId="19B6F6E6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0.13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0A94D1B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48.15</w:t>
            </w:r>
          </w:p>
        </w:tc>
        <w:tc>
          <w:tcPr>
            <w:tcW w:w="1217" w:type="dxa"/>
            <w:tcBorders>
              <w:tl2br w:val="nil"/>
              <w:tr2bl w:val="nil"/>
            </w:tcBorders>
          </w:tcPr>
          <w:p w14:paraId="1B13E11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0.90</w:t>
            </w:r>
          </w:p>
        </w:tc>
        <w:tc>
          <w:tcPr>
            <w:tcW w:w="616" w:type="dxa"/>
            <w:tcBorders>
              <w:tl2br w:val="nil"/>
              <w:tr2bl w:val="nil"/>
            </w:tcBorders>
          </w:tcPr>
          <w:p w14:paraId="5729BB92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0.21</w:t>
            </w:r>
          </w:p>
        </w:tc>
        <w:tc>
          <w:tcPr>
            <w:tcW w:w="707" w:type="dxa"/>
            <w:tcBorders>
              <w:tl2br w:val="nil"/>
              <w:tr2bl w:val="nil"/>
            </w:tcBorders>
          </w:tcPr>
          <w:p w14:paraId="77DE1874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51.85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14:paraId="3730F45F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4.30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.82</w:t>
            </w:r>
          </w:p>
        </w:tc>
        <w:tc>
          <w:tcPr>
            <w:tcW w:w="627" w:type="dxa"/>
            <w:tcBorders>
              <w:tl2br w:val="nil"/>
              <w:tr2bl w:val="nil"/>
            </w:tcBorders>
          </w:tcPr>
          <w:p w14:paraId="28928516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0.19</w:t>
            </w:r>
          </w:p>
        </w:tc>
        <w:tc>
          <w:tcPr>
            <w:tcW w:w="702" w:type="dxa"/>
            <w:tcBorders>
              <w:tl2br w:val="nil"/>
              <w:tr2bl w:val="nil"/>
            </w:tcBorders>
          </w:tcPr>
          <w:p w14:paraId="21C7517D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48.15</w:t>
            </w:r>
          </w:p>
        </w:tc>
        <w:tc>
          <w:tcPr>
            <w:tcW w:w="1221" w:type="dxa"/>
            <w:tcBorders>
              <w:tl2br w:val="nil"/>
              <w:tr2bl w:val="nil"/>
            </w:tcBorders>
          </w:tcPr>
          <w:p w14:paraId="0F1C6981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.96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 w14:paraId="54241826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0.23</w:t>
            </w:r>
          </w:p>
        </w:tc>
        <w:tc>
          <w:tcPr>
            <w:tcW w:w="760" w:type="dxa"/>
            <w:tcBorders>
              <w:tl2br w:val="nil"/>
              <w:tr2bl w:val="nil"/>
            </w:tcBorders>
          </w:tcPr>
          <w:p w14:paraId="23094557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44.44</w:t>
            </w:r>
          </w:p>
        </w:tc>
      </w:tr>
      <w:tr w14:paraId="20742B5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  <w:tcBorders>
              <w:tl2br w:val="nil"/>
              <w:tr2bl w:val="nil"/>
            </w:tcBorders>
          </w:tcPr>
          <w:p w14:paraId="1EAD87BF">
            <w:pPr>
              <w:spacing w:line="240" w:lineRule="auto"/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Domain 6</w:t>
            </w:r>
          </w:p>
        </w:tc>
        <w:tc>
          <w:tcPr>
            <w:tcW w:w="1211" w:type="dxa"/>
            <w:tcBorders>
              <w:tl2br w:val="nil"/>
              <w:tr2bl w:val="nil"/>
            </w:tcBorders>
          </w:tcPr>
          <w:p w14:paraId="18DB4A1D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4.30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95" w:type="dxa"/>
            <w:tcBorders>
              <w:tl2br w:val="nil"/>
              <w:tr2bl w:val="nil"/>
            </w:tcBorders>
          </w:tcPr>
          <w:p w14:paraId="7A675F5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0.14</w:t>
            </w:r>
          </w:p>
        </w:tc>
        <w:tc>
          <w:tcPr>
            <w:tcW w:w="851" w:type="dxa"/>
            <w:tcBorders>
              <w:tl2br w:val="nil"/>
              <w:tr2bl w:val="nil"/>
            </w:tcBorders>
          </w:tcPr>
          <w:p w14:paraId="3256416F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37.04</w:t>
            </w:r>
          </w:p>
        </w:tc>
        <w:tc>
          <w:tcPr>
            <w:tcW w:w="1238" w:type="dxa"/>
            <w:tcBorders>
              <w:tl2br w:val="nil"/>
              <w:tr2bl w:val="nil"/>
            </w:tcBorders>
          </w:tcPr>
          <w:p w14:paraId="7137764E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4.41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59" w:type="dxa"/>
            <w:tcBorders>
              <w:tl2br w:val="nil"/>
              <w:tr2bl w:val="nil"/>
            </w:tcBorders>
          </w:tcPr>
          <w:p w14:paraId="33BDF7E0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0.14</w:t>
            </w:r>
          </w:p>
        </w:tc>
        <w:tc>
          <w:tcPr>
            <w:tcW w:w="803" w:type="dxa"/>
            <w:tcBorders>
              <w:tl2br w:val="nil"/>
              <w:tr2bl w:val="nil"/>
            </w:tcBorders>
          </w:tcPr>
          <w:p w14:paraId="198A593A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48.15</w:t>
            </w:r>
          </w:p>
        </w:tc>
        <w:tc>
          <w:tcPr>
            <w:tcW w:w="1217" w:type="dxa"/>
            <w:tcBorders>
              <w:tl2br w:val="nil"/>
              <w:tr2bl w:val="nil"/>
            </w:tcBorders>
          </w:tcPr>
          <w:p w14:paraId="7F91C61D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4.19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.7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16" w:type="dxa"/>
            <w:tcBorders>
              <w:tl2br w:val="nil"/>
              <w:tr2bl w:val="nil"/>
            </w:tcBorders>
          </w:tcPr>
          <w:p w14:paraId="5E0A7908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0.19</w:t>
            </w:r>
          </w:p>
        </w:tc>
        <w:tc>
          <w:tcPr>
            <w:tcW w:w="707" w:type="dxa"/>
            <w:tcBorders>
              <w:tl2br w:val="nil"/>
              <w:tr2bl w:val="nil"/>
            </w:tcBorders>
          </w:tcPr>
          <w:p w14:paraId="141DC98C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40.74</w:t>
            </w:r>
          </w:p>
        </w:tc>
        <w:tc>
          <w:tcPr>
            <w:tcW w:w="1253" w:type="dxa"/>
            <w:tcBorders>
              <w:tl2br w:val="nil"/>
              <w:tr2bl w:val="nil"/>
            </w:tcBorders>
          </w:tcPr>
          <w:p w14:paraId="53694ED0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4.22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.80</w:t>
            </w:r>
          </w:p>
        </w:tc>
        <w:tc>
          <w:tcPr>
            <w:tcW w:w="627" w:type="dxa"/>
            <w:tcBorders>
              <w:tl2br w:val="nil"/>
              <w:tr2bl w:val="nil"/>
            </w:tcBorders>
          </w:tcPr>
          <w:p w14:paraId="0A5F2B6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0.19</w:t>
            </w:r>
          </w:p>
        </w:tc>
        <w:tc>
          <w:tcPr>
            <w:tcW w:w="702" w:type="dxa"/>
            <w:tcBorders>
              <w:tl2br w:val="nil"/>
              <w:tr2bl w:val="nil"/>
            </w:tcBorders>
          </w:tcPr>
          <w:p w14:paraId="03671632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40.74</w:t>
            </w:r>
          </w:p>
        </w:tc>
        <w:tc>
          <w:tcPr>
            <w:tcW w:w="1221" w:type="dxa"/>
            <w:tcBorders>
              <w:tl2br w:val="nil"/>
              <w:tr2bl w:val="nil"/>
            </w:tcBorders>
          </w:tcPr>
          <w:p w14:paraId="2E13C51A">
            <w:pPr>
              <w:spacing w:line="240" w:lineRule="auto"/>
              <w:jc w:val="right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4.15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± 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ngLiU" w:cs="Times New Roman"/>
                <w:sz w:val="21"/>
                <w:szCs w:val="21"/>
              </w:rPr>
              <w:t>.9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49" w:type="dxa"/>
            <w:tcBorders>
              <w:tl2br w:val="nil"/>
              <w:tr2bl w:val="nil"/>
            </w:tcBorders>
          </w:tcPr>
          <w:p w14:paraId="788E6D65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0.23</w:t>
            </w:r>
          </w:p>
        </w:tc>
        <w:tc>
          <w:tcPr>
            <w:tcW w:w="760" w:type="dxa"/>
            <w:tcBorders>
              <w:tl2br w:val="nil"/>
              <w:tr2bl w:val="nil"/>
            </w:tcBorders>
          </w:tcPr>
          <w:p w14:paraId="5AF6615F">
            <w:pPr>
              <w:spacing w:line="240" w:lineRule="auto"/>
              <w:jc w:val="right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40.74</w:t>
            </w:r>
          </w:p>
        </w:tc>
      </w:tr>
    </w:tbl>
    <w:p w14:paraId="6206D10C">
      <w:pPr>
        <w:spacing w:line="360" w:lineRule="auto"/>
        <w:ind w:firstLine="420" w:firstLineChars="0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</w:p>
    <w:p w14:paraId="57E519A3">
      <w:pPr>
        <w:spacing w:beforeLines="0" w:afterLines="0"/>
        <w:jc w:val="left"/>
        <w:rPr>
          <w:rFonts w:hint="default"/>
          <w:sz w:val="24"/>
          <w:szCs w:val="24"/>
        </w:rPr>
      </w:pPr>
      <w:r>
        <w:fldChar w:fldCharType="begin"/>
      </w:r>
      <w:r>
        <w:rPr>
          <w:rFonts w:hint="eastAsia"/>
          <w:lang w:eastAsia="zh-CN"/>
        </w:rPr>
        <w:instrText xml:space="preserve"> ADDIN NE.Bib</w:instrText>
      </w:r>
      <w:r>
        <w:fldChar w:fldCharType="separate"/>
      </w:r>
    </w:p>
    <w:p w14:paraId="1587D96B">
      <w:pPr>
        <w:spacing w:beforeLines="0" w:afterLines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color w:val="000000"/>
          <w:sz w:val="40"/>
          <w:szCs w:val="24"/>
          <w:lang w:val="en-US" w:eastAsia="zh-CN"/>
        </w:rPr>
        <w:t>References</w:t>
      </w:r>
    </w:p>
    <w:p w14:paraId="353EEF3C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[1]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8" w:name="_nebB78B4F87_B18D_493C_8DA9_5F2CC4207F58"/>
      <w:r>
        <w:rPr>
          <w:rFonts w:hint="default" w:ascii="Times New Roman" w:hAnsi="Times New Roman" w:eastAsia="Times New Roman"/>
          <w:color w:val="000000"/>
          <w:sz w:val="20"/>
          <w:szCs w:val="24"/>
        </w:rPr>
        <w:t>Development and validation of an international appraisal instrument for assessing  the quality of clinical practice guidelines: the AGREE project[J]. Qual Saf Health Care, 2003,12(1):18-23.</w:t>
      </w:r>
      <w:bookmarkEnd w:id="8"/>
    </w:p>
    <w:p w14:paraId="20377B87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[2]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9" w:name="_nebF2E62CC2_4422_493E_A11F_7ACC160A3025"/>
      <w:r>
        <w:rPr>
          <w:rFonts w:hint="default" w:ascii="Times New Roman" w:hAnsi="Times New Roman" w:eastAsia="Times New Roman"/>
          <w:color w:val="000000"/>
          <w:sz w:val="20"/>
          <w:szCs w:val="24"/>
        </w:rPr>
        <w:t>Shiffman R N, Dixon J, Brandt C, et al. The GuideLine Implementability Appraisal (GLIA): development of an instrument to  identify obstacles to guideline implementation[J]. BMC Med Inform Decis Mak, 2005,5:23.</w:t>
      </w:r>
      <w:bookmarkEnd w:id="9"/>
    </w:p>
    <w:p w14:paraId="16FEE408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[3]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0" w:name="_neb33460ED6_26B4_4533_A63F_E84097CC82BA"/>
      <w:r>
        <w:rPr>
          <w:rFonts w:hint="default" w:ascii="Times New Roman" w:hAnsi="Times New Roman" w:eastAsia="Times New Roman"/>
          <w:color w:val="000000"/>
          <w:sz w:val="20"/>
          <w:szCs w:val="24"/>
        </w:rPr>
        <w:t>Gagliardi A R, Brouwers M C, Palda V A, et al. How can we improve guideline use? A conceptual framework of implementability[J]. Implement Sci, 2011,6:26.</w:t>
      </w:r>
      <w:bookmarkEnd w:id="10"/>
    </w:p>
    <w:p w14:paraId="02A642D3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[4]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1" w:name="_neb8217B4DD_049A_429A_A59C_52A0345F26FF"/>
      <w:r>
        <w:rPr>
          <w:rFonts w:hint="default" w:ascii="Times New Roman" w:hAnsi="Times New Roman" w:eastAsia="Times New Roman"/>
          <w:color w:val="000000"/>
          <w:sz w:val="20"/>
          <w:szCs w:val="24"/>
        </w:rPr>
        <w:t>Qaseem A, Forland F, Macbeth F, et al. Guidelines International Network: toward international standards for clinical  practice guidelines[J]. Ann Intern Med, 2012,156(7):525-531.</w:t>
      </w:r>
      <w:bookmarkEnd w:id="11"/>
    </w:p>
    <w:p w14:paraId="53FC5FDF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[5]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2" w:name="_neb9E592E0D_B51E_431E_8089_2775E7DDDF3C"/>
      <w:r>
        <w:rPr>
          <w:rFonts w:hint="default" w:ascii="Times New Roman" w:hAnsi="Times New Roman" w:eastAsia="Times New Roman"/>
          <w:color w:val="000000"/>
          <w:sz w:val="20"/>
          <w:szCs w:val="24"/>
        </w:rPr>
        <w:t>Kastner M, Makarski J, Hayden L, et al. Making sense of complex data: a mapping process for analyzing findings of a  realist review on guideline implementability[J]. BMC Med Res Methodol, 2013,13:112.</w:t>
      </w:r>
      <w:bookmarkEnd w:id="12"/>
    </w:p>
    <w:p w14:paraId="391022CC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[6]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3" w:name="_nebF9A027A1_9C12_4B87_B9B9_A52C5190731A"/>
      <w:r>
        <w:rPr>
          <w:rFonts w:hint="default" w:ascii="Times New Roman" w:hAnsi="Times New Roman" w:eastAsia="Times New Roman"/>
          <w:color w:val="000000"/>
          <w:sz w:val="20"/>
          <w:szCs w:val="24"/>
        </w:rPr>
        <w:t>Kastner M, Estey E, Hayden L, et al. The development of a guideline implementability tool (GUIDE-IT): a qualitative  study of family physician perspectives[J]. BMC Fam Pract, 2014,15:19.</w:t>
      </w:r>
      <w:bookmarkEnd w:id="13"/>
    </w:p>
    <w:p w14:paraId="4621DE9A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[7]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4" w:name="_nebCBF202EA_8539_4EA0_8E14_5BC4EAAD430D"/>
      <w:r>
        <w:rPr>
          <w:rFonts w:hint="default" w:ascii="Times New Roman" w:hAnsi="Times New Roman" w:eastAsia="Times New Roman"/>
          <w:color w:val="000000"/>
          <w:sz w:val="20"/>
          <w:szCs w:val="24"/>
        </w:rPr>
        <w:t>Kastner M, Bhattacharyya O, Hayden L, et al. Guideline uptake is influenced by six implementability domains for creating and  communicating guidelines: a realist review[J]. J Clin Epidemiol, 2015,68(5):498-509.</w:t>
      </w:r>
      <w:bookmarkEnd w:id="14"/>
    </w:p>
    <w:p w14:paraId="308FD055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[8]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5" w:name="_neb795F42C9_F01A_4644_8911_A615C2106024"/>
      <w:r>
        <w:rPr>
          <w:rFonts w:hint="default" w:ascii="Times New Roman" w:hAnsi="Times New Roman" w:eastAsia="Times New Roman"/>
          <w:color w:val="000000"/>
          <w:sz w:val="20"/>
          <w:szCs w:val="24"/>
        </w:rPr>
        <w:t>Brouwers M C, Makarski J, Kastner M, et al. The Guideline Implementability Decision Excellence Model (GUIDE-M): a mixed  methods approach to create an international resource to advance the practice  guideline field[J]. Implement Sci, 2015,10:36.</w:t>
      </w:r>
      <w:bookmarkEnd w:id="15"/>
    </w:p>
    <w:p w14:paraId="34A807F7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 xml:space="preserve"> [9]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6" w:name="_neb381D5A2C_40A9_46D3_92DB_C0B665C8933E"/>
      <w:r>
        <w:rPr>
          <w:rFonts w:hint="default" w:ascii="Times New Roman" w:hAnsi="Times New Roman" w:eastAsia="Times New Roman"/>
          <w:color w:val="000000"/>
          <w:sz w:val="20"/>
          <w:szCs w:val="24"/>
        </w:rPr>
        <w:t>Li H, Xie R, Wang Y, et al. A new scale for the evaluation of clinical practice guidelines applicability:  development and appraisal[J]. Implement Sci, 2018,13(1):61.</w:t>
      </w:r>
      <w:bookmarkEnd w:id="16"/>
    </w:p>
    <w:p w14:paraId="285E7F3B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[10]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7" w:name="_nebAE0B87CE_4AB4_4636_B8EE_E50B9D05EEED"/>
      <w:r>
        <w:rPr>
          <w:rFonts w:hint="default" w:ascii="Times New Roman" w:hAnsi="Times New Roman" w:eastAsia="Times New Roman"/>
          <w:color w:val="000000"/>
          <w:sz w:val="20"/>
          <w:szCs w:val="24"/>
        </w:rPr>
        <w:t>Jue J J, Cunningham S, Lohr K, et al. Developing and Testing the Agency for Healthcare Research and Quality's National  Guideline Clearinghouse Extent of Adherence to Trustworthy Standards (NEATS)  Instrument[J]. Ann Intern Med, 2019,170(7):480-487.</w:t>
      </w:r>
      <w:bookmarkEnd w:id="17"/>
    </w:p>
    <w:p w14:paraId="0394781E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[11]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8" w:name="_neb8263BA07_C262_4948_9845_AB6DDD928DAD"/>
      <w:r>
        <w:rPr>
          <w:rFonts w:hint="default" w:ascii="Times New Roman" w:hAnsi="Times New Roman" w:eastAsia="Times New Roman"/>
          <w:color w:val="000000"/>
          <w:sz w:val="20"/>
          <w:szCs w:val="24"/>
        </w:rPr>
        <w:t>Brouwers M C, Spithoff K, Kerkvliet K, et al. Development and Validation of a Tool to Assess the Quality of Clinical Practice  Guideline Recommendations[J]. JAMA Netw Open, 2020,3(5):e205535.</w:t>
      </w:r>
      <w:bookmarkEnd w:id="18"/>
    </w:p>
    <w:p w14:paraId="2A50F588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[12]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19" w:name="_neb436A60D8_4C71_4EC1_849B_EB267A84C1A3"/>
      <w:r>
        <w:rPr>
          <w:rFonts w:hint="default" w:ascii="Times New Roman" w:hAnsi="Times New Roman" w:eastAsia="Times New Roman"/>
          <w:color w:val="000000"/>
          <w:sz w:val="20"/>
          <w:szCs w:val="24"/>
        </w:rPr>
        <w:t>Xue B. The Establishment of Evaluation System for Clinical Practice Guidelines in Traditional Chinese Medicine and Research on Its Methods[D]. Beijing University of Chinese Medicine, 2021.</w:t>
      </w:r>
      <w:bookmarkEnd w:id="19"/>
    </w:p>
    <w:p w14:paraId="6A9908CD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[13]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20" w:name="_neb034C4AAD_6BF0_4207_A74F_3D17D23D57AA"/>
      <w:r>
        <w:rPr>
          <w:rFonts w:hint="default" w:ascii="Times New Roman" w:hAnsi="Times New Roman" w:eastAsia="Times New Roman"/>
          <w:color w:val="000000"/>
          <w:sz w:val="20"/>
          <w:szCs w:val="24"/>
        </w:rPr>
        <w:t>Gupta S, Tang R, Petricca K, et al. The Guideline Language and Format Instrument (GLAFI): development process and  international needs assessment survey[J]. Implement Sci, 2022,17(1):47.</w:t>
      </w:r>
      <w:bookmarkEnd w:id="20"/>
    </w:p>
    <w:p w14:paraId="32EC0064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[14]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21" w:name="_neb334D205E_CB04_4A38_948C_65C0A9FEA38A"/>
      <w:r>
        <w:rPr>
          <w:rFonts w:hint="default" w:ascii="Times New Roman" w:hAnsi="Times New Roman" w:eastAsia="Times New Roman"/>
          <w:color w:val="000000"/>
          <w:sz w:val="20"/>
          <w:szCs w:val="24"/>
        </w:rPr>
        <w:t>Yinghui J, Zhihui Z, Xingran H, et al. Development and Validation of Clinical Practice Guideline Implementation Evaluation Tools[J]. Chinese Journal of evidence-based Medicine, 2022,01(22):111-119.</w:t>
      </w:r>
      <w:bookmarkEnd w:id="21"/>
    </w:p>
    <w:p w14:paraId="6CAB4716">
      <w:pPr>
        <w:spacing w:beforeLines="0" w:afterLines="0"/>
        <w:ind w:left="420" w:hanging="420"/>
        <w:rPr>
          <w:rFonts w:hint="default"/>
          <w:sz w:val="24"/>
          <w:szCs w:val="24"/>
        </w:rPr>
      </w:pPr>
      <w:r>
        <w:rPr>
          <w:rFonts w:hint="default" w:ascii="Times New Roman" w:hAnsi="Times New Roman" w:eastAsia="Times New Roman"/>
          <w:color w:val="000000"/>
          <w:sz w:val="20"/>
          <w:szCs w:val="24"/>
        </w:rPr>
        <w:t>[15]</w:t>
      </w:r>
      <w:r>
        <w:rPr>
          <w:rFonts w:hint="default" w:ascii="Times New Roman" w:hAnsi="Times New Roman" w:eastAsia="Times New Roman"/>
          <w:color w:val="000000"/>
          <w:sz w:val="20"/>
          <w:szCs w:val="24"/>
        </w:rPr>
        <w:tab/>
      </w:r>
      <w:bookmarkStart w:id="22" w:name="_neb54D23B4C_90C8_4C90_B1D4_BEEC33B8490D"/>
      <w:r>
        <w:rPr>
          <w:rFonts w:hint="default" w:ascii="Times New Roman" w:hAnsi="Times New Roman" w:eastAsia="Times New Roman"/>
          <w:color w:val="000000"/>
          <w:sz w:val="20"/>
          <w:szCs w:val="24"/>
        </w:rPr>
        <w:t>Sharp M K, Baki D, Quigley J, et al. The effectiveness and acceptability of evidence synthesis summary formats for  clinical guideline development groups: a mixed-methods systematic review[J]. Implement Sci, 2022,17(1):74.</w:t>
      </w:r>
      <w:bookmarkEnd w:id="22"/>
    </w:p>
    <w:p w14:paraId="7A18AD1D">
      <w: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DejaVu Math TeX Gyre"/>
    <w:panose1 w:val="02020509000000000000"/>
    <w:charset w:val="00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  <w:docVar w:name="NE.Ref{03E92F9F-860C-4E98-9A44-6E3BB4733280}" w:val=" ADDIN NE.Ref.{03E92F9F-860C-4E98-9A44-6E3BB4733280}&lt;Citation&gt;&lt;Group&gt;&lt;References&gt;&lt;Item&gt;&lt;ID&gt;5232&lt;/ID&gt;&lt;UID&gt;{795F42C9-F01A-4644-8911-A615C2106024}&lt;/UID&gt;&lt;Title&gt;The Guideline Implementability Decision Excellence Model (GUIDE-M): a mixed  methods approach to create an international resource to advance the practice  guideline field&lt;/Title&gt;&lt;Template&gt;Journal Article&lt;/Template&gt;&lt;Star&gt;0&lt;/Star&gt;&lt;Tag&gt;0&lt;/Tag&gt;&lt;Author&gt;Brouwers, M C; Makarski, J; Kastner, M; Hayden, L; Bhattacharyya, O&lt;/Author&gt;&lt;Year&gt;2015&lt;/Year&gt;&lt;Details&gt;&lt;_accession_num&gt;25885412&lt;/_accession_num&gt;&lt;_author_adr&gt;McMaster University, Juravinski Campus, G Wing, 2nd Floor, Room 207, 1280 Main  Street West, Hamilton, ON, L8S 4L8, Canada. mbrouwer@mcmaster.ca.; McMaster University &amp;amp; the Escarpment Cancer Research Institute, Hamilton, ON,  Canada. mbrouwer@mcmaster.ca.; McMaster University &amp;amp; the Escarpment Cancer Research Institute, Hamilton, ON,  Canada. makarsj@mcmaster.ca.; Li Ka Shing Knowledge Institute of St. Michael&amp;apos;s Hospital, Toronto, ON, Canada.  monika.kastner@utoronto.ca.; Women&amp;apos;s College Hospital, Toronto, ON, Canada. leigh.hayden@wchospital.ca.; Women&amp;apos;s College Hospital &amp;amp; University of Toronto, Toronto, Ontario, Canada.  onil.bhattacharyya@wchospital.ca.&lt;/_author_adr&gt;&lt;_collection_scope&gt;SCI;SCIE;SSCI&lt;/_collection_scope&gt;&lt;_created&gt;64525902&lt;/_created&gt;&lt;_date&gt;2015-03-15&lt;/_date&gt;&lt;_date_display&gt;2015 Mar 15&lt;/_date_display&gt;&lt;_doi&gt;10.1186/s13012-015-0225-1&lt;/_doi&gt;&lt;_impact_factor&gt;   7.960&lt;/_impact_factor&gt;&lt;_isbn&gt;1748-5908 (Electronic); 1748-5908 (Linking)&lt;/_isbn&gt;&lt;_journal&gt;Implement Sci&lt;/_journal&gt;&lt;_language&gt;eng&lt;/_language&gt;&lt;_modified&gt;64525902&lt;/_modified&gt;&lt;_pages&gt;36&lt;/_pages&gt;&lt;_subject_headings&gt;Evidence-Based Medicine/methods/organization &amp;amp; administration; Humans; International Cooperation; Models, Organizational; *Practice Guidelines as Topic; Program Development&lt;/_subject_headings&gt;&lt;_tertiary_title&gt;Implementation science : IS&lt;/_tertiary_title&gt;&lt;_type_work&gt;Journal Article&lt;/_type_work&gt;&lt;_url&gt;http://www.ncbi.nlm.nih.gov/entrez/query.fcgi?cmd=Retrieve&amp;amp;db=pubmed&amp;amp;dopt=Abstract&amp;amp;list_uids=25885412&amp;amp;query_hl=1&lt;/_url&gt;&lt;_volume&gt;10&lt;/_volume&gt;&lt;/Details&gt;&lt;Extra&gt;&lt;DBUID&gt;{6AB36283-087A-4FAE-AF71-70154664414F}&lt;/DBUID&gt;&lt;/Extra&gt;&lt;/Item&gt;&lt;/References&gt;&lt;/Group&gt;&lt;/Citation&gt;_x000a_"/>
    <w:docVar w:name="NE.Ref{04DB9DAF-1FF6-47FE-89FD-C8B0CEE349C2}" w:val=" ADDIN NE.Ref.{04DB9DAF-1FF6-47FE-89FD-C8B0CEE349C2}&lt;Citation&gt;&lt;Group&gt;&lt;References&gt;&lt;Item&gt;&lt;ID&gt;5231&lt;/ID&gt;&lt;UID&gt;{F9A027A1-9C12-4B87-B9B9-A52C5190731A}&lt;/UID&gt;&lt;Title&gt;The development of a guideline implementability tool (GUIDE-IT): a qualitative  study of family physician perspectives&lt;/Title&gt;&lt;Template&gt;Journal Article&lt;/Template&gt;&lt;Star&gt;0&lt;/Star&gt;&lt;Tag&gt;0&lt;/Tag&gt;&lt;Author&gt;Kastner, M; Estey, E; Hayden, L; Chatterjee, A; Grudniewicz, A; Graham, I D; Bhattacharyya, O&lt;/Author&gt;&lt;Year&gt;2014&lt;/Year&gt;&lt;Details&gt;&lt;_accession_num&gt;24476491&lt;/_accession_num&gt;&lt;_author_adr&gt;Li Ka Shing Knowledge Institute of St, Michael&amp;apos;s Hospital, 209 Victoria Street,  Toronto, Ontario, Canada. monika.kastner@utoronto.ca.&lt;/_author_adr&gt;&lt;_collection_scope&gt;SCIE&lt;/_collection_scope&gt;&lt;_created&gt;64525616&lt;/_created&gt;&lt;_date&gt;2014-01-29&lt;/_date&gt;&lt;_date_display&gt;2014 Jan 29&lt;/_date_display&gt;&lt;_doi&gt;10.1186/1471-2296-15-19&lt;/_doi&gt;&lt;_impact_factor&gt;   2.634&lt;/_impact_factor&gt;&lt;_isbn&gt;1471-2296 (Electronic); 1471-2296 (Linking)&lt;/_isbn&gt;&lt;_journal&gt;BMC Fam Pract&lt;/_journal&gt;&lt;_language&gt;eng&lt;/_language&gt;&lt;_modified&gt;64525616&lt;/_modified&gt;&lt;_pages&gt;19&lt;/_pages&gt;&lt;_subject_headings&gt;Adult; Aged; *Family Practice; Female; Guideline Adherence; Humans; Male; Middle Aged; *Practice Guidelines as Topic; Qualitative Research&lt;/_subject_headings&gt;&lt;_tertiary_title&gt;BMC family practice&lt;/_tertiary_title&gt;&lt;_type_work&gt;Journal Article&lt;/_type_work&gt;&lt;_url&gt;http://www.ncbi.nlm.nih.gov/entrez/query.fcgi?cmd=Retrieve&amp;amp;db=pubmed&amp;amp;dopt=Abstract&amp;amp;list_uids=24476491&amp;amp;query_hl=1&lt;/_url&gt;&lt;_volume&gt;15&lt;/_volume&gt;&lt;/Details&gt;&lt;Extra&gt;&lt;DBUID&gt;{6AB36283-087A-4FAE-AF71-70154664414F}&lt;/DBUID&gt;&lt;/Extra&gt;&lt;/Item&gt;&lt;/References&gt;&lt;/Group&gt;&lt;/Citation&gt;_x000a_"/>
    <w:docVar w:name="NE.Ref{08C99234-42DF-4991-A1F8-815D77030F1F}" w:val=" ADDIN NE.Ref.{08C99234-42DF-4991-A1F8-815D77030F1F}&lt;Citation&gt;&lt;Group&gt;&lt;References&gt;&lt;Item&gt;&lt;ID&gt;32449&lt;/ID&gt;&lt;UID&gt;{436A60D8-4C71-4EC1-849B-EB267A84C1A3}&lt;/UID&gt;&lt;Title&gt;The Establishment of Evaluation System for Clinical Practice Guidelines in Traditional Chinese Medicine and Research on Its Methods&lt;/Title&gt;&lt;Template&gt;Thesis&lt;/Template&gt;&lt;Star&gt;0&lt;/Star&gt;&lt;Tag&gt;0&lt;/Tag&gt;&lt;Author&gt;Xue, Bai&lt;/Author&gt;&lt;Year&gt;2021&lt;/Year&gt;&lt;Details&gt;&lt;_accessed&gt;65583980&lt;/_accessed&gt;&lt;_created&gt;65583980&lt;/_created&gt;&lt;_modified&gt;65583980&lt;/_modified&gt;&lt;_publisher&gt;Beijing University of Chinese Medicine&lt;/_publisher&gt;&lt;/Details&gt;&lt;Extra&gt;&lt;DBUID&gt;{6AB36283-087A-4FAE-AF71-70154664414F}&lt;/DBUID&gt;&lt;/Extra&gt;&lt;/Item&gt;&lt;/References&gt;&lt;/Group&gt;&lt;/Citation&gt;_x000a_"/>
    <w:docVar w:name="NE.Ref{2663221B-0419-42C3-93B3-AE3704EA70E7}" w:val=" ADDIN NE.Ref.{2663221B-0419-42C3-93B3-AE3704EA70E7}&lt;Citation&gt;&lt;Group&gt;&lt;References&gt;&lt;Item&gt;&lt;ID&gt;32452&lt;/ID&gt;&lt;UID&gt;{54D23B4C-90C8-4C90-B1D4-BEEC33B8490D}&lt;/UID&gt;&lt;Title&gt;The effectiveness and acceptability of evidence synthesis summary formats for  clinical guideline development groups: a mixed-methods systematic review&lt;/Title&gt;&lt;Template&gt;Journal Article&lt;/Template&gt;&lt;Star&gt;0&lt;/Star&gt;&lt;Tag&gt;0&lt;/Tag&gt;&lt;Author&gt;Sharp, M K; Baki, DABA; Quigley, J; Tyner, B; Devane, D; Mahtani, K R; Smith, S M; O&amp;apos;Neill, M; Ryan, M; Clyne, B&lt;/Author&gt;&lt;Year&gt;2022&lt;/Year&gt;&lt;Details&gt;&lt;_accession_num&gt;36303142&lt;/_accession_num&gt;&lt;_author_adr&gt;Department of General Practice, RCSI University of Medicine and Health Sciences,  123 St Stephens Green, Dublin 2, Ireland. melissasharp@rcsi.com.; School of Medicine, Royal College of Surgeons in Ireland, 123 St Stephens Green,  Dublin 2, Ireland.; Health Information and Quality Authority, George&amp;apos;s Court, George&amp;apos;s Lane, Dublin  7, Ireland.; Health Information and Quality Authority, George&amp;apos;s Court, George&amp;apos;s Lane, Dublin  7, Ireland.; School of Nursing and Midwifery, NUI Galway, Galway, Ireland.; Evidence Synthesis Ireland &amp;amp;amp; Cochrane, Galway, Ireland.; Nuffield Department of Primary Care Health Sciences, University of Oxford,  Oxford, England.; Department of General Practice, RCSI University of Medicine and Health Sciences,  123 St Stephens Green, Dublin 2, Ireland.; Department of Public Health and Primary Care, School of Medicine, Trinity College  Dublin, Dublin 2, Ireland.; Health Information and Quality Authority, George&amp;apos;s Court, George&amp;apos;s Lane, Dublin  7, Ireland.; Health Information and Quality Authority, George&amp;apos;s Court, George&amp;apos;s Lane, Dublin  7, Ireland.; Department of Pharmacology &amp;amp;amp; Therapeutics, Trinity College Dublin, Trinity  Health Sciences, James Street, Dublin 8, Ireland.; Department of General Practice, RCSI University of Medicine and Health Sciences,  123 St Stephens Green, Dublin 2, Ireland.; Health Information and Quality Authority, George&amp;apos;s Court, George&amp;apos;s Lane, Dublin  7, Ireland.&lt;/_author_adr&gt;&lt;_date_display&gt;2022 Oct 27&lt;/_date_display&gt;&lt;_date&gt;2022-10-27&lt;/_date&gt;&lt;_doi&gt;10.1186/s13012-022-01243-2&lt;/_doi&gt;&lt;_isbn&gt;1748-5908 (Electronic); 1748-5908 (Linking)&lt;/_isbn&gt;&lt;_issue&gt;1&lt;/_issue&gt;&lt;_journal&gt;Implement Sci&lt;/_journal&gt;&lt;_keywords&gt;Communication; Evidence summaries; Mixed-methods systematic review; Presentation of findings; Summary of findings table&lt;/_keywords&gt;&lt;_language&gt;eng&lt;/_language&gt;&lt;_ori_publication&gt;© 2022. The Author(s).&lt;/_ori_publication&gt;&lt;_pages&gt;74&lt;/_pages&gt;&lt;_subject_headings&gt;Humans; *Qualitative Research&lt;/_subject_headings&gt;&lt;_tertiary_title&gt;Implementation science : IS&lt;/_tertiary_title&gt;&lt;_type_work&gt;Journal Article; Research Support, Non-U.S. Gov&amp;apos;t; Review; Systematic Review&lt;/_type_work&gt;&lt;_url&gt;http://www.ncbi.nlm.nih.gov/entrez/query.fcgi?cmd=Retrieve&amp;amp;db=pubmed&amp;amp;dopt=Abstract&amp;amp;list_uids=36303142&amp;amp;query_hl=1&lt;/_url&gt;&lt;_volume&gt;17&lt;/_volume&gt;&lt;_created&gt;65584321&lt;/_created&gt;&lt;_modified&gt;65584321&lt;/_modified&gt;&lt;_impact_factor&gt;   7.960&lt;/_impact_factor&gt;&lt;_collection_scope&gt;SCI;SCIE;SSCI&lt;/_collection_scope&gt;&lt;/Details&gt;&lt;Extra&gt;&lt;DBUID&gt;{6AB36283-087A-4FAE-AF71-70154664414F}&lt;/DBUID&gt;&lt;/Extra&gt;&lt;/Item&gt;&lt;/References&gt;&lt;/Group&gt;&lt;/Citation&gt;_x000a_"/>
    <w:docVar w:name="NE.Ref{37005117-0B2F-4F1E-B283-C1318E7D0B92}" w:val=" ADDIN NE.Ref.{37005117-0B2F-4F1E-B283-C1318E7D0B92}&lt;Citation&gt;&lt;Group&gt;&lt;References&gt;&lt;Item&gt;&lt;ID&gt;5632&lt;/ID&gt;&lt;UID&gt;{9E592E0D-B51E-431E-8089-2775E7DDDF3C}&lt;/UID&gt;&lt;Title&gt;Making sense of complex data: a mapping process for analyzing findings of a  realist review on guideline implementability&lt;/Title&gt;&lt;Template&gt;Journal Article&lt;/Template&gt;&lt;Star&gt;1&lt;/Star&gt;&lt;Tag&gt;0&lt;/Tag&gt;&lt;Author&gt;Kastner, M; Makarski, J; Hayden, L; Durocher, L; Chatterjee, A; Brouwers, M; Bhattacharyya, O&lt;/Author&gt;&lt;Year&gt;2013&lt;/Year&gt;&lt;Details&gt;&lt;_accession_num&gt;24028286&lt;/_accession_num&gt;&lt;_author_adr&gt;St, Michael&amp;apos;s Hospital Li Ka Shing Knowledge Institute, 209 Victoria Street,  Toronto M5B 1W8, ON, Canada. monika.kastner@utoronto.ca.&lt;/_author_adr&gt;&lt;_collection_scope&gt;SCIE&lt;/_collection_scope&gt;&lt;_created&gt;64570150&lt;/_created&gt;&lt;_date&gt;2013-09-12&lt;/_date&gt;&lt;_date_display&gt;2013 Sep 12&lt;/_date_display&gt;&lt;_doi&gt;10.1186/1471-2288-13-112&lt;/_doi&gt;&lt;_impact_factor&gt;   4.612&lt;/_impact_factor&gt;&lt;_isbn&gt;1471-2288 (Electronic); 1471-2288 (Linking)&lt;/_isbn&gt;&lt;_journal&gt;BMC Med Res Methodol&lt;/_journal&gt;&lt;_language&gt;eng&lt;/_language&gt;&lt;_modified&gt;65328089&lt;/_modified&gt;&lt;_pages&gt;112&lt;/_pages&gt;&lt;_subject_headings&gt;Humans; Meta-Analysis as Topic; *Practice Guidelines as Topic; Review Literature as Topic; Statistics as Topic&lt;/_subject_headings&gt;&lt;_tertiary_title&gt;BMC medical research methodology&lt;/_tertiary_title&gt;&lt;_type_work&gt;Journal Article&lt;/_type_work&gt;&lt;_url&gt;http://www.ncbi.nlm.nih.gov/entrez/query.fcgi?cmd=Retrieve&amp;amp;db=pubmed&amp;amp;dopt=Abstract&amp;amp;list_uids=24028286&amp;amp;query_hl=1&lt;/_url&gt;&lt;_volume&gt;13&lt;/_volume&gt;&lt;/Details&gt;&lt;Extra&gt;&lt;DBUID&gt;{6AB36283-087A-4FAE-AF71-70154664414F}&lt;/DBUID&gt;&lt;/Extra&gt;&lt;/Item&gt;&lt;/References&gt;&lt;/Group&gt;&lt;/Citation&gt;_x000a_"/>
    <w:docVar w:name="NE.Ref{471011AC-BF96-4655-BDD7-E5ACD4BCDA71}" w:val=" ADDIN NE.Ref.{471011AC-BF96-4655-BDD7-E5ACD4BCDA71}&lt;Citation&gt;&lt;Group&gt;&lt;References&gt;&lt;Item&gt;&lt;ID&gt;5233&lt;/ID&gt;&lt;UID&gt;{034C4AAD-6BF0-4207-A74F-3D17D23D57AA}&lt;/UID&gt;&lt;Title&gt;The Guideline Language and Format Instrument (GLAFI): development process and  international needs assessment survey&lt;/Title&gt;&lt;Template&gt;Journal Article&lt;/Template&gt;&lt;Star&gt;0&lt;/Star&gt;&lt;Tag&gt;0&lt;/Tag&gt;&lt;Author&gt;Gupta, S; Tang, R; Petricca, K; Florez, I D; Kastner, M&lt;/Author&gt;&lt;Year&gt;2022&lt;/Year&gt;&lt;Details&gt;&lt;_accession_num&gt;35854368&lt;/_accession_num&gt;&lt;_author_adr&gt;Li Ka Shing Knowledge Institute of St. Michael&amp;apos;s Hospital, Unity Health, Toronto,  ON, Canada. samir.gupta@unityhealth.to.; Division of Respirology, Department of Medicine, University of Toronto, Toronto,  ON, Canada. samir.gupta@unityhealth.to.; Li Ka Shing Knowledge Institute of St. Michael&amp;apos;s Hospital, Unity Health, Toronto,  ON, Canada.; Department of Geriatrics, Guy&amp;apos;s and St Thomas&amp;apos; NHS Foundation Trust, London, UK.; King&amp;apos;s Health Partners, King&amp;apos;s College London, London, UK.; Centre for Global Child Health, The Hospital for Sick Children, Toronto, ON,  Canada.; Department of Pediatrics, University of Antioquia, Medellín, Colombia.; School of Rehabilitation Science, McMaster University, Hamilton, ON, Canada.; Research and Innovation, North York General Hospital, Toronto, ON, Canada.; University of Toronto, Toronto, ON, Canada.&lt;/_author_adr&gt;&lt;_collection_scope&gt;SCI;SCIE;SSCI&lt;/_collection_scope&gt;&lt;_created&gt;64526324&lt;/_created&gt;&lt;_date&gt;2022-07-19&lt;/_date&gt;&lt;_date_display&gt;2022 Jul 19&lt;/_date_display&gt;&lt;_doi&gt;10.1186/s13012-022-01219-2&lt;/_doi&gt;&lt;_impact_factor&gt;   7.960&lt;/_impact_factor&gt;&lt;_isbn&gt;1748-5908 (Electronic); 1748-5908 (Linking)&lt;/_isbn&gt;&lt;_issue&gt;1&lt;/_issue&gt;&lt;_journal&gt;Implement Sci&lt;/_journal&gt;&lt;_keywords&gt;Clinical practice guidelines; Guideline implementation; Implementation science&lt;/_keywords&gt;&lt;_language&gt;eng&lt;/_language&gt;&lt;_modified&gt;65073074&lt;/_modified&gt;&lt;_ori_publication&gt;© 2022. The Author(s).&lt;/_ori_publication&gt;&lt;_pages&gt;47&lt;/_pages&gt;&lt;_subject_headings&gt;Canada; Humans; *Language; Needs Assessment; Surveys and Questionnaires&lt;/_subject_headings&gt;&lt;_tertiary_title&gt;Implementation science : IS&lt;/_tertiary_title&gt;&lt;_type_work&gt;Journal Article&lt;/_type_work&gt;&lt;_url&gt;http://www.ncbi.nlm.nih.gov/entrez/query.fcgi?cmd=Retrieve&amp;amp;db=pubmed&amp;amp;dopt=Abstract&amp;amp;list_uids=35854368&amp;amp;query_hl=1&lt;/_url&gt;&lt;_volume&gt;17&lt;/_volume&gt;&lt;/Details&gt;&lt;Extra&gt;&lt;DBUID&gt;{6AB36283-087A-4FAE-AF71-70154664414F}&lt;/DBUID&gt;&lt;/Extra&gt;&lt;/Item&gt;&lt;/References&gt;&lt;/Group&gt;&lt;/Citation&gt;_x000a_"/>
    <w:docVar w:name="NE.Ref{6781FA19-8B56-4FE9-A322-6E2C5C1FD58D}" w:val=" ADDIN NE.Ref.{6781FA19-8B56-4FE9-A322-6E2C5C1FD58D}&lt;Citation&gt;&lt;Group&gt;&lt;References&gt;&lt;Item&gt;&lt;ID&gt;32456&lt;/ID&gt;&lt;UID&gt;{8217B4DD-049A-429A-A59C-52A0345F26FF}&lt;/UID&gt;&lt;Title&gt;Guidelines International Network: toward international standards for clinical  practice guidelines&lt;/Title&gt;&lt;Template&gt;Journal Article&lt;/Template&gt;&lt;Star&gt;0&lt;/Star&gt;&lt;Tag&gt;0&lt;/Tag&gt;&lt;Author&gt;Qaseem, A; Forland, F; Macbeth, F; Ollenschläger, G; Phillips, S; van der Wees, P&lt;/Author&gt;&lt;Year&gt;2012&lt;/Year&gt;&lt;Details&gt;&lt;_accession_num&gt;22473437&lt;/_accession_num&gt;&lt;_author_adr&gt;American College of Physicians, Philadelphia, Pennsylvania 19106, USA.  aqaseem@acponline.org&lt;/_author_adr&gt;&lt;_date_display&gt;2012 Apr 3&lt;/_date_display&gt;&lt;_date&gt;2012-04-03&lt;/_date&gt;&lt;_doi&gt;10.7326/0003-4819-156-7-201204030-00009&lt;/_doi&gt;&lt;_isbn&gt;1539-3704 (Electronic); 0003-4819 (Linking)&lt;/_isbn&gt;&lt;_issue&gt;7&lt;/_issue&gt;&lt;_journal&gt;Ann Intern Med&lt;/_journal&gt;&lt;_language&gt;eng&lt;/_language&gt;&lt;_pages&gt;525-31&lt;/_pages&gt;&lt;_subject_headings&gt;Conflict of Interest; Consensus; Consensus Development Conferences as Topic; Decision Making; Evidence-Based Medicine/standards; Humans; Organizational Objectives; Peer Review/standards; Practice Guidelines as Topic/*standards&lt;/_subject_headings&gt;&lt;_tertiary_title&gt;Annals of internal medicine&lt;/_tertiary_title&gt;&lt;_type_work&gt;Journal Article; Research Support, Non-U.S. Gov&amp;apos;t&lt;/_type_work&gt;&lt;_url&gt;http://www.ncbi.nlm.nih.gov/entrez/query.fcgi?cmd=Retrieve&amp;amp;db=pubmed&amp;amp;dopt=Abstract&amp;amp;list_uids=22473437&amp;amp;query_hl=1&lt;/_url&gt;&lt;_volume&gt;156&lt;/_volume&gt;&lt;_created&gt;65584418&lt;/_created&gt;&lt;_modified&gt;65584418&lt;/_modified&gt;&lt;_impact_factor&gt;  51.598&lt;/_impact_factor&gt;&lt;_collection_scope&gt;SCI;SCIE&lt;/_collection_scope&gt;&lt;/Details&gt;&lt;Extra&gt;&lt;DBUID&gt;{6AB36283-087A-4FAE-AF71-70154664414F}&lt;/DBUID&gt;&lt;/Extra&gt;&lt;/Item&gt;&lt;/References&gt;&lt;/Group&gt;&lt;/Citation&gt;_x000a_"/>
    <w:docVar w:name="NE.Ref{726778BC-E19E-4E44-A47F-878BB0342A89}" w:val=" ADDIN NE.Ref.{726778BC-E19E-4E44-A47F-878BB0342A89}&lt;Citation&gt;&lt;Group&gt;&lt;References&gt;&lt;Item&gt;&lt;ID&gt;5318&lt;/ID&gt;&lt;UID&gt;{33460ED6-26B4-4533-A63F-E84097CC82BA}&lt;/UID&gt;&lt;Title&gt;How can we improve guideline use? A conceptual framework of implementability&lt;/Title&gt;&lt;Template&gt;Journal Article&lt;/Template&gt;&lt;Star&gt;0&lt;/Star&gt;&lt;Tag&gt;0&lt;/Tag&gt;&lt;Author&gt;Gagliardi, A R; Brouwers, M C; Palda, V A; Lemieux-Charles, L; Grimshaw, J M&lt;/Author&gt;&lt;Year&gt;2011&lt;/Year&gt;&lt;Details&gt;&lt;_accession_num&gt;21426574&lt;/_accession_num&gt;&lt;_author_adr&gt;Departments of Surgery; and Department of Health Policy, Management and  Evaluation; and Institute of Medical Science, Faculty of Medicine, University of  Toronto, Toronto, Ontario, Canada. anna.gagliardi@uhnresearch.ca&lt;/_author_adr&gt;&lt;_collection_scope&gt;SCI;SCIE;SSCI&lt;/_collection_scope&gt;&lt;_created&gt;64534546&lt;/_created&gt;&lt;_date&gt;2011-03-22&lt;/_date&gt;&lt;_date_display&gt;2011 Mar 22&lt;/_date_display&gt;&lt;_doi&gt;10.1186/1748-5908-6-26&lt;/_doi&gt;&lt;_impact_factor&gt;   7.960&lt;/_impact_factor&gt;&lt;_isbn&gt;1748-5908 (Electronic); 1748-5908 (Linking)&lt;/_isbn&gt;&lt;_journal&gt;Implement Sci&lt;/_journal&gt;&lt;_language&gt;eng&lt;/_language&gt;&lt;_modified&gt;65115325&lt;/_modified&gt;&lt;_pages&gt;26&lt;/_pages&gt;&lt;_subject_headings&gt;Decision Making; Diabetes Mellitus/therapy; *Guideline Adherence; Heart Failure/therapy; Humans; Hypertension/therapy; Leg Ulcer/therapy; *Practice Guidelines as Topic&lt;/_subject_headings&gt;&lt;_tertiary_title&gt;Implementation science : IS&lt;/_tertiary_title&gt;&lt;_type_work&gt;Journal Article&lt;/_type_work&gt;&lt;_url&gt;http://www.ncbi.nlm.nih.gov/entrez/query.fcgi?cmd=Retrieve&amp;amp;db=pubmed&amp;amp;dopt=Abstract&amp;amp;list_uids=21426574&amp;amp;query_hl=1&lt;/_url&gt;&lt;_volume&gt;6&lt;/_volume&gt;&lt;/Details&gt;&lt;Extra&gt;&lt;DBUID&gt;{6AB36283-087A-4FAE-AF71-70154664414F}&lt;/DBUID&gt;&lt;/Extra&gt;&lt;/Item&gt;&lt;/References&gt;&lt;/Group&gt;&lt;/Citation&gt;_x000a_"/>
    <w:docVar w:name="NE.Ref{A064EA0A-9834-4989-AF3C-983FD26CDCDB}" w:val=" ADDIN NE.Ref.{A064EA0A-9834-4989-AF3C-983FD26CDCDB}&lt;Citation&gt;&lt;Group&gt;&lt;References&gt;&lt;Item&gt;&lt;ID&gt;5601&lt;/ID&gt;&lt;UID&gt;{F2E62CC2-4422-493E-A11F-7ACC160A3025}&lt;/UID&gt;&lt;Title&gt;The GuideLine Implementability Appraisal (GLIA): development of an instrument to  identify obstacles to guideline implementation&lt;/Title&gt;&lt;Template&gt;Journal Article&lt;/Template&gt;&lt;Star&gt;1&lt;/Star&gt;&lt;Tag&gt;0&lt;/Tag&gt;&lt;Author&gt;Shiffman, R N; Dixon, J; Brandt, C; Essaihi, A; Hsiao, A; Michel, G; O&amp;apos;Connell, R&lt;/Author&gt;&lt;Year&gt;2005&lt;/Year&gt;&lt;Details&gt;&lt;_accession_num&gt;16048653&lt;/_accession_num&gt;&lt;_author_adr&gt;Yale Center for Medical Informatics, Yale University School of Medicine, New  Haven, CT, USA. richard.shiffman@yale.edu&lt;/_author_adr&gt;&lt;_created&gt;64570150&lt;/_created&gt;&lt;_date&gt;2005-07-27&lt;/_date&gt;&lt;_date_display&gt;2005 Jul 27&lt;/_date_display&gt;&lt;_doi&gt;10.1186/1472-6947-5-23&lt;/_doi&gt;&lt;_impact_factor&gt;   3.298&lt;/_impact_factor&gt;&lt;_isbn&gt;1472-6947 (Electronic); 1472-6947 (Linking)&lt;/_isbn&gt;&lt;_journal&gt;BMC Med Inform Decis Mak&lt;/_journal&gt;&lt;_language&gt;eng&lt;/_language&gt;&lt;_modified&gt;64571758&lt;/_modified&gt;&lt;_pages&gt;23&lt;/_pages&gt;&lt;_subject_headings&gt;Benchmarking/*methods; Diffusion of Innovation; *Expert Systems; *Guideline Adherence; Humans; Practice Guidelines as Topic/*standards; Programming Languages; *Quality Assurance, Health Care; Surveys and Questionnaires&lt;/_subject_headings&gt;&lt;_tertiary_title&gt;BMC medical informatics and decision making&lt;/_tertiary_title&gt;&lt;_type_work&gt;Journal Article; Research Support, N.I.H., Extramural; Research Support, U.S. Gov&amp;apos;t, P.H.S.; Validation Study&lt;/_type_work&gt;&lt;_url&gt;http://www.ncbi.nlm.nih.gov/entrez/query.fcgi?cmd=Retrieve&amp;amp;db=pubmed&amp;amp;dopt=Abstract&amp;amp;list_uids=16048653&amp;amp;query_hl=1&lt;/_url&gt;&lt;_volume&gt;5&lt;/_volume&gt;&lt;/Details&gt;&lt;Extra&gt;&lt;DBUID&gt;{6AB36283-087A-4FAE-AF71-70154664414F}&lt;/DBUID&gt;&lt;/Extra&gt;&lt;/Item&gt;&lt;/References&gt;&lt;/Group&gt;&lt;/Citation&gt;_x000a_"/>
    <w:docVar w:name="NE.Ref{A571F49C-6F11-4761-9FB7-689C2EE5CD27}" w:val=" ADDIN NE.Ref.{A571F49C-6F11-4761-9FB7-689C2EE5CD27}&lt;Citation&gt;&lt;Group&gt;&lt;References&gt;&lt;Item&gt;&lt;ID&gt;32379&lt;/ID&gt;&lt;UID&gt;{496E34CC-EF45-4777-96CF-76B6F69856F8}&lt;/UID&gt;&lt;Title&gt;中医药临床实践指南评价体系的建立及其方法研究&lt;/Title&gt;&lt;Template&gt;Thesis&lt;/Template&gt;&lt;Star&gt;0&lt;/Star&gt;&lt;Tag&gt;0&lt;/Tag&gt;&lt;Author&gt;白雪&lt;/Author&gt;&lt;Year&gt;2021&lt;/Year&gt;&lt;Details&gt;&lt;_created&gt;65329157&lt;/_created&gt;&lt;_db_provider&gt;CNKI&lt;/_db_provider&gt;&lt;_doi&gt;10.26973/d.cnki.gbjzu.2020.000483&lt;/_doi&gt;&lt;_keywords&gt;德尔菲法;临床实践指南;现实性文献综述法;指南评价;中医药&lt;/_keywords&gt;&lt;_modified&gt;65329157&lt;/_modified&gt;&lt;_publisher&gt;北京中医药大学&lt;/_publisher&gt;&lt;_tertiary_author&gt;陈薇&lt;/_tertiary_author&gt;&lt;_type_work&gt;硕士&lt;/_type_work&gt;&lt;_translated_author&gt;Bai, Xue&lt;/_translated_author&gt;&lt;_translated_tertiary_author&gt;Chen, Wei&lt;/_translated_tertiary_author&gt;&lt;/Details&gt;&lt;Extra&gt;&lt;DBUID&gt;{6AB36283-087A-4FAE-AF71-70154664414F}&lt;/DBUID&gt;&lt;/Extra&gt;&lt;/Item&gt;&lt;/References&gt;&lt;/Group&gt;&lt;/Citation&gt;_x000a_"/>
    <w:docVar w:name="NE.Ref{ADACADBB-7CDB-4EC3-869D-EE23D2966EDC}" w:val=" ADDIN NE.Ref.{ADACADBB-7CDB-4EC3-869D-EE23D2966EDC}&lt;Citation&gt;&lt;Group&gt;&lt;References&gt;&lt;Item&gt;&lt;ID&gt;32453&lt;/ID&gt;&lt;UID&gt;{B78B4F87-B18D-493C-8DA9-5F2CC4207F58}&lt;/UID&gt;&lt;Title&gt;Development and validation of an international appraisal instrument for assessing  the quality of clinical practice guidelines: the AGREE project&lt;/Title&gt;&lt;Template&gt;Journal Article&lt;/Template&gt;&lt;Star&gt;0&lt;/Star&gt;&lt;Tag&gt;0&lt;/Tag&gt;&lt;Author/&gt;&lt;Year&gt;2003&lt;/Year&gt;&lt;Details&gt;&lt;_accession_num&gt;12571340&lt;/_accession_num&gt;&lt;_date_display&gt;2003 Feb&lt;/_date_display&gt;&lt;_date&gt;2003-02-01&lt;/_date&gt;&lt;_doi&gt;10.1136/qhc.12.1.18&lt;/_doi&gt;&lt;_isbn&gt;1475-3898 (Print); 1475-3901 (Electronic); 1475-3898 (Linking)&lt;/_isbn&gt;&lt;_issue&gt;1&lt;/_issue&gt;&lt;_journal&gt;Qual Saf Health Care&lt;/_journal&gt;&lt;_language&gt;eng&lt;/_language&gt;&lt;_pages&gt;18-23&lt;/_pages&gt;&lt;_subject_headings&gt;Europe; Health Services Research/methods; Humans; Practice Guidelines as Topic/*standards; Program Development; Program Evaluation; *Quality Indicators, Health Care&lt;/_subject_headings&gt;&lt;_tertiary_title&gt;Quality &amp;amp; safety in health care&lt;/_tertiary_title&gt;&lt;_type_work&gt;Journal Article; Research Support, Non-U.S. Gov&amp;apos;t; Validation Study&lt;/_type_work&gt;&lt;_url&gt;http://www.ncbi.nlm.nih.gov/entrez/query.fcgi?cmd=Retrieve&amp;amp;db=pubmed&amp;amp;dopt=Abstract&amp;amp;list_uids=12571340&amp;amp;query_hl=1&lt;/_url&gt;&lt;_volume&gt;12&lt;/_volume&gt;&lt;_created&gt;65584358&lt;/_created&gt;&lt;_modified&gt;65584358&lt;/_modified&gt;&lt;/Details&gt;&lt;Extra&gt;&lt;DBUID&gt;{6AB36283-087A-4FAE-AF71-70154664414F}&lt;/DBUID&gt;&lt;/Extra&gt;&lt;/Item&gt;&lt;/References&gt;&lt;/Group&gt;&lt;/Citation&gt;_x000a_"/>
    <w:docVar w:name="NE.Ref{BF134379-7464-482D-95CA-CA0A593036B2}" w:val=" ADDIN NE.Ref.{BF134379-7464-482D-95CA-CA0A593036B2}&lt;Citation&gt;&lt;Group&gt;&lt;References&gt;&lt;Item&gt;&lt;ID&gt;32454&lt;/ID&gt;&lt;UID&gt;{AE0B87CE-4AB4-4636-B8EE-E50B9D05EEED}&lt;/UID&gt;&lt;Title&gt;Developing and Testing the Agency for Healthcare Research and Quality&amp;apos;s National  Guideline Clearinghouse Extent of Adherence to Trustworthy Standards (NEATS)  Instrument&lt;/Title&gt;&lt;Template&gt;Journal Article&lt;/Template&gt;&lt;Star&gt;0&lt;/Star&gt;&lt;Tag&gt;0&lt;/Tag&gt;&lt;Author&gt;Jue, J J; Cunningham, S; Lohr, K; Shekelle, P; Shiffman, R; Robbins, C; Nix, M; Coates, V; Schoelles, K&lt;/Author&gt;&lt;Year&gt;2019&lt;/Year&gt;&lt;Details&gt;&lt;_accession_num&gt;30884527&lt;/_accession_num&gt;&lt;_author_adr&gt;ECRI Institute, Plymouth Meeting, Pennsylvania (J.J.J., S.C., K.S.).; ECRI Institute, Plymouth Meeting, Pennsylvania (J.J.J., S.C., K.S.).; RTI International, Chapel Hill, North Carolina (K.L.).; West Los Angeles Veterans Affairs Medical Center, Los Angeles, California (P.S.).; Yale Center for Medical Informatics, New Haven, Connecticut (R.S.).; Kaiser Permanente Care Management Institute, Aurora, Colorado (C.R.).; Agency for Healthcare Research and Quality, Rockville, Maryland (M.N.).; Silver Spring, Maryland (V.C.).; ECRI Institute, Plymouth Meeting, Pennsylvania (J.J.J., S.C., K.S.).&lt;/_author_adr&gt;&lt;_date_display&gt;2019 Apr 2&lt;/_date_display&gt;&lt;_date&gt;2019-04-02&lt;/_date&gt;&lt;_doi&gt;10.7326/M18-2950&lt;/_doi&gt;&lt;_isbn&gt;1539-3704 (Electronic); 0003-4819 (Linking)&lt;/_isbn&gt;&lt;_issue&gt;7&lt;/_issue&gt;&lt;_journal&gt;Ann Intern Med&lt;/_journal&gt;&lt;_language&gt;eng&lt;/_language&gt;&lt;_pages&gt;480-487&lt;/_pages&gt;&lt;_subject_headings&gt;Evidence-Based Medicine/standards; Guideline Adherence/*standards; National Academies of Science, Engineering, and Medicine, U.S., Health and _x000d__x000a_      Medicine Division; Practice Guidelines as Topic/*standards; United States; United States Agency for Healthcare Research and Quality&lt;/_subject_headings&gt;&lt;_tertiary_title&gt;Annals of internal medicine&lt;/_tertiary_title&gt;&lt;_type_work&gt;Journal Article&lt;/_type_work&gt;&lt;_url&gt;http://www.ncbi.nlm.nih.gov/entrez/query.fcgi?cmd=Retrieve&amp;amp;db=pubmed&amp;amp;dopt=Abstract&amp;amp;list_uids=30884527&amp;amp;query_hl=1&lt;/_url&gt;&lt;_volume&gt;170&lt;/_volume&gt;&lt;_created&gt;65584384&lt;/_created&gt;&lt;_modified&gt;65584384&lt;/_modified&gt;&lt;_impact_factor&gt;  51.598&lt;/_impact_factor&gt;&lt;_collection_scope&gt;SCI;SCIE&lt;/_collection_scope&gt;&lt;/Details&gt;&lt;Extra&gt;&lt;DBUID&gt;{6AB36283-087A-4FAE-AF71-70154664414F}&lt;/DBUID&gt;&lt;/Extra&gt;&lt;/Item&gt;&lt;/References&gt;&lt;/Group&gt;&lt;/Citation&gt;_x000a_"/>
    <w:docVar w:name="NE.Ref{C3977120-7C8A-48AC-B4CB-D3F99A435084}" w:val=" ADDIN NE.Ref.{C3977120-7C8A-48AC-B4CB-D3F99A435084}&lt;Citation&gt;&lt;Group&gt;&lt;References&gt;&lt;Item&gt;&lt;ID&gt;26677&lt;/ID&gt;&lt;UID&gt;{91CE1B52-5C39-490E-81D4-9D2B0ABA3C64}&lt;/UID&gt;&lt;Title&gt;临床实践指南实施性评价工具的研制和验证评价&lt;/Title&gt;&lt;Template&gt;Journal Article&lt;/Template&gt;&lt;Star&gt;0&lt;/Star&gt;&lt;Tag&gt;0&lt;/Tag&gt;&lt;Author&gt;靳英辉; 赵志慧; 黄粲然; 黄笛; 王云云; 阎思宇; 黄桥; 李绪辉; 黄超; 王强; 曾宪涛&lt;/Author&gt;&lt;Year&gt;2022&lt;/Year&gt;&lt;Details&gt;&lt;_author_adr&gt;武汉大学中南医院循证与转化医学中心,武汉430071; 武汉大学健康学院,武汉430071; 国家卫生与健康委员会医疗服务管理指导中心标准处,北京100044&lt;/_author_adr&gt;&lt;_collection_scope&gt;CSCD&lt;/_collection_scope&gt;&lt;_created&gt;65037198&lt;/_created&gt;&lt;_db_provider&gt;重庆维普资讯有限公司&lt;/_db_provider&gt;&lt;_isbn&gt;1672-2531&lt;/_isbn&gt;&lt;_issue&gt;1&lt;/_issue&gt;&lt;_journal&gt;中国循证医学杂志&lt;/_journal&gt;&lt;_keywords&gt;临床实践指南; 实施性; 评价工具&lt;/_keywords&gt;&lt;_modified&gt;65037198&lt;/_modified&gt;&lt;_pages&gt;111-119&lt;/_pages&gt;&lt;_volume&gt;22&lt;/_volume&gt;&lt;_translated_author&gt;Jin, Yinghui;Zhao, Zhihui;Huang, Canran;Huang, Di;Wang, Yunyun;Yan, Siyu;Huang, Qiao;Li, Xuhui;Huang, Chao;Wang, Qiang;Ceng, Xiantao&lt;/_translated_author&gt;&lt;/Details&gt;&lt;Extra&gt;&lt;DBUID&gt;{6AB36283-087A-4FAE-AF71-70154664414F}&lt;/DBUID&gt;&lt;/Extra&gt;&lt;/Item&gt;&lt;/References&gt;&lt;/Group&gt;&lt;/Citation&gt;_x000a_"/>
    <w:docVar w:name="NE.Ref{C7053E0E-EE88-4708-9135-8320323DE9C7}" w:val=" ADDIN NE.Ref.{C7053E0E-EE88-4708-9135-8320323DE9C7}&lt;Citation&gt;&lt;Group&gt;&lt;References&gt;&lt;Item&gt;&lt;ID&gt;5597&lt;/ID&gt;&lt;UID&gt;{CBF202EA-8539-4EA0-8E14-5BC4EAAD430D}&lt;/UID&gt;&lt;Title&gt;Guideline uptake is influenced by six implementability domains for creating and  communicating guidelines: a realist review&lt;/Title&gt;&lt;Template&gt;Journal Article&lt;/Template&gt;&lt;Star&gt;1&lt;/Star&gt;&lt;Tag&gt;0&lt;/Tag&gt;&lt;Author&gt;Kastner, M; Bhattacharyya, O; Hayden, L; Makarski, J; Estey, E; Durocher, L; Chatterjee, A; Perrier, L; Graham, I D; Straus, S E; Zwarenstein, M; Brouwers, M&lt;/Author&gt;&lt;Year&gt;2015&lt;/Year&gt;&lt;Details&gt;&lt;_accession_num&gt;25684154&lt;/_accession_num&gt;&lt;_author_adr&gt;Li Ka Shing Knowledge Institute (LKSKI) of St. Michael&amp;apos;s Hospital, Knowledge  Translation Program. 209 Victoria Street, Toronto, Ontario, Canada, M5B 1W8.  Electronic address: monika.kastner@utoronto.ca.; Li Ka Shing Knowledge Institute (LKSKI) of St. Michael&amp;apos;s Hospital, Knowledge  Translation Program. 209 Victoria Street, Toronto, Ontario, Canada, M5B 1W8;  Keenan Research Centre of LKSKI of St. Michael&amp;apos;s Hospital, 209 Victoria Street,  Toronto, Ontario, Canada, M5B 1W8.; Li Ka Shing Knowledge Institute (LKSKI) of St. Michael&amp;apos;s Hospital, Knowledge  Translation Program. 209 Victoria Street, Toronto, Ontario, Canada, M5B 1W8.; Department of Oncology, Escarpment Cancer Research Institute, McMaster  University, 699 Concession Street, Hamilton, Ontario, L8V 5C2.; Strategic Policy, Planning &amp;amp; Initiatives, Health Services, Region of Peel, 10  Peel Centre Drive, 2nd Floor, Brampton, Ontario, Canada, L6T 4B9.; Department of Oncology, Escarpment Cancer Research Institute, McMaster  University, 699 Concession Street, Hamilton, Ontario, L8V 5C2.; Li Ka Shing Knowledge Institute (LKSKI) of St. Michael&amp;apos;s Hospital, Knowledge  Translation Program. 209 Victoria Street, Toronto, Ontario, Canada, M5B 1W8.; Li Ka Shing Knowledge Institute (LKSKI) of St. Michael&amp;apos;s Hospital, Knowledge  Translation Program. 209 Victoria Street, Toronto, Ontario, Canada, M5B 1W8;  Continuing Education and Professional Development, Faculty of Medicine,  University of Toronto, 500 University Avenue, Suite 650, Toronto, Ontario,  Canada, M5G 1V7.; Department of Epidemiology and Community Medicine, Ottawa Hospital Research  Institute, University of Ottawa, 725 Parkdale Avenue, Ottawa, Ontario, Canada K1Y  4E9.; Li Ka Shing Knowledge Institute (LKSKI) of St. Michael&amp;apos;s Hospital, Knowledge  Translation Program. 209 Victoria Street, Toronto, Ontario, Canada, M5B 1W8;  Keenan Research Centre of LKSKI of St. Michael&amp;apos;s Hospital, 209 Victoria Street,  Toronto, Ontario, Canada, M5B 1W8; Faculty of Medicine, University of Toronto,  563 Spadina Crescent, Toronto, Ontario, Canada, M5S 2J7.; Department of Family Medicine, Schulich School of Medicine and Dentistry, Western  University, Clinical Skills Building, London, Ontario, Canada, N6A 5C1.; Department of Oncology, Escarpment Cancer Research Institute, McMaster  University, 699 Concession Street, Hamilton, Ontario, L8V 5C2.&lt;/_author_adr&gt;&lt;_collection_scope&gt;SCI;SCIE&lt;/_collection_scope&gt;&lt;_created&gt;64570150&lt;/_created&gt;&lt;_date&gt;2015-05-01&lt;/_date&gt;&lt;_date_display&gt;2015 May&lt;/_date_display&gt;&lt;_doi&gt;10.1016/j.jclinepi.2014.12.013&lt;/_doi&gt;&lt;_impact_factor&gt;   7.407&lt;/_impact_factor&gt;&lt;_isbn&gt;1878-5921 (Electronic); 0895-4356 (Linking)&lt;/_isbn&gt;&lt;_issue&gt;5&lt;/_issue&gt;&lt;_journal&gt;J Clin Epidemiol&lt;/_journal&gt;&lt;_keywords&gt;Clinical practice guideline; Guideline adherence; Guideline implementability; Realist review; Systematic review&lt;/_keywords&gt;&lt;_language&gt;eng&lt;/_language&gt;&lt;_modified&gt;65112440&lt;/_modified&gt;&lt;_ori_publication&gt;Copyright © 2015 The Authors. Published by Elsevier Inc. All rights reserved.&lt;/_ori_publication&gt;&lt;_pages&gt;498-509&lt;/_pages&gt;&lt;_subject_headings&gt;*Guideline Adherence; Humans; *Practice Guidelines as Topic; Translational Research, Biomedical&lt;/_subject_headings&gt;&lt;_tertiary_title&gt;Journal of clinical epidemi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5684154&amp;amp;query_hl=1&lt;/_url&gt;&lt;_volume&gt;68&lt;/_volume&gt;&lt;/Details&gt;&lt;Extra&gt;&lt;DBUID&gt;{6AB36283-087A-4FAE-AF71-70154664414F}&lt;/DBUID&gt;&lt;/Extra&gt;&lt;/Item&gt;&lt;/References&gt;&lt;/Group&gt;&lt;/Citation&gt;_x000a_"/>
    <w:docVar w:name="NE.Ref{D4E410D4-7983-49D8-9A5A-86D9ABE65E9E}" w:val=" ADDIN NE.Ref.{D4E410D4-7983-49D8-9A5A-86D9ABE65E9E}&lt;Citation&gt;&lt;Group&gt;&lt;References&gt;&lt;Item&gt;&lt;ID&gt;32450&lt;/ID&gt;&lt;UID&gt;{334D205E-CB04-4A38-948C-65C0A9FEA38A}&lt;/UID&gt;&lt;Title&gt;Development and Validation of Clinical Practice Guideline Implementation Evaluation Tools&lt;/Title&gt;&lt;Template&gt;Journal Article&lt;/Template&gt;&lt;Star&gt;0&lt;/Star&gt;&lt;Tag&gt;0&lt;/Tag&gt;&lt;Author&gt;Yinghui, Jin; Zhihui, Zhao; Xingran, Huang; Di, Huang; Yunyun, Wang; Siyu, Yan; Qiao, Huang; Xuhui, Li; Chao, Huang; Qiang, Wang; Xiantao, Zeng&lt;/Author&gt;&lt;Year&gt;2022&lt;/Year&gt;&lt;Details&gt;&lt;_accessed&gt;65583986&lt;/_accessed&gt;&lt;_created&gt;65583986&lt;/_created&gt;&lt;_issue&gt;22&lt;/_issue&gt;&lt;_journal&gt;Chinese Journal of evidence-based Medicine&lt;/_journal&gt;&lt;_modified&gt;65583986&lt;/_modified&gt;&lt;_pages&gt;111-119&lt;/_pages&gt;&lt;_volume&gt;01&lt;/_volume&gt;&lt;/Details&gt;&lt;Extra&gt;&lt;DBUID&gt;{6AB36283-087A-4FAE-AF71-70154664414F}&lt;/DBUID&gt;&lt;/Extra&gt;&lt;/Item&gt;&lt;/References&gt;&lt;/Group&gt;&lt;/Citation&gt;_x000a_"/>
    <w:docVar w:name="NE.Ref{D6F20360-EFB2-4DA3-9A28-E30966E49DB1}" w:val=" ADDIN NE.Ref.{D6F20360-EFB2-4DA3-9A28-E30966E49DB1}&lt;Citation&gt;&lt;Group&gt;&lt;References&gt;&lt;Item&gt;&lt;ID&gt;5597&lt;/ID&gt;&lt;UID&gt;{CBF202EA-8539-4EA0-8E14-5BC4EAAD430D}&lt;/UID&gt;&lt;Title&gt;Guideline uptake is influenced by six implementability domains for creating and  communicating guidelines: a realist review&lt;/Title&gt;&lt;Template&gt;Journal Article&lt;/Template&gt;&lt;Star&gt;1&lt;/Star&gt;&lt;Tag&gt;0&lt;/Tag&gt;&lt;Author&gt;Kastner, M; Bhattacharyya, O; Hayden, L; Makarski, J; Estey, E; Durocher, L; Chatterjee, A; Perrier, L; Graham, I D; Straus, S E; Zwarenstein, M; Brouwers, M&lt;/Author&gt;&lt;Year&gt;2015&lt;/Year&gt;&lt;Details&gt;&lt;_accession_num&gt;25684154&lt;/_accession_num&gt;&lt;_author_adr&gt;Li Ka Shing Knowledge Institute (LKSKI) of St. Michael&amp;apos;s Hospital, Knowledge  Translation Program. 209 Victoria Street, Toronto, Ontario, Canada, M5B 1W8.  Electronic address: monika.kastner@utoronto.ca.; Li Ka Shing Knowledge Institute (LKSKI) of St. Michael&amp;apos;s Hospital, Knowledge  Translation Program. 209 Victoria Street, Toronto, Ontario, Canada, M5B 1W8;  Keenan Research Centre of LKSKI of St. Michael&amp;apos;s Hospital, 209 Victoria Street,  Toronto, Ontario, Canada, M5B 1W8.; Li Ka Shing Knowledge Institute (LKSKI) of St. Michael&amp;apos;s Hospital, Knowledge  Translation Program. 209 Victoria Street, Toronto, Ontario, Canada, M5B 1W8.; Department of Oncology, Escarpment Cancer Research Institute, McMaster  University, 699 Concession Street, Hamilton, Ontario, L8V 5C2.; Strategic Policy, Planning &amp;amp; Initiatives, Health Services, Region of Peel, 10  Peel Centre Drive, 2nd Floor, Brampton, Ontario, Canada, L6T 4B9.; Department of Oncology, Escarpment Cancer Research Institute, McMaster  University, 699 Concession Street, Hamilton, Ontario, L8V 5C2.; Li Ka Shing Knowledge Institute (LKSKI) of St. Michael&amp;apos;s Hospital, Knowledge  Translation Program. 209 Victoria Street, Toronto, Ontario, Canada, M5B 1W8.; Li Ka Shing Knowledge Institute (LKSKI) of St. Michael&amp;apos;s Hospital, Knowledge  Translation Program. 209 Victoria Street, Toronto, Ontario, Canada, M5B 1W8;  Continuing Education and Professional Development, Faculty of Medicine,  University of Toronto, 500 University Avenue, Suite 650, Toronto, Ontario,  Canada, M5G 1V7.; Department of Epidemiology and Community Medicine, Ottawa Hospital Research  Institute, University of Ottawa, 725 Parkdale Avenue, Ottawa, Ontario, Canada K1Y  4E9.; Li Ka Shing Knowledge Institute (LKSKI) of St. Michael&amp;apos;s Hospital, Knowledge  Translation Program. 209 Victoria Street, Toronto, Ontario, Canada, M5B 1W8;  Keenan Research Centre of LKSKI of St. Michael&amp;apos;s Hospital, 209 Victoria Street,  Toronto, Ontario, Canada, M5B 1W8; Faculty of Medicine, University of Toronto,  563 Spadina Crescent, Toronto, Ontario, Canada, M5S 2J7.; Department of Family Medicine, Schulich School of Medicine and Dentistry, Western  University, Clinical Skills Building, London, Ontario, Canada, N6A 5C1.; Department of Oncology, Escarpment Cancer Research Institute, McMaster  University, 699 Concession Street, Hamilton, Ontario, L8V 5C2.&lt;/_author_adr&gt;&lt;_collection_scope&gt;SCI;SCIE&lt;/_collection_scope&gt;&lt;_created&gt;64570150&lt;/_created&gt;&lt;_date&gt;2015-05-01&lt;/_date&gt;&lt;_date_display&gt;2015 May&lt;/_date_display&gt;&lt;_doi&gt;10.1016/j.jclinepi.2014.12.013&lt;/_doi&gt;&lt;_impact_factor&gt;   7.407&lt;/_impact_factor&gt;&lt;_isbn&gt;1878-5921 (Electronic); 0895-4356 (Linking)&lt;/_isbn&gt;&lt;_issue&gt;5&lt;/_issue&gt;&lt;_journal&gt;J Clin Epidemiol&lt;/_journal&gt;&lt;_keywords&gt;Clinical practice guideline; Guideline adherence; Guideline implementability; Realist review; Systematic review&lt;/_keywords&gt;&lt;_language&gt;eng&lt;/_language&gt;&lt;_modified&gt;65112440&lt;/_modified&gt;&lt;_ori_publication&gt;Copyright © 2015 The Authors. Published by Elsevier Inc. All rights reserved.&lt;/_ori_publication&gt;&lt;_pages&gt;498-509&lt;/_pages&gt;&lt;_subject_headings&gt;*Guideline Adherence; Humans; *Practice Guidelines as Topic; Translational Research, Biomedical&lt;/_subject_headings&gt;&lt;_tertiary_title&gt;Journal of clinical epidemi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5684154&amp;amp;query_hl=1&lt;/_url&gt;&lt;_volume&gt;68&lt;/_volume&gt;&lt;/Details&gt;&lt;Extra&gt;&lt;DBUID&gt;{6AB36283-087A-4FAE-AF71-70154664414F}&lt;/DBUID&gt;&lt;/Extra&gt;&lt;/Item&gt;&lt;/References&gt;&lt;/Group&gt;&lt;/Citation&gt;_x000a_"/>
    <w:docVar w:name="NE.Ref{E7C5D90D-6934-49A6-9272-56695EA7BB07}" w:val=" ADDIN NE.Ref.{E7C5D90D-6934-49A6-9272-56695EA7BB07}&lt;Citation&gt;&lt;Group&gt;&lt;References&gt;&lt;Item&gt;&lt;ID&gt;5597&lt;/ID&gt;&lt;UID&gt;{CBF202EA-8539-4EA0-8E14-5BC4EAAD430D}&lt;/UID&gt;&lt;Title&gt;Guideline uptake is influenced by six implementability domains for creating and  communicating guidelines: a realist review&lt;/Title&gt;&lt;Template&gt;Journal Article&lt;/Template&gt;&lt;Star&gt;1&lt;/Star&gt;&lt;Tag&gt;0&lt;/Tag&gt;&lt;Author&gt;Kastner, M; Bhattacharyya, O; Hayden, L; Makarski, J; Estey, E; Durocher, L; Chatterjee, A; Perrier, L; Graham, I D; Straus, S E; Zwarenstein, M; Brouwers, M&lt;/Author&gt;&lt;Year&gt;2015&lt;/Year&gt;&lt;Details&gt;&lt;_accession_num&gt;25684154&lt;/_accession_num&gt;&lt;_author_adr&gt;Li Ka Shing Knowledge Institute (LKSKI) of St. Michael&amp;apos;s Hospital, Knowledge  Translation Program. 209 Victoria Street, Toronto, Ontario, Canada, M5B 1W8.  Electronic address: monika.kastner@utoronto.ca.; Li Ka Shing Knowledge Institute (LKSKI) of St. Michael&amp;apos;s Hospital, Knowledge  Translation Program. 209 Victoria Street, Toronto, Ontario, Canada, M5B 1W8;  Keenan Research Centre of LKSKI of St. Michael&amp;apos;s Hospital, 209 Victoria Street,  Toronto, Ontario, Canada, M5B 1W8.; Li Ka Shing Knowledge Institute (LKSKI) of St. Michael&amp;apos;s Hospital, Knowledge  Translation Program. 209 Victoria Street, Toronto, Ontario, Canada, M5B 1W8.; Department of Oncology, Escarpment Cancer Research Institute, McMaster  University, 699 Concession Street, Hamilton, Ontario, L8V 5C2.; Strategic Policy, Planning &amp;amp; Initiatives, Health Services, Region of Peel, 10  Peel Centre Drive, 2nd Floor, Brampton, Ontario, Canada, L6T 4B9.; Department of Oncology, Escarpment Cancer Research Institute, McMaster  University, 699 Concession Street, Hamilton, Ontario, L8V 5C2.; Li Ka Shing Knowledge Institute (LKSKI) of St. Michael&amp;apos;s Hospital, Knowledge  Translation Program. 209 Victoria Street, Toronto, Ontario, Canada, M5B 1W8.; Li Ka Shing Knowledge Institute (LKSKI) of St. Michael&amp;apos;s Hospital, Knowledge  Translation Program. 209 Victoria Street, Toronto, Ontario, Canada, M5B 1W8;  Continuing Education and Professional Development, Faculty of Medicine,  University of Toronto, 500 University Avenue, Suite 650, Toronto, Ontario,  Canada, M5G 1V7.; Department of Epidemiology and Community Medicine, Ottawa Hospital Research  Institute, University of Ottawa, 725 Parkdale Avenue, Ottawa, Ontario, Canada K1Y  4E9.; Li Ka Shing Knowledge Institute (LKSKI) of St. Michael&amp;apos;s Hospital, Knowledge  Translation Program. 209 Victoria Street, Toronto, Ontario, Canada, M5B 1W8;  Keenan Research Centre of LKSKI of St. Michael&amp;apos;s Hospital, 209 Victoria Street,  Toronto, Ontario, Canada, M5B 1W8; Faculty of Medicine, University of Toronto,  563 Spadina Crescent, Toronto, Ontario, Canada, M5S 2J7.; Department of Family Medicine, Schulich School of Medicine and Dentistry, Western  University, Clinical Skills Building, London, Ontario, Canada, N6A 5C1.; Department of Oncology, Escarpment Cancer Research Institute, McMaster  University, 699 Concession Street, Hamilton, Ontario, L8V 5C2.&lt;/_author_adr&gt;&lt;_collection_scope&gt;SCI;SCIE&lt;/_collection_scope&gt;&lt;_created&gt;64570150&lt;/_created&gt;&lt;_date&gt;2015-05-01&lt;/_date&gt;&lt;_date_display&gt;2015 May&lt;/_date_display&gt;&lt;_doi&gt;10.1016/j.jclinepi.2014.12.013&lt;/_doi&gt;&lt;_impact_factor&gt;   7.407&lt;/_impact_factor&gt;&lt;_isbn&gt;1878-5921 (Electronic); 0895-4356 (Linking)&lt;/_isbn&gt;&lt;_issue&gt;5&lt;/_issue&gt;&lt;_journal&gt;J Clin Epidemiol&lt;/_journal&gt;&lt;_keywords&gt;Clinical practice guideline; Guideline adherence; Guideline implementability; Realist review; Systematic review&lt;/_keywords&gt;&lt;_language&gt;eng&lt;/_language&gt;&lt;_modified&gt;65112440&lt;/_modified&gt;&lt;_ori_publication&gt;Copyright © 2015 The Authors. Published by Elsevier Inc. All rights reserved.&lt;/_ori_publication&gt;&lt;_pages&gt;498-509&lt;/_pages&gt;&lt;_subject_headings&gt;*Guideline Adherence; Humans; *Practice Guidelines as Topic; Translational Research, Biomedical&lt;/_subject_headings&gt;&lt;_tertiary_title&gt;Journal of clinical epidemi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5684154&amp;amp;query_hl=1&lt;/_url&gt;&lt;_volume&gt;68&lt;/_volume&gt;&lt;/Details&gt;&lt;Extra&gt;&lt;DBUID&gt;{6AB36283-087A-4FAE-AF71-70154664414F}&lt;/DBUID&gt;&lt;/Extra&gt;&lt;/Item&gt;&lt;/References&gt;&lt;/Group&gt;&lt;/Citation&gt;_x000a_"/>
    <w:docVar w:name="NE.Ref{F09CB70F-D42E-4CF7-8B06-6C93B2A09E35}" w:val=" ADDIN NE.Ref.{F09CB70F-D42E-4CF7-8B06-6C93B2A09E35}&lt;Citation&gt;&lt;Group&gt;&lt;References&gt;&lt;Item&gt;&lt;ID&gt;5620&lt;/ID&gt;&lt;UID&gt;{8263BA07-C262-4948-9845-AB6DDD928DAD}&lt;/UID&gt;&lt;Title&gt;Development and Validation of a Tool to Assess the Quality of Clinical Practice  Guideline Recommendations&lt;/Title&gt;&lt;Template&gt;Journal Article&lt;/Template&gt;&lt;Star&gt;1&lt;/Star&gt;&lt;Tag&gt;0&lt;/Tag&gt;&lt;Author&gt;Brouwers, M C; Spithoff, K; Kerkvliet, K; Alonso-Coello, P; Burgers, J; Cluzeau, F; Férvers, B; Graham, I; Grimshaw, J; Hanna, S; Kastner, M; Kho, M; Qaseem, A; Straus, S; Florez, I D&lt;/Author&gt;&lt;Year&gt;2020&lt;/Year&gt;&lt;Details&gt;&lt;_accession_num&gt;32459354&lt;/_accession_num&gt;&lt;_author_adr&gt;University of Ottawa, Ottawa, Ontario, Canada.; McMaster University, Hamilton, Ontario, Canada.; McMaster University, Hamilton, Ontario, Canada.; Iberoamerican Cochrane Centre, Biomedical Research Institute Sant Pau (IIB Sant  Pau-CIBERESP), Barcelona, Spain.; Dutch College of General Practitioners, Utrecht, the Netherlands.; Imperial College London, St Mary&amp;apos;s Hospital, London, United Kingdom.; Département Cancer et Environnement, Centre Léon Bérard, Lyon Cedex 08, France.; Ottawa Hospital Research Institute, University of Ottawa, Ottawa, Ontario,  Canada.; Ottawa Hospital Research Institute, University of Ottawa, Ottawa, Ontario,  Canada.; McMaster University, Hamilton, Ontario, Canada.; North York General Hospital, Toronto, Ontario, Canada.; Institute of Applied Health Sciences, McMaster University, Hamilton, Ontario,  Canada.; American College of Physicians, Philadelphia, Pennsylvania.; Li Ka Shing Knowledge Institute of St. Michael&amp;apos;s Hospital, Toronto, Ontario,  Canada.; Department of Pediatrics, University of Antioquia, Medellín, Colombia.&lt;/_author_adr&gt;&lt;_created&gt;64570150&lt;/_created&gt;&lt;_date&gt;2020-05-01&lt;/_date&gt;&lt;_date_display&gt;2020 May 1&lt;/_date_display&gt;&lt;_doi&gt;10.1001/jamanetworkopen.2020.5535&lt;/_doi&gt;&lt;_impact_factor&gt;  13.353&lt;/_impact_factor&gt;&lt;_isbn&gt;2574-3805 (Electronic); 2574-3805 (Linking)&lt;/_isbn&gt;&lt;_issue&gt;5&lt;/_issue&gt;&lt;_journal&gt;JAMA Netw Open&lt;/_journal&gt;&lt;_language&gt;eng&lt;/_language&gt;&lt;_modified&gt;64570238&lt;/_modified&gt;&lt;_pages&gt;e205535&lt;/_pages&gt;&lt;_subject_headings&gt;Adult; Cross-Sectional Studies; Female; Health Policy; Humans; Male; Middle Aged; Practice Guidelines as Topic/*standards; Quality Assurance, Health Care/*methods/standards; Reproducibility of Results; Stakeholder Participation&lt;/_subject_headings&gt;&lt;_tertiary_title&gt;JAMA network open&lt;/_tertiary_title&gt;&lt;_type_work&gt;Journal Article; Research Support, Non-U.S. Gov&amp;apos;t&lt;/_type_work&gt;&lt;_url&gt;http://www.ncbi.nlm.nih.gov/entrez/query.fcgi?cmd=Retrieve&amp;amp;db=pubmed&amp;amp;dopt=Abstract&amp;amp;list_uids=32459354&amp;amp;query_hl=1&lt;/_url&gt;&lt;_volume&gt;3&lt;/_volume&gt;&lt;/Details&gt;&lt;Extra&gt;&lt;DBUID&gt;{6AB36283-087A-4FAE-AF71-70154664414F}&lt;/DBUID&gt;&lt;/Extra&gt;&lt;/Item&gt;&lt;/References&gt;&lt;/Group&gt;&lt;/Citation&gt;_x000a_"/>
    <w:docVar w:name="NE.Ref{F75131CF-FD61-48FC-8FCE-08D50C2E86F4}" w:val=" ADDIN NE.Ref.{F75131CF-FD61-48FC-8FCE-08D50C2E86F4}&lt;Citation&gt;&lt;Group&gt;&lt;References&gt;&lt;Item&gt;&lt;ID&gt;32455&lt;/ID&gt;&lt;UID&gt;{381D5A2C-40A9-46D3-92DB-C0B665C8933E}&lt;/UID&gt;&lt;Title&gt;A new scale for the evaluation of clinical practice guidelines applicability:  development and appraisal&lt;/Title&gt;&lt;Template&gt;Journal Article&lt;/Template&gt;&lt;Star&gt;0&lt;/Star&gt;&lt;Tag&gt;0&lt;/Tag&gt;&lt;Author&gt;Li, H; Xie, R; Wang, Y; Xie, X; Deng, J; Lu, C&lt;/Author&gt;&lt;Year&gt;2018&lt;/Year&gt;&lt;Details&gt;&lt;_accession_num&gt;29695274&lt;/_accession_num&gt;&lt;_author_adr&gt;Department of Standardization of Chinese Medicine, The Second Affiliated Hospital  of Guangzhou University of Chinese Medicine, Guangzhou, Guangdong, China.  lihuitcm@126.com.; Department of Standardization of Traditional Chinese Medicine, Guangdong  Provincial Hospital of Chinese Medicine, Guangzhou, Guangdong, China.  lihuitcm@126.com.; Engineering and Technology Research Center of Standardization of Traditional  Chinese Medicine, Guangzhou, Guangdong, China. lihuitcm@126.com.; Department of Standardization of Chinese Medicine, The Second Affiliated Hospital  of Guangzhou University of Chinese Medicine, Guangzhou, Guangdong, China.; Department of Standardization of Traditional Chinese Medicine, Guangdong  Provincial Hospital of Chinese Medicine, Guangzhou, Guangdong, China.; Engineering and Technology Research Center of Standardization of Traditional  Chinese Medicine, Guangzhou, Guangdong, China.; Department of Standardization of Chinese Medicine, The Second Affiliated Hospital  of Guangzhou University of Chinese Medicine, Guangzhou, Guangdong, China.; Department of Standardization of Traditional Chinese Medicine, Guangdong  Provincial Hospital of Chinese Medicine, Guangzhou, Guangdong, China.; Engineering and Technology Research Center of Standardization of Traditional  Chinese Medicine, Guangzhou, Guangdong, China.; Department of Standardization of Chinese Medicine, The Second Affiliated Hospital  of Guangzhou University of Chinese Medicine, Guangzhou, Guangdong, China.; Department of Standardization of Traditional Chinese Medicine, Guangdong  Provincial Hospital of Chinese Medicine, Guangzhou, Guangdong, China.; Engineering and Technology Research Center of Standardization of Traditional  Chinese Medicine, Guangzhou, Guangdong, China.; Department of Standardization of Chinese Medicine, The Second Affiliated Hospital  of Guangzhou University of Chinese Medicine, Guangzhou, Guangdong, China.; Department of Standardization of Traditional Chinese Medicine, Guangdong  Provincial Hospital of Chinese Medicine, Guangzhou, Guangdong, China.; Engineering and Technology Research Center of Standardization of Traditional  Chinese Medicine, Guangzhou, Guangdong, China.; Department of Standardization of Chinese Medicine, The Second Affiliated Hospital  of Guangzhou University of Chinese Medicine, Guangzhou, Guangdong, China.; Department of Standardization of Traditional Chinese Medicine, Guangdong  Provincial Hospital of Chinese Medicine, Guangzhou, Guangdong, China.; Engineering and Technology Research Center of Standardization of Traditional  Chinese Medicine, Guangzhou, Guangdong, China.&lt;/_author_adr&gt;&lt;_date_display&gt;2018 Apr 25&lt;/_date_display&gt;&lt;_date&gt;2018-04-25&lt;/_date&gt;&lt;_doi&gt;10.1186/s13012-018-0746-5&lt;/_doi&gt;&lt;_isbn&gt;1748-5908 (Electronic); 1748-5908 (Linking)&lt;/_isbn&gt;&lt;_issue&gt;1&lt;/_issue&gt;&lt;_journal&gt;Implement Sci&lt;/_journal&gt;&lt;_keywords&gt;Applicability; Clinical practice guideline (CPG); Scale evaluation&lt;/_keywords&gt;&lt;_language&gt;eng&lt;/_language&gt;&lt;_pages&gt;61&lt;/_pages&gt;&lt;_subject_headings&gt;Evidence-Based Medicine/*standards; Health Services Research/methods; Humans; Physicians; Practice Guidelines as Topic/*standards; Practice Patterns, Physicians&amp;apos;/*standards; Program Development; Program Evaluation; Psychometrics/instrumentation; *Quality Indicators, Health Care; Reproducibility of Results; Surveys and Questionnaires/*standards&lt;/_subject_headings&gt;&lt;_tertiary_title&gt;Implementation science : IS&lt;/_tertiary_title&gt;&lt;_type_work&gt;Journal Article; Research Support, Non-U.S. Gov&amp;apos;t&lt;/_type_work&gt;&lt;_url&gt;http://www.ncbi.nlm.nih.gov/entrez/query.fcgi?cmd=Retrieve&amp;amp;db=pubmed&amp;amp;dopt=Abstract&amp;amp;list_uids=29695274&amp;amp;query_hl=1&lt;/_url&gt;&lt;_volume&gt;13&lt;/_volume&gt;&lt;_created&gt;65584406&lt;/_created&gt;&lt;_modified&gt;65584406&lt;/_modified&gt;&lt;_impact_factor&gt;   7.960&lt;/_impact_factor&gt;&lt;_collection_scope&gt;SCI;SCIE;SSCI&lt;/_collection_scope&gt;&lt;/Details&gt;&lt;Extra&gt;&lt;DBUID&gt;{6AB36283-087A-4FAE-AF71-70154664414F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53B12B3"/>
    <w:rsid w:val="0EF12AE6"/>
    <w:rsid w:val="11022DF6"/>
    <w:rsid w:val="11C568AA"/>
    <w:rsid w:val="12754A43"/>
    <w:rsid w:val="1BF9122C"/>
    <w:rsid w:val="1DC81175"/>
    <w:rsid w:val="208539D6"/>
    <w:rsid w:val="21915318"/>
    <w:rsid w:val="2C79218C"/>
    <w:rsid w:val="2C7A6D71"/>
    <w:rsid w:val="2D1A13C3"/>
    <w:rsid w:val="32C263C3"/>
    <w:rsid w:val="3A57194C"/>
    <w:rsid w:val="3BDE7ACC"/>
    <w:rsid w:val="3CB05590"/>
    <w:rsid w:val="441B5933"/>
    <w:rsid w:val="46405C1F"/>
    <w:rsid w:val="512E02BD"/>
    <w:rsid w:val="57C03469"/>
    <w:rsid w:val="61876778"/>
    <w:rsid w:val="66E14139"/>
    <w:rsid w:val="670A45FF"/>
    <w:rsid w:val="6A2D7FEB"/>
    <w:rsid w:val="729F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1315</Words>
  <Characters>8455</Characters>
  <Lines>0</Lines>
  <Paragraphs>0</Paragraphs>
  <TotalTime>0</TotalTime>
  <ScaleCrop>false</ScaleCrop>
  <LinksUpToDate>false</LinksUpToDate>
  <CharactersWithSpaces>9534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2024-09-09T07:04:00Z</dcterms:created>
  <dc:creator>钟冬梅</dc:creator>
  <cp:lastModifiedBy>钟冬梅</cp:lastModifiedBy>
  <dcterms:modified xsi:type="dcterms:W3CDTF">2025-02-28T14:23:56Z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88B932864B654F95AAC3A285F908E23A_13</vt:lpwstr>
  </property>
  <property fmtid="{D5CDD505-2E9C-101B-9397-08002B2CF9AE}" pid="4" name="KSOTemplateDocerSaveRecord">
    <vt:lpwstr>eyJoZGlkIjoiNDI1NGQ4MDY4NjMxYWVlMzc3ODM2NDE0MmU1ODUxYzYiLCJ1c2VySWQiOiI1MDcxMTM0OTUifQ==</vt:lpwstr>
  </property>
</Properties>
</file>