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4E595">
      <w:pPr>
        <w:spacing w:after="0" w:line="240" w:lineRule="auto"/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Supplementa</w:t>
      </w:r>
      <w:r>
        <w:rPr>
          <w:rFonts w:hint="eastAsia" w:cs="Times New Roman"/>
          <w:b/>
          <w:bCs/>
          <w:sz w:val="28"/>
          <w:szCs w:val="28"/>
          <w:lang w:val="en-US" w:eastAsia="zh-CN"/>
        </w:rPr>
        <w:t>l Data</w:t>
      </w:r>
    </w:p>
    <w:p w14:paraId="220E7137">
      <w:pPr>
        <w:spacing w:after="0"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Figure 1: Abnormal Changes in the Middle Cerebral Arteries of Moyamoya Disease Patients.</w:t>
      </w:r>
    </w:p>
    <w:p w14:paraId="56375B01">
      <w:pPr>
        <w:spacing w:after="0" w:line="240" w:lineRule="auto"/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4817110" cy="4890135"/>
            <wp:effectExtent l="0" t="0" r="13970" b="1905"/>
            <wp:docPr id="1" name="图片 1" descr="s-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-Fig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7110" cy="489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A1EC1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eastAsia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) A comparative differential expression analysis between the middle cerebral arteries of moyamoya disease patients and normal controls. (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 Functional enrichment analysis of the 310 upregulated genes in the middle cerebral arteries of moyamoya disease patients. (</w:t>
      </w:r>
      <w:r>
        <w:rPr>
          <w:rFonts w:hint="eastAsia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) Functional enrichment analysis of the 377 downregulated genes in the middle cerebral arteries of moyamoya disease patients. (</w:t>
      </w:r>
      <w:r>
        <w:rPr>
          <w:rFonts w:hint="eastAsia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</w:rPr>
        <w:t>) Differential expression of various immune cell markers between the middle cerebral arteries of moyamoya disease patients and controls.</w:t>
      </w:r>
    </w:p>
    <w:p w14:paraId="481A8870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47D1C6B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EAB076D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55830D7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F640860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97438E0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670954B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3BB48B6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123EDC4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DD59964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1278CE6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3B5A9D5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CF0FE9D">
      <w:pPr>
        <w:spacing w:after="0"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Supplementary Figure 2: Peripheral Blood Single-Cell Data Preprocessing and Overview of Information. </w:t>
      </w:r>
    </w:p>
    <w:p w14:paraId="64AC311B">
      <w:pPr>
        <w:spacing w:after="0" w:line="240" w:lineRule="auto"/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4814570" cy="5280025"/>
            <wp:effectExtent l="0" t="0" r="1270" b="8255"/>
            <wp:docPr id="2" name="图片 2" descr="s-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-Fig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528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4A348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eastAsia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) Violin plots display the expression levels of UMI, Feature, and mitochondrial gene expression after quality control for each sample. (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 Feature plots illustrate the annotation markers for various cell types. (</w:t>
      </w:r>
      <w:r>
        <w:rPr>
          <w:rFonts w:hint="eastAsia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) Absolute and relative proportions of various cell types across samples.</w:t>
      </w:r>
    </w:p>
    <w:p w14:paraId="23D8B742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9F80649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194399D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8E74239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057582D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1F68CA6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02F40D2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CA08F1D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383109F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8DBBBFC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92B760C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BD4E8F3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7079597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90D65CF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A0D9027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Figure 3: Analysis of Monocytes in Peripheral Blood in Pulmonary Artery Hypertension and Atherosclerosis.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 w14:paraId="277D20F4">
      <w:pPr>
        <w:spacing w:after="0" w:line="240" w:lineRule="auto"/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4813300" cy="1934210"/>
            <wp:effectExtent l="0" t="0" r="2540" b="1270"/>
            <wp:docPr id="3" name="图片 3" descr="s-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-Fig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B17FF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eastAsia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) and (</w:t>
      </w:r>
      <w:r>
        <w:rPr>
          <w:rFonts w:hint="eastAsia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</w:rPr>
        <w:t>) Single-cell transcriptomic data from peripheral blood in patients with pulmonary artery hypertension and atherosclerosis. (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 and (</w:t>
      </w:r>
      <w:r>
        <w:rPr>
          <w:rFonts w:hint="eastAsia" w:cs="Times New Roman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>) Identification of heterogeneity in monocytes from peripheral blood in pulmonary artery hypertension and atherosclerosis. (</w:t>
      </w:r>
      <w:r>
        <w:rPr>
          <w:rFonts w:hint="eastAsia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) and (</w:t>
      </w:r>
      <w:r>
        <w:rPr>
          <w:rFonts w:hint="eastAsia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) Relative proportions of various monocyte subtypes in control and disease groups, including pulmonary artery hypertension or atherosclerosis.</w:t>
      </w:r>
    </w:p>
    <w:p w14:paraId="7106FB5C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ED54D64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52011AE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D8FD834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53E580E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9C4A2EB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2334EC1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61581BD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98EEB70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5F0D1E3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B130CA3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E58A038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86E4E65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7D3FD89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562B163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1F000ED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C4E1F5B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4ADD3EA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3ED685D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211D137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FAD18E5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C1145E9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017CFE6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9C598D9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B7ADD45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563EE1A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8EE5C03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D54BC4C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C2E1B39">
      <w:p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3E5F148">
      <w:pPr>
        <w:spacing w:after="0"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Supplementary Figure 4: Single-Cell Analysis of Peripheral Blood T/NK Cells in Normal Controls and Moyamoya Disease Patients. </w:t>
      </w:r>
    </w:p>
    <w:p w14:paraId="27843A3D">
      <w:pPr>
        <w:spacing w:after="0" w:line="240" w:lineRule="auto"/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4813935" cy="4526915"/>
            <wp:effectExtent l="0" t="0" r="1905" b="14605"/>
            <wp:docPr id="4" name="图片 4" descr="s-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-Fig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3935" cy="452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13916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(A)</w:t>
      </w:r>
      <w:r>
        <w:rPr>
          <w:rFonts w:hint="default" w:ascii="Times New Roman" w:hAnsi="Times New Roman" w:cs="Times New Roman"/>
          <w:sz w:val="24"/>
          <w:szCs w:val="24"/>
        </w:rPr>
        <w:t>UMAP visualization of T/NK cell clustering in peripheral blood from normal and moyamoya disease groups. (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 Highly expressed genes across various T/NK cell subsets. (</w:t>
      </w:r>
      <w:r>
        <w:rPr>
          <w:rFonts w:hint="eastAsia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) Heatmap of transcriptional pattern correlations among T/NK cell subsets. (</w:t>
      </w:r>
      <w:r>
        <w:rPr>
          <w:rFonts w:hint="eastAsia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</w:rPr>
        <w:t>) Relative quantity differences of T/NK cell subsets between normal and moyamoya disease groups. (</w:t>
      </w:r>
      <w:r>
        <w:rPr>
          <w:rFonts w:hint="eastAsia" w:cs="Times New Roman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>) GO enrichment analysis for highly expressed genes specific to each T/NK cell subset. (</w:t>
      </w:r>
      <w:r>
        <w:rPr>
          <w:rFonts w:hint="eastAsia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) Specific activated transcription factors characteristic of various T/NK cell subsets.</w:t>
      </w:r>
    </w:p>
    <w:p w14:paraId="21BC59FF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6D97ADF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97142D2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19E77A4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AEDF475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716CAF3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54AB87D6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FEE21E6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9822813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3AAEC3C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BCCC884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2A0CA22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1FEDD9F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20EF0102">
      <w:pPr>
        <w:numPr>
          <w:ilvl w:val="0"/>
          <w:numId w:val="0"/>
        </w:numPr>
        <w:spacing w:after="0" w:line="24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1AD7CCBF">
      <w:pPr>
        <w:spacing w:after="0"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Supplementary Figure 5: Single-Cell Analysis of Peripheral Blood B Cells in Normal and Moyamoya Disease Groups. </w:t>
      </w:r>
    </w:p>
    <w:p w14:paraId="4ABEC08E">
      <w:pPr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4811395" cy="5615940"/>
            <wp:effectExtent l="0" t="0" r="4445" b="7620"/>
            <wp:docPr id="5" name="图片 5" descr="s-Fi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-Fig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561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EB76D"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(A)</w:t>
      </w:r>
      <w:r>
        <w:rPr>
          <w:rFonts w:hint="default" w:ascii="Times New Roman" w:hAnsi="Times New Roman" w:cs="Times New Roman"/>
          <w:sz w:val="24"/>
          <w:szCs w:val="24"/>
        </w:rPr>
        <w:t>UMAP visualization of peripheral blood B cell clustering in normal and moyamoya disease groups. (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 Highly expressed genes in various B cell subsets. (</w:t>
      </w:r>
      <w:r>
        <w:rPr>
          <w:rFonts w:hint="eastAsia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) Heatmap of transcriptional pattern correlations across B cell subsets. (</w:t>
      </w:r>
      <w:r>
        <w:rPr>
          <w:rFonts w:hint="eastAsia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</w:rPr>
        <w:t>) Relative quantity differences of various B cell subsets between normal and moyamoya disease groups. (</w:t>
      </w:r>
      <w:r>
        <w:rPr>
          <w:rFonts w:hint="eastAsia" w:cs="Times New Roman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>) GO enrichment analysis of highly expressed genes specific to each B cell subset. (</w:t>
      </w:r>
      <w:r>
        <w:rPr>
          <w:rFonts w:hint="eastAsia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) Specific activated transcription factors in various B cell subsets.</w:t>
      </w:r>
    </w:p>
    <w:p w14:paraId="7056488B">
      <w:pPr>
        <w:numPr>
          <w:numId w:val="0"/>
        </w:numPr>
        <w:rPr>
          <w:rFonts w:hint="default" w:ascii="Times New Roman" w:hAnsi="Times New Roman" w:cs="Times New Roman"/>
          <w:sz w:val="24"/>
          <w:szCs w:val="24"/>
        </w:rPr>
      </w:pPr>
    </w:p>
    <w:p w14:paraId="098E73D3">
      <w:pPr>
        <w:numPr>
          <w:numId w:val="0"/>
        </w:numPr>
        <w:rPr>
          <w:rFonts w:hint="default" w:ascii="Times New Roman" w:hAnsi="Times New Roman" w:cs="Times New Roman"/>
          <w:sz w:val="24"/>
          <w:szCs w:val="24"/>
        </w:rPr>
      </w:pPr>
    </w:p>
    <w:p w14:paraId="761999E1">
      <w:pPr>
        <w:numPr>
          <w:numId w:val="0"/>
        </w:numPr>
        <w:rPr>
          <w:rFonts w:hint="default" w:ascii="Times New Roman" w:hAnsi="Times New Roman" w:cs="Times New Roman"/>
          <w:sz w:val="24"/>
          <w:szCs w:val="24"/>
        </w:rPr>
      </w:pPr>
    </w:p>
    <w:p w14:paraId="1D20FA00">
      <w:pPr>
        <w:numPr>
          <w:numId w:val="0"/>
        </w:numPr>
        <w:rPr>
          <w:rFonts w:hint="default" w:ascii="Times New Roman" w:hAnsi="Times New Roman" w:cs="Times New Roman"/>
          <w:sz w:val="24"/>
          <w:szCs w:val="24"/>
        </w:rPr>
      </w:pPr>
    </w:p>
    <w:p w14:paraId="75916362">
      <w:pPr>
        <w:numPr>
          <w:numId w:val="0"/>
        </w:num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lang w:val="en-US" w:eastAsia="zh-CN"/>
        </w:rPr>
        <w:t>Supplementary table 1: Characteristics of the study population of 6 patients with MMD patients</w:t>
      </w:r>
      <w:bookmarkStart w:id="0" w:name="_GoBack"/>
      <w:bookmarkEnd w:id="0"/>
    </w:p>
    <w:tbl>
      <w:tblPr>
        <w:tblStyle w:val="3"/>
        <w:tblW w:w="7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653"/>
        <w:gridCol w:w="2653"/>
        <w:gridCol w:w="2653"/>
      </w:tblGrid>
      <w:tr w14:paraId="41B8D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8" w:hRule="atLeast"/>
        </w:trPr>
        <w:tc>
          <w:tcPr>
            <w:tcW w:w="2653" w:type="dxa"/>
            <w:vAlign w:val="center"/>
          </w:tcPr>
          <w:p w14:paraId="30CEA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</w:t>
            </w:r>
          </w:p>
        </w:tc>
        <w:tc>
          <w:tcPr>
            <w:tcW w:w="2653" w:type="dxa"/>
            <w:shd w:val="clear"/>
            <w:vAlign w:val="center"/>
          </w:tcPr>
          <w:p w14:paraId="3836F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</w:t>
            </w:r>
          </w:p>
        </w:tc>
        <w:tc>
          <w:tcPr>
            <w:tcW w:w="2653" w:type="dxa"/>
            <w:vAlign w:val="center"/>
          </w:tcPr>
          <w:p w14:paraId="5593A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</w:tr>
      <w:tr w14:paraId="3E3DF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8" w:hRule="atLeast"/>
        </w:trPr>
        <w:tc>
          <w:tcPr>
            <w:tcW w:w="2653" w:type="dxa"/>
            <w:vAlign w:val="center"/>
          </w:tcPr>
          <w:p w14:paraId="7AED4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P1</w:t>
            </w:r>
          </w:p>
        </w:tc>
        <w:tc>
          <w:tcPr>
            <w:tcW w:w="2653" w:type="dxa"/>
            <w:vAlign w:val="center"/>
          </w:tcPr>
          <w:p w14:paraId="76C89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2653" w:type="dxa"/>
            <w:vAlign w:val="center"/>
          </w:tcPr>
          <w:p w14:paraId="3978A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 w14:paraId="3E72F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8" w:hRule="atLeast"/>
        </w:trPr>
        <w:tc>
          <w:tcPr>
            <w:tcW w:w="2653" w:type="dxa"/>
            <w:vAlign w:val="center"/>
          </w:tcPr>
          <w:p w14:paraId="78F20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P2</w:t>
            </w:r>
          </w:p>
        </w:tc>
        <w:tc>
          <w:tcPr>
            <w:tcW w:w="2653" w:type="dxa"/>
            <w:vAlign w:val="center"/>
          </w:tcPr>
          <w:p w14:paraId="30A18A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2653" w:type="dxa"/>
            <w:vAlign w:val="center"/>
          </w:tcPr>
          <w:p w14:paraId="10E0D3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</w:tr>
      <w:tr w14:paraId="09EB2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8" w:hRule="atLeast"/>
        </w:trPr>
        <w:tc>
          <w:tcPr>
            <w:tcW w:w="2653" w:type="dxa"/>
            <w:vAlign w:val="center"/>
          </w:tcPr>
          <w:p w14:paraId="6B2A7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P3</w:t>
            </w:r>
          </w:p>
        </w:tc>
        <w:tc>
          <w:tcPr>
            <w:tcW w:w="2653" w:type="dxa"/>
            <w:vAlign w:val="center"/>
          </w:tcPr>
          <w:p w14:paraId="736396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2653" w:type="dxa"/>
            <w:vAlign w:val="center"/>
          </w:tcPr>
          <w:p w14:paraId="1F6D5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</w:tr>
      <w:tr w14:paraId="5F11C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8" w:hRule="atLeast"/>
        </w:trPr>
        <w:tc>
          <w:tcPr>
            <w:tcW w:w="2653" w:type="dxa"/>
            <w:vAlign w:val="center"/>
          </w:tcPr>
          <w:p w14:paraId="0DBEC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P4</w:t>
            </w:r>
          </w:p>
        </w:tc>
        <w:tc>
          <w:tcPr>
            <w:tcW w:w="2653" w:type="dxa"/>
            <w:vAlign w:val="center"/>
          </w:tcPr>
          <w:p w14:paraId="74441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2653" w:type="dxa"/>
            <w:vAlign w:val="center"/>
          </w:tcPr>
          <w:p w14:paraId="2D7A2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 w14:paraId="49C7F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8" w:hRule="atLeast"/>
        </w:trPr>
        <w:tc>
          <w:tcPr>
            <w:tcW w:w="2653" w:type="dxa"/>
            <w:vAlign w:val="center"/>
          </w:tcPr>
          <w:p w14:paraId="1C82DA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P5</w:t>
            </w:r>
          </w:p>
        </w:tc>
        <w:tc>
          <w:tcPr>
            <w:tcW w:w="2653" w:type="dxa"/>
            <w:vAlign w:val="center"/>
          </w:tcPr>
          <w:p w14:paraId="6FC13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2653" w:type="dxa"/>
            <w:vAlign w:val="center"/>
          </w:tcPr>
          <w:p w14:paraId="3965C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17F8A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6" w:hRule="atLeast"/>
        </w:trPr>
        <w:tc>
          <w:tcPr>
            <w:tcW w:w="2653" w:type="dxa"/>
            <w:vAlign w:val="center"/>
          </w:tcPr>
          <w:p w14:paraId="06ECE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P6</w:t>
            </w:r>
          </w:p>
        </w:tc>
        <w:tc>
          <w:tcPr>
            <w:tcW w:w="2653" w:type="dxa"/>
            <w:vAlign w:val="center"/>
          </w:tcPr>
          <w:p w14:paraId="05B96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2653" w:type="dxa"/>
            <w:vAlign w:val="center"/>
          </w:tcPr>
          <w:p w14:paraId="1AE61E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</w:tr>
    </w:tbl>
    <w:p w14:paraId="6217DF9A">
      <w:pPr>
        <w:numPr>
          <w:numId w:val="0"/>
        </w:numPr>
        <w:spacing w:after="160"/>
        <w:rPr>
          <w:rFonts w:hint="default" w:ascii="Times New Roman" w:hAnsi="Times New Roman" w:cs="Times New Roman"/>
          <w:sz w:val="24"/>
          <w:szCs w:val="24"/>
        </w:rPr>
      </w:pPr>
    </w:p>
    <w:p w14:paraId="22EAE2FC">
      <w:pPr>
        <w:numPr>
          <w:numId w:val="0"/>
        </w:numPr>
        <w:spacing w:after="160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009" w:right="3600" w:bottom="1009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F231C"/>
    <w:rsid w:val="088712AC"/>
    <w:rsid w:val="0FDF231C"/>
    <w:rsid w:val="35C22D6A"/>
    <w:rsid w:val="3B3616FD"/>
    <w:rsid w:val="6D8E2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/>
    </w:pPr>
    <w:rPr>
      <w:rFonts w:ascii="Times New Roman" w:hAnsi="Times New Roman" w:eastAsia="宋体" w:cstheme="minorBidi"/>
      <w:kern w:val="2"/>
      <w:sz w:val="2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390</Words>
  <Characters>2439</Characters>
  <Lines>0</Lines>
  <Paragraphs>0</Paragraphs>
  <TotalTime>7</TotalTime>
  <ScaleCrop>false</ScaleCrop>
  <LinksUpToDate>false</LinksUpToDate>
  <CharactersWithSpaces>2822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2025-01-08T10:56:00Z</dcterms:created>
  <dc:creator>鸝@雦＆磯</dc:creator>
  <cp:lastModifiedBy>鸝@雦＆磯</cp:lastModifiedBy>
  <dcterms:modified xsi:type="dcterms:W3CDTF">2025-01-08T11:20:19Z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FD59D3D38C454389BF933AD81ADD1BC8_11</vt:lpwstr>
  </property>
  <property fmtid="{D5CDD505-2E9C-101B-9397-08002B2CF9AE}" pid="4" name="KSOTemplateDocerSaveRecord">
    <vt:lpwstr>eyJoZGlkIjoiOTU3NGRjN2MwOWRkMzZhMWEyNzk1ODQ0ODg4MmM0OTUiLCJ1c2VySWQiOiIyOTQyNjE0MDAifQ==</vt:lpwstr>
  </property>
</Properties>
</file>