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D7A291" w14:textId="4D13664B" w:rsidR="007E2CD2" w:rsidRPr="00996B2B" w:rsidRDefault="001F562C" w:rsidP="001F562C">
      <w:pPr>
        <w:spacing w:line="360" w:lineRule="auto"/>
        <w:rPr>
          <w:rFonts w:ascii="Calibri" w:hAnsi="Calibri" w:cs="Calibri"/>
          <w:b/>
          <w:bCs/>
        </w:rPr>
      </w:pPr>
      <w:bookmarkStart w:id="0" w:name="_GoBack"/>
      <w:bookmarkEnd w:id="0"/>
      <w:r w:rsidRPr="00996B2B">
        <w:rPr>
          <w:rFonts w:ascii="Calibri" w:hAnsi="Calibri" w:cs="Calibri"/>
          <w:b/>
          <w:bCs/>
        </w:rPr>
        <w:t xml:space="preserve">Supplementary Materials </w:t>
      </w:r>
    </w:p>
    <w:p w14:paraId="646B1C5C" w14:textId="77777777" w:rsidR="001F562C" w:rsidRPr="00996B2B" w:rsidRDefault="001F562C" w:rsidP="001F562C">
      <w:pPr>
        <w:spacing w:line="360" w:lineRule="auto"/>
        <w:rPr>
          <w:rFonts w:ascii="Calibri" w:hAnsi="Calibri" w:cs="Calibri"/>
          <w:b/>
          <w:bCs/>
        </w:rPr>
      </w:pPr>
    </w:p>
    <w:p w14:paraId="17AD479E" w14:textId="77777777" w:rsidR="001F562C" w:rsidRPr="00996B2B" w:rsidRDefault="001F562C" w:rsidP="001F562C">
      <w:pPr>
        <w:spacing w:line="360" w:lineRule="auto"/>
        <w:jc w:val="both"/>
        <w:rPr>
          <w:rFonts w:ascii="Calibri" w:hAnsi="Calibri" w:cs="Calibri"/>
          <w:b/>
          <w:bCs/>
        </w:rPr>
      </w:pPr>
      <w:bookmarkStart w:id="1" w:name="_Toc175839846"/>
      <w:r w:rsidRPr="00996B2B">
        <w:rPr>
          <w:rFonts w:ascii="Calibri" w:hAnsi="Calibri" w:cs="Calibri"/>
          <w:b/>
          <w:bCs/>
          <w:i/>
          <w:iCs/>
        </w:rPr>
        <w:t>In vitro</w:t>
      </w:r>
      <w:r w:rsidRPr="00996B2B">
        <w:rPr>
          <w:rFonts w:ascii="Calibri" w:hAnsi="Calibri" w:cs="Calibri"/>
          <w:b/>
          <w:bCs/>
        </w:rPr>
        <w:t xml:space="preserve"> determination of cell surface HER2 density by flow cytometry</w:t>
      </w:r>
      <w:bookmarkEnd w:id="1"/>
    </w:p>
    <w:p w14:paraId="6DA13623" w14:textId="11705EFE" w:rsidR="001F562C" w:rsidRPr="00996B2B" w:rsidRDefault="001F562C" w:rsidP="001F562C">
      <w:pPr>
        <w:spacing w:line="360" w:lineRule="auto"/>
        <w:jc w:val="both"/>
        <w:rPr>
          <w:rFonts w:ascii="Calibri" w:hAnsi="Calibri" w:cs="Calibri"/>
        </w:rPr>
      </w:pPr>
      <w:r w:rsidRPr="00996B2B">
        <w:rPr>
          <w:rFonts w:ascii="Calibri" w:hAnsi="Calibri" w:cs="Calibri"/>
        </w:rPr>
        <w:t>Cell suspensions (2.5x10</w:t>
      </w:r>
      <w:r w:rsidRPr="00996B2B">
        <w:rPr>
          <w:rFonts w:ascii="Calibri" w:hAnsi="Calibri" w:cs="Calibri"/>
          <w:vertAlign w:val="superscript"/>
        </w:rPr>
        <w:t xml:space="preserve">5 </w:t>
      </w:r>
      <w:r w:rsidRPr="00996B2B">
        <w:rPr>
          <w:rFonts w:ascii="Calibri" w:hAnsi="Calibri" w:cs="Calibri"/>
        </w:rPr>
        <w:t>cells) of both JIMT-1 and SUM190 and their respective brain metastatic variants, were placed on ice for 20-30 min and then centrifuged at 170 g for 3 min. The pellets were resuspended in 200 μL of cold PBS with 1% BSA (PBS-BSA) and after a second centrifugation, resuspended in 100 μL of PBS-BSA containing APC anti-HER2 antibody (clone 24D2, Biolegend) and incubated on ice for 45-60 min. After antibody incubation, cells were washed twice with PBS-BSA, transferred to cytometry tubes, and analyzed using a BD FACScalibur flow cytometer. Non-viable cells were excluded from the analysis using 7-aminoactinomycin D (Sigma-Aldrich).</w:t>
      </w:r>
    </w:p>
    <w:p w14:paraId="5CA6D054" w14:textId="77777777" w:rsidR="001F562C" w:rsidRPr="00996B2B" w:rsidRDefault="001F562C" w:rsidP="001F562C">
      <w:pPr>
        <w:spacing w:line="360" w:lineRule="auto"/>
        <w:jc w:val="both"/>
        <w:rPr>
          <w:rFonts w:ascii="Calibri" w:hAnsi="Calibri" w:cs="Calibri"/>
        </w:rPr>
      </w:pPr>
      <w:r w:rsidRPr="00996B2B">
        <w:rPr>
          <w:rFonts w:ascii="Calibri" w:hAnsi="Calibri" w:cs="Calibri"/>
        </w:rPr>
        <w:t>The estimation of HER2 cell surface density was performed by comparing the fluorescence values of APC with standard curves prepared using the Quantum™ MESF APC-labeled microsphere kit (Bangs Laboratories) according to the manufacturer’s instructions. This enabled the determination of the number of Molecules of Equivalent Soluble Fluorochrome (MESF), a standardized measurement of fluorescence intensity, using QuickCal v2.3 (Bangs Laboratories). The cell Antibody Binding Capacity (ABC), representing the number of antibody molecules bound per cell, was determined using the equation: ABC = MESF/1.33, where the denominator represents the fluorochrome/antibody ratio. Assuming a 1:1 HER2 binding ratio, the ABC defined the cell surface HER2 density per cell.</w:t>
      </w:r>
    </w:p>
    <w:p w14:paraId="3BA08223" w14:textId="77777777" w:rsidR="001F562C" w:rsidRPr="00996B2B" w:rsidRDefault="001F562C" w:rsidP="001F562C">
      <w:pPr>
        <w:spacing w:line="360" w:lineRule="auto"/>
        <w:rPr>
          <w:rFonts w:ascii="Calibri" w:hAnsi="Calibri" w:cs="Calibri"/>
          <w:b/>
          <w:bCs/>
        </w:rPr>
      </w:pPr>
    </w:p>
    <w:p w14:paraId="016FD1D3" w14:textId="77777777" w:rsidR="001F562C" w:rsidRPr="00996B2B" w:rsidRDefault="001F562C" w:rsidP="001F562C">
      <w:pPr>
        <w:spacing w:line="360" w:lineRule="auto"/>
        <w:jc w:val="both"/>
        <w:rPr>
          <w:rFonts w:ascii="Calibri" w:hAnsi="Calibri" w:cs="Calibri"/>
          <w:b/>
          <w:bCs/>
        </w:rPr>
      </w:pPr>
      <w:bookmarkStart w:id="2" w:name="_Toc175839847"/>
      <w:r w:rsidRPr="00996B2B">
        <w:rPr>
          <w:rFonts w:ascii="Calibri" w:hAnsi="Calibri" w:cs="Calibri"/>
          <w:b/>
          <w:bCs/>
        </w:rPr>
        <w:t>Western Blot</w:t>
      </w:r>
      <w:bookmarkEnd w:id="2"/>
    </w:p>
    <w:p w14:paraId="39D1457F" w14:textId="051E1702" w:rsidR="001F562C" w:rsidRDefault="001F562C" w:rsidP="001F562C">
      <w:pPr>
        <w:pStyle w:val="Textodebalo"/>
        <w:widowControl w:val="0"/>
        <w:suppressAutoHyphens/>
        <w:spacing w:line="360" w:lineRule="auto"/>
        <w:jc w:val="both"/>
        <w:rPr>
          <w:rFonts w:ascii="Calibri" w:hAnsi="Calibri" w:cs="Calibri"/>
          <w:sz w:val="24"/>
          <w:szCs w:val="24"/>
        </w:rPr>
      </w:pPr>
      <w:r w:rsidRPr="00996B2B">
        <w:rPr>
          <w:rFonts w:ascii="Calibri" w:hAnsi="Calibri" w:cs="Calibri"/>
          <w:sz w:val="24"/>
          <w:szCs w:val="24"/>
        </w:rPr>
        <w:t xml:space="preserve">Total protein extracts were prepared using standard lysis buffer, separated by sodium dodecyl sulfate/polyacrylamide gel electrophoresis and transferred to PVDF membranes (Bio-Rad). Membranes were blocked with 5% of BSA in </w:t>
      </w:r>
      <w:r w:rsidR="00726F59">
        <w:rPr>
          <w:rFonts w:ascii="Calibri" w:hAnsi="Calibri" w:cs="Calibri"/>
          <w:sz w:val="24"/>
          <w:szCs w:val="24"/>
        </w:rPr>
        <w:t>TBS</w:t>
      </w:r>
      <w:r w:rsidRPr="00996B2B">
        <w:rPr>
          <w:rFonts w:ascii="Calibri" w:hAnsi="Calibri" w:cs="Calibri"/>
          <w:sz w:val="24"/>
          <w:szCs w:val="24"/>
        </w:rPr>
        <w:t xml:space="preserve">-tween 20 (TBS-T) and were incubated overnight at 4°C with the following primary antibodies: HER2 (1:1000; Cell Signaling, ref. 2165) and GAPDH (1:1000; Cell Signaling, ref. 5174). After incubation, the membranes were washed in 0.1% TBS-T and incubated with the secondary antibody (1:10000) for 1 h at </w:t>
      </w:r>
      <w:r w:rsidR="00726F59">
        <w:rPr>
          <w:rFonts w:ascii="Calibri" w:hAnsi="Calibri" w:cs="Calibri"/>
          <w:sz w:val="24"/>
          <w:szCs w:val="24"/>
        </w:rPr>
        <w:t>RT</w:t>
      </w:r>
      <w:r w:rsidRPr="00996B2B">
        <w:rPr>
          <w:rFonts w:ascii="Calibri" w:hAnsi="Calibri" w:cs="Calibri"/>
          <w:sz w:val="24"/>
          <w:szCs w:val="24"/>
        </w:rPr>
        <w:t xml:space="preserve"> and revealed by chemiluminescence (Clarity ECL western blotting substrates, BioRad) using ImageQuant LAS 500 chemiluminescence CCD camera (GE Healthcare). Image analysis was performed using ImageJ software (National Institutes </w:t>
      </w:r>
      <w:r w:rsidRPr="00996B2B">
        <w:rPr>
          <w:rFonts w:ascii="Calibri" w:hAnsi="Calibri" w:cs="Calibri"/>
          <w:sz w:val="24"/>
          <w:szCs w:val="24"/>
        </w:rPr>
        <w:lastRenderedPageBreak/>
        <w:t>of Health).</w:t>
      </w:r>
    </w:p>
    <w:p w14:paraId="4A541E61" w14:textId="77777777" w:rsidR="0075788C" w:rsidRPr="00996B2B" w:rsidRDefault="0075788C" w:rsidP="001F562C">
      <w:pPr>
        <w:pStyle w:val="Textodebalo"/>
        <w:widowControl w:val="0"/>
        <w:suppressAutoHyphens/>
        <w:spacing w:line="360" w:lineRule="auto"/>
        <w:jc w:val="both"/>
        <w:rPr>
          <w:rFonts w:ascii="Calibri" w:hAnsi="Calibri" w:cs="Calibri"/>
          <w:sz w:val="24"/>
          <w:szCs w:val="24"/>
        </w:rPr>
      </w:pPr>
    </w:p>
    <w:p w14:paraId="47A6F00F" w14:textId="77777777" w:rsidR="001F562C" w:rsidRPr="00996B2B" w:rsidRDefault="001F562C" w:rsidP="001F562C">
      <w:pPr>
        <w:spacing w:line="360" w:lineRule="auto"/>
        <w:jc w:val="both"/>
        <w:rPr>
          <w:rFonts w:ascii="Calibri" w:hAnsi="Calibri" w:cs="Calibri"/>
          <w:b/>
          <w:bCs/>
        </w:rPr>
      </w:pPr>
      <w:bookmarkStart w:id="3" w:name="_Toc175839848"/>
      <w:r w:rsidRPr="00996B2B">
        <w:rPr>
          <w:rFonts w:ascii="Calibri" w:hAnsi="Calibri" w:cs="Calibri"/>
          <w:b/>
          <w:bCs/>
        </w:rPr>
        <w:t>Preparation of [</w:t>
      </w:r>
      <w:r w:rsidRPr="00996B2B">
        <w:rPr>
          <w:rFonts w:ascii="Calibri" w:hAnsi="Calibri" w:cs="Calibri"/>
          <w:b/>
          <w:bCs/>
          <w:vertAlign w:val="superscript"/>
        </w:rPr>
        <w:t>89</w:t>
      </w:r>
      <w:r w:rsidRPr="00996B2B">
        <w:rPr>
          <w:rFonts w:ascii="Calibri" w:hAnsi="Calibri" w:cs="Calibri"/>
          <w:b/>
          <w:bCs/>
        </w:rPr>
        <w:t>Zr]Zr-DFO-Trastuzumab</w:t>
      </w:r>
      <w:bookmarkEnd w:id="3"/>
    </w:p>
    <w:p w14:paraId="6A544E75" w14:textId="5E9BE990" w:rsidR="001F562C" w:rsidRPr="00996B2B" w:rsidRDefault="001F562C" w:rsidP="001F562C">
      <w:pPr>
        <w:spacing w:line="360" w:lineRule="auto"/>
        <w:jc w:val="both"/>
        <w:rPr>
          <w:rFonts w:ascii="Calibri" w:hAnsi="Calibri" w:cs="Calibri"/>
        </w:rPr>
      </w:pPr>
      <w:r w:rsidRPr="00996B2B">
        <w:rPr>
          <w:rFonts w:ascii="Calibri" w:hAnsi="Calibri" w:cs="Calibri"/>
        </w:rPr>
        <w:t xml:space="preserve">The conjugation of the bifunctional chelator </w:t>
      </w:r>
      <w:r w:rsidRPr="00996B2B">
        <w:rPr>
          <w:rFonts w:ascii="Calibri" w:hAnsi="Calibri" w:cs="Calibri"/>
          <w:i/>
          <w:iCs/>
        </w:rPr>
        <w:t>p</w:t>
      </w:r>
      <w:r w:rsidRPr="00996B2B">
        <w:rPr>
          <w:rFonts w:ascii="Calibri" w:hAnsi="Calibri" w:cs="Calibri"/>
        </w:rPr>
        <w:t xml:space="preserve">-SCN-Bn-DFO (1-(4-isothiocyanatophenyl)-3-[6,17-dihydroxy-7,10,18,21-tetraoxo-27-(N-acetylhydroxylamino)-6,11,17,22tetraaza heptaeicosine]thiourea; Macrocyclics) to trastuzumab (Herceptin; Evidentic GmbH) was performed as previously described </w:t>
      </w:r>
      <w:r w:rsidRPr="00996B2B">
        <w:rPr>
          <w:rFonts w:ascii="Calibri" w:hAnsi="Calibri" w:cs="Calibri"/>
        </w:rPr>
        <w:fldChar w:fldCharType="begin"/>
      </w:r>
      <w:r w:rsidR="007009C0">
        <w:rPr>
          <w:rFonts w:ascii="Calibri" w:hAnsi="Calibri" w:cs="Calibri"/>
        </w:rPr>
        <w:instrText xml:space="preserve"> ADDIN EN.CITE &lt;EndNote&gt;&lt;Cite&gt;&lt;Author&gt;Vosjan&lt;/Author&gt;&lt;Year&gt;2010&lt;/Year&gt;&lt;RecNum&gt;138&lt;/RecNum&gt;&lt;DisplayText&gt;[1]&lt;/DisplayText&gt;&lt;record&gt;&lt;rec-number&gt;138&lt;/rec-number&gt;&lt;foreign-keys&gt;&lt;key app="EN" db-id="tw2pds5a0095ftedpevvzvsywsax2vesxxtd" timestamp="1721655769"&gt;138&lt;/key&gt;&lt;/foreign-keys&gt;&lt;ref-type name="Journal Article"&gt;17&lt;/ref-type&gt;&lt;contributors&gt;&lt;authors&gt;&lt;author&gt;Vosjan, Maria JWD&lt;/author&gt;&lt;author&gt;Perk, Lars R&lt;/author&gt;&lt;author&gt;Visser, Gerard WM&lt;/author&gt;&lt;author&gt;Budde, Marianne&lt;/author&gt;&lt;author&gt;Jurek, Paul&lt;/author&gt;&lt;author&gt;Kiefer, Garry E&lt;/author&gt;&lt;author&gt;Van Dongen, Guus AMS&lt;/author&gt;&lt;/authors&gt;&lt;/contributors&gt;&lt;titles&gt;&lt;title&gt;Conjugation and radiolabeling of monoclonal antibodies with zirconium-89 for PET imaging using the bifunctional chelate p-isothiocyanatobenzyl-desferrioxamine&lt;/title&gt;&lt;secondary-title&gt;Nature protocols&lt;/secondary-title&gt;&lt;/titles&gt;&lt;periodical&gt;&lt;full-title&gt;Nature protocols&lt;/full-title&gt;&lt;/periodical&gt;&lt;pages&gt;739-743&lt;/pages&gt;&lt;volume&gt;5&lt;/volume&gt;&lt;number&gt;4&lt;/number&gt;&lt;dates&gt;&lt;year&gt;2010&lt;/year&gt;&lt;/dates&gt;&lt;isbn&gt;1754-2189&lt;/isbn&gt;&lt;urls&gt;&lt;/urls&gt;&lt;/record&gt;&lt;/Cite&gt;&lt;/EndNote&gt;</w:instrText>
      </w:r>
      <w:r w:rsidRPr="00996B2B">
        <w:rPr>
          <w:rFonts w:ascii="Calibri" w:hAnsi="Calibri" w:cs="Calibri"/>
        </w:rPr>
        <w:fldChar w:fldCharType="separate"/>
      </w:r>
      <w:r w:rsidR="007009C0">
        <w:rPr>
          <w:rFonts w:ascii="Calibri" w:hAnsi="Calibri" w:cs="Calibri"/>
          <w:noProof/>
        </w:rPr>
        <w:t>[1]</w:t>
      </w:r>
      <w:r w:rsidRPr="00996B2B">
        <w:rPr>
          <w:rFonts w:ascii="Calibri" w:hAnsi="Calibri" w:cs="Calibri"/>
        </w:rPr>
        <w:fldChar w:fldCharType="end"/>
      </w:r>
      <w:r w:rsidRPr="00996B2B">
        <w:rPr>
          <w:rFonts w:ascii="Calibri" w:hAnsi="Calibri" w:cs="Calibri"/>
        </w:rPr>
        <w:t xml:space="preserve">. Briefly, a 50-fold molar excess of DFO (25.95 mg/mL, 10 μL) was conjugated to trastuzumab (2 mg/mL, 0.5 mL) for 1.5 h at </w:t>
      </w:r>
      <w:r w:rsidR="00726F59">
        <w:rPr>
          <w:rFonts w:ascii="Calibri" w:hAnsi="Calibri" w:cs="Calibri"/>
        </w:rPr>
        <w:t>RT</w:t>
      </w:r>
      <w:r w:rsidRPr="00996B2B">
        <w:rPr>
          <w:rFonts w:ascii="Calibri" w:hAnsi="Calibri" w:cs="Calibri"/>
        </w:rPr>
        <w:t xml:space="preserve"> and pH 9 with constant rotation. After conjugation, DFO-Trastuzumab was purified using a size molecular exclusion on the PD-10 column (GE Healthcare) and 0.9% sodium chloride. The number of chelates per antibody was determined by MALDI-TOF mass spectrometry as previously described </w:t>
      </w:r>
      <w:r w:rsidRPr="00996B2B">
        <w:rPr>
          <w:rFonts w:ascii="Calibri" w:hAnsi="Calibri" w:cs="Calibri"/>
        </w:rPr>
        <w:fldChar w:fldCharType="begin"/>
      </w:r>
      <w:r w:rsidR="007009C0">
        <w:rPr>
          <w:rFonts w:ascii="Calibri" w:hAnsi="Calibri" w:cs="Calibri"/>
        </w:rPr>
        <w:instrText xml:space="preserve"> ADDIN EN.CITE &lt;EndNote&gt;&lt;Cite&gt;&lt;Author&gt;Benedetto&lt;/Author&gt;&lt;Year&gt;2017&lt;/Year&gt;&lt;RecNum&gt;137&lt;/RecNum&gt;&lt;DisplayText&gt;[2]&lt;/DisplayText&gt;&lt;record&gt;&lt;rec-number&gt;137&lt;/rec-number&gt;&lt;foreign-keys&gt;&lt;key app="EN" db-id="tw2pds5a0095ftedpevvzvsywsax2vesxxtd" timestamp="1720363979"&gt;137&lt;/key&gt;&lt;/foreign-keys&gt;&lt;ref-type name="Journal Article"&gt;17&lt;/ref-type&gt;&lt;contributors&gt;&lt;authors&gt;&lt;author&gt;Benedetto, Raquel&lt;/author&gt;&lt;author&gt;Massicano, Adriana Vidal Fernandes&lt;/author&gt;&lt;author&gt;Silva, Jefferson Jesus&lt;/author&gt;&lt;author&gt;Boas, Cristian Antonio Wieczorek Villas&lt;/author&gt;&lt;author&gt;Mengatti, Jair&lt;/author&gt;&lt;author&gt;Araújo, Elaine Bortoleti de&lt;/author&gt;&lt;/authors&gt;&lt;/contributors&gt;&lt;titles&gt;&lt;title&gt;Development of radioimmunoconjugate for diagnosis and management of head-and-neck subclinical cancer and colorectal carcinoma&lt;/title&gt;&lt;secondary-title&gt;Brazilian Journal of Pharmaceutical Sciences&lt;/secondary-title&gt;&lt;/titles&gt;&lt;periodical&gt;&lt;full-title&gt;Brazilian Journal of Pharmaceutical Sciences&lt;/full-title&gt;&lt;/periodical&gt;&lt;pages&gt;e17039&lt;/pages&gt;&lt;volume&gt;53&lt;/volume&gt;&lt;number&gt;04&lt;/number&gt;&lt;dates&gt;&lt;year&gt;2017&lt;/year&gt;&lt;/dates&gt;&lt;isbn&gt;2175-9790&lt;/isbn&gt;&lt;urls&gt;&lt;/urls&gt;&lt;/record&gt;&lt;/Cite&gt;&lt;/EndNote&gt;</w:instrText>
      </w:r>
      <w:r w:rsidRPr="00996B2B">
        <w:rPr>
          <w:rFonts w:ascii="Calibri" w:hAnsi="Calibri" w:cs="Calibri"/>
        </w:rPr>
        <w:fldChar w:fldCharType="separate"/>
      </w:r>
      <w:r w:rsidR="007009C0">
        <w:rPr>
          <w:rFonts w:ascii="Calibri" w:hAnsi="Calibri" w:cs="Calibri"/>
          <w:noProof/>
        </w:rPr>
        <w:t>[2]</w:t>
      </w:r>
      <w:r w:rsidRPr="00996B2B">
        <w:rPr>
          <w:rFonts w:ascii="Calibri" w:hAnsi="Calibri" w:cs="Calibri"/>
        </w:rPr>
        <w:fldChar w:fldCharType="end"/>
      </w:r>
      <w:r w:rsidRPr="00996B2B">
        <w:rPr>
          <w:rFonts w:ascii="Calibri" w:hAnsi="Calibri" w:cs="Calibri"/>
        </w:rPr>
        <w:t>.</w:t>
      </w:r>
    </w:p>
    <w:p w14:paraId="3F52C4A2" w14:textId="5B0F21F3" w:rsidR="001F562C" w:rsidRPr="00996B2B" w:rsidRDefault="001F562C" w:rsidP="001F562C">
      <w:pPr>
        <w:spacing w:line="360" w:lineRule="auto"/>
        <w:jc w:val="both"/>
        <w:rPr>
          <w:rFonts w:ascii="Calibri" w:hAnsi="Calibri" w:cs="Calibri"/>
        </w:rPr>
      </w:pPr>
      <w:r w:rsidRPr="00996B2B">
        <w:rPr>
          <w:rFonts w:ascii="Calibri" w:hAnsi="Calibri" w:cs="Calibri"/>
        </w:rPr>
        <w:t xml:space="preserve">Zirconium-89 was produced by bombarding </w:t>
      </w:r>
      <w:r w:rsidR="00D961CE" w:rsidRPr="00D961CE">
        <w:rPr>
          <w:rFonts w:ascii="Calibri" w:hAnsi="Calibri" w:cs="Calibri"/>
        </w:rPr>
        <w:t>nat</w:t>
      </w:r>
      <w:r w:rsidRPr="00D961CE">
        <w:rPr>
          <w:rFonts w:ascii="Calibri" w:hAnsi="Calibri" w:cs="Calibri"/>
        </w:rPr>
        <w:t>Y</w:t>
      </w:r>
      <w:r w:rsidRPr="00996B2B">
        <w:rPr>
          <w:rFonts w:ascii="Calibri" w:hAnsi="Calibri" w:cs="Calibri"/>
        </w:rPr>
        <w:t>(NO</w:t>
      </w:r>
      <w:r w:rsidRPr="00996B2B">
        <w:rPr>
          <w:rFonts w:ascii="Calibri" w:hAnsi="Calibri" w:cs="Calibri"/>
          <w:vertAlign w:val="subscript"/>
        </w:rPr>
        <w:t>3</w:t>
      </w:r>
      <w:r w:rsidRPr="00996B2B">
        <w:rPr>
          <w:rFonts w:ascii="Calibri" w:hAnsi="Calibri" w:cs="Calibri"/>
        </w:rPr>
        <w:t>)</w:t>
      </w:r>
      <w:r w:rsidRPr="00996B2B">
        <w:rPr>
          <w:rFonts w:ascii="Calibri" w:hAnsi="Calibri" w:cs="Calibri"/>
          <w:vertAlign w:val="subscript"/>
        </w:rPr>
        <w:t>3</w:t>
      </w:r>
      <w:r w:rsidRPr="00996B2B">
        <w:rPr>
          <w:rFonts w:ascii="Calibri" w:hAnsi="Calibri" w:cs="Calibri"/>
        </w:rPr>
        <w:t>.6H</w:t>
      </w:r>
      <w:r w:rsidRPr="00996B2B">
        <w:rPr>
          <w:rFonts w:ascii="Calibri" w:hAnsi="Calibri" w:cs="Calibri"/>
          <w:vertAlign w:val="subscript"/>
        </w:rPr>
        <w:t>2</w:t>
      </w:r>
      <w:r w:rsidRPr="00996B2B">
        <w:rPr>
          <w:rFonts w:ascii="Calibri" w:hAnsi="Calibri" w:cs="Calibri"/>
        </w:rPr>
        <w:t>O in nitric acid (HNO</w:t>
      </w:r>
      <w:r w:rsidRPr="00996B2B">
        <w:rPr>
          <w:rFonts w:ascii="Calibri" w:hAnsi="Calibri" w:cs="Calibri"/>
          <w:vertAlign w:val="subscript"/>
        </w:rPr>
        <w:t>3</w:t>
      </w:r>
      <w:r w:rsidRPr="00996B2B">
        <w:rPr>
          <w:rFonts w:ascii="Calibri" w:hAnsi="Calibri" w:cs="Calibri"/>
        </w:rPr>
        <w:t xml:space="preserve">) solution via the </w:t>
      </w:r>
      <w:r w:rsidRPr="00996B2B">
        <w:rPr>
          <w:rFonts w:ascii="Calibri" w:hAnsi="Calibri" w:cs="Calibri"/>
          <w:vertAlign w:val="superscript"/>
        </w:rPr>
        <w:t>89</w:t>
      </w:r>
      <w:r w:rsidRPr="00996B2B">
        <w:rPr>
          <w:rFonts w:ascii="Calibri" w:hAnsi="Calibri" w:cs="Calibri"/>
        </w:rPr>
        <w:t>Y(p,n)</w:t>
      </w:r>
      <w:r w:rsidRPr="00996B2B">
        <w:rPr>
          <w:rFonts w:ascii="Calibri" w:hAnsi="Calibri" w:cs="Calibri"/>
          <w:vertAlign w:val="superscript"/>
        </w:rPr>
        <w:t>89</w:t>
      </w:r>
      <w:r w:rsidRPr="00996B2B">
        <w:rPr>
          <w:rFonts w:ascii="Calibri" w:hAnsi="Calibri" w:cs="Calibri"/>
        </w:rPr>
        <w:t xml:space="preserve">Zr nuclear reaction using the IBA Cyclone 18/9® cyclotron equipped with an IBA Nirta liquid target, niobium insert, and PEEK valve for automatic loading, irradiation, and transfer. Irradiations were performed at 14 MeV incident proton-beam energy and 30-35 μA beam current for 3-4 h. After irradiation, </w:t>
      </w:r>
      <w:r w:rsidRPr="00996B2B">
        <w:rPr>
          <w:rFonts w:ascii="Calibri" w:hAnsi="Calibri" w:cs="Calibri"/>
          <w:vertAlign w:val="superscript"/>
        </w:rPr>
        <w:t>89</w:t>
      </w:r>
      <w:r w:rsidRPr="00996B2B">
        <w:rPr>
          <w:rFonts w:ascii="Calibri" w:hAnsi="Calibri" w:cs="Calibri"/>
        </w:rPr>
        <w:t>Zr was purified with a hydroxamate resin and eluted with 1 M oxalic acid.</w:t>
      </w:r>
    </w:p>
    <w:p w14:paraId="654E446E" w14:textId="77777777" w:rsidR="001F562C" w:rsidRPr="00996B2B" w:rsidRDefault="001F562C" w:rsidP="001F562C">
      <w:pPr>
        <w:spacing w:line="360" w:lineRule="auto"/>
        <w:jc w:val="both"/>
        <w:rPr>
          <w:rFonts w:ascii="Calibri" w:hAnsi="Calibri" w:cs="Calibri"/>
        </w:rPr>
      </w:pPr>
      <w:r w:rsidRPr="00996B2B">
        <w:rPr>
          <w:rFonts w:ascii="Calibri" w:hAnsi="Calibri" w:cs="Calibri"/>
        </w:rPr>
        <w:t>For radiolabeling, 30-120 MBq of [</w:t>
      </w:r>
      <w:r w:rsidRPr="00996B2B">
        <w:rPr>
          <w:rFonts w:ascii="Calibri" w:hAnsi="Calibri" w:cs="Calibri"/>
          <w:vertAlign w:val="superscript"/>
        </w:rPr>
        <w:t>89</w:t>
      </w:r>
      <w:r w:rsidRPr="00996B2B">
        <w:rPr>
          <w:rFonts w:ascii="Calibri" w:hAnsi="Calibri" w:cs="Calibri"/>
        </w:rPr>
        <w:t>Zr]Zr-oxalate was neutralized with an appropriate amount of 2M Na</w:t>
      </w:r>
      <w:r w:rsidRPr="00996B2B">
        <w:rPr>
          <w:rFonts w:ascii="Calibri" w:hAnsi="Calibri" w:cs="Calibri"/>
          <w:vertAlign w:val="subscript"/>
        </w:rPr>
        <w:t>2</w:t>
      </w:r>
      <w:r w:rsidRPr="00996B2B">
        <w:rPr>
          <w:rFonts w:ascii="Calibri" w:hAnsi="Calibri" w:cs="Calibri"/>
        </w:rPr>
        <w:t>CO</w:t>
      </w:r>
      <w:r w:rsidRPr="00996B2B">
        <w:rPr>
          <w:rFonts w:ascii="Calibri" w:hAnsi="Calibri" w:cs="Calibri"/>
          <w:vertAlign w:val="subscript"/>
        </w:rPr>
        <w:t>3</w:t>
      </w:r>
      <w:r w:rsidRPr="00996B2B">
        <w:rPr>
          <w:rFonts w:ascii="Calibri" w:hAnsi="Calibri" w:cs="Calibri"/>
        </w:rPr>
        <w:t xml:space="preserve"> and then, added to the DFO-Trastuzumab conjugate (200-600 μg) in 0.5 M HEPES pH 7. The reaction mixture was incubated for 60 min at 37°C at pH 6.5-7.5 to produce the radiolabeled [</w:t>
      </w:r>
      <w:r w:rsidRPr="00996B2B">
        <w:rPr>
          <w:rFonts w:ascii="Calibri" w:hAnsi="Calibri" w:cs="Calibri"/>
          <w:vertAlign w:val="superscript"/>
        </w:rPr>
        <w:t>89</w:t>
      </w:r>
      <w:r w:rsidRPr="00996B2B">
        <w:rPr>
          <w:rFonts w:ascii="Calibri" w:hAnsi="Calibri" w:cs="Calibri"/>
        </w:rPr>
        <w:t>Zr]Zr-DFO-Trastuzumab. After radiolabeling, the radioimmunoconjugate was purified by size exclusion Sephadex G-25 columns (PD-10; GE HealthCare) with sodium chloride 0.9%. The RCP was determined by SEC-HPLC and radio-TLC. SEC-HPLC analysis was performed using a Superdex</w:t>
      </w:r>
      <w:r w:rsidRPr="00996B2B">
        <w:rPr>
          <w:rFonts w:ascii="Calibri" w:hAnsi="Calibri" w:cs="Calibri"/>
          <w:vertAlign w:val="superscript"/>
        </w:rPr>
        <w:t>TM</w:t>
      </w:r>
      <w:r w:rsidRPr="00996B2B">
        <w:rPr>
          <w:rFonts w:ascii="Calibri" w:hAnsi="Calibri" w:cs="Calibri"/>
        </w:rPr>
        <w:t xml:space="preserve"> 200 10/300GL column from GE Healthcare, conducted on an Agilent</w:t>
      </w:r>
      <w:r w:rsidRPr="00996B2B">
        <w:rPr>
          <w:rFonts w:ascii="Calibri" w:hAnsi="Calibri" w:cs="Calibri"/>
          <w:vertAlign w:val="superscript"/>
        </w:rPr>
        <w:t>TM</w:t>
      </w:r>
      <w:r w:rsidRPr="00996B2B">
        <w:rPr>
          <w:rFonts w:ascii="Calibri" w:hAnsi="Calibri" w:cs="Calibri"/>
        </w:rPr>
        <w:t xml:space="preserve"> 1260 Infinity System equipped with an Agilent 1200 DAD UV detector (Agilent Scientific Instruments). Radio-TLC was performed using equipment from Agilent Technologies and analyzed on a Raytest minGita detector radio-TLC plate reader using TLC control mini GinaStar Software. The TLC mobile phase used was 0.1M sodium citrate (pH 5).</w:t>
      </w:r>
    </w:p>
    <w:p w14:paraId="06A4180A" w14:textId="77777777" w:rsidR="001F562C" w:rsidRPr="00996B2B" w:rsidRDefault="001F562C" w:rsidP="001F562C">
      <w:pPr>
        <w:spacing w:line="360" w:lineRule="auto"/>
        <w:jc w:val="both"/>
        <w:rPr>
          <w:rFonts w:ascii="Calibri" w:hAnsi="Calibri" w:cs="Calibri"/>
        </w:rPr>
      </w:pPr>
    </w:p>
    <w:p w14:paraId="603AF692" w14:textId="77777777" w:rsidR="001F562C" w:rsidRPr="00996B2B" w:rsidRDefault="001F562C" w:rsidP="001F562C">
      <w:pPr>
        <w:spacing w:line="360" w:lineRule="auto"/>
        <w:jc w:val="both"/>
        <w:rPr>
          <w:rFonts w:ascii="Calibri" w:hAnsi="Calibri" w:cs="Calibri"/>
          <w:b/>
          <w:bCs/>
        </w:rPr>
      </w:pPr>
      <w:bookmarkStart w:id="4" w:name="_Toc175839849"/>
      <w:r w:rsidRPr="00996B2B">
        <w:rPr>
          <w:rFonts w:ascii="Calibri" w:hAnsi="Calibri" w:cs="Calibri"/>
          <w:b/>
          <w:bCs/>
        </w:rPr>
        <w:t>Preparation of [</w:t>
      </w:r>
      <w:r w:rsidRPr="00996B2B">
        <w:rPr>
          <w:rFonts w:ascii="Calibri" w:hAnsi="Calibri" w:cs="Calibri"/>
          <w:b/>
          <w:bCs/>
          <w:vertAlign w:val="superscript"/>
        </w:rPr>
        <w:t>177</w:t>
      </w:r>
      <w:r w:rsidRPr="00996B2B">
        <w:rPr>
          <w:rFonts w:ascii="Calibri" w:hAnsi="Calibri" w:cs="Calibri"/>
          <w:b/>
          <w:bCs/>
        </w:rPr>
        <w:t>Lu]Lu-DOTA-Trastuzumab</w:t>
      </w:r>
      <w:bookmarkEnd w:id="4"/>
    </w:p>
    <w:p w14:paraId="51122F0E" w14:textId="5EAE9C3A" w:rsidR="001F562C" w:rsidRPr="00996B2B" w:rsidRDefault="001F562C" w:rsidP="001F562C">
      <w:pPr>
        <w:spacing w:line="360" w:lineRule="auto"/>
        <w:jc w:val="both"/>
        <w:rPr>
          <w:rFonts w:ascii="Calibri" w:hAnsi="Calibri" w:cs="Calibri"/>
        </w:rPr>
      </w:pPr>
      <w:r w:rsidRPr="00996B2B">
        <w:rPr>
          <w:rFonts w:ascii="Calibri" w:hAnsi="Calibri" w:cs="Calibri"/>
        </w:rPr>
        <w:lastRenderedPageBreak/>
        <w:t xml:space="preserve">Conjugation of the bifunctional chelator </w:t>
      </w:r>
      <w:r w:rsidRPr="00996B2B">
        <w:rPr>
          <w:rFonts w:ascii="Calibri" w:hAnsi="Calibri" w:cs="Calibri"/>
          <w:i/>
          <w:iCs/>
        </w:rPr>
        <w:t>p</w:t>
      </w:r>
      <w:r w:rsidRPr="00996B2B">
        <w:rPr>
          <w:rFonts w:ascii="Calibri" w:hAnsi="Calibri" w:cs="Calibri"/>
        </w:rPr>
        <w:t xml:space="preserve">-SCN-Bn-DOTA (DOTA; pisothiocyanatobenzyl-1,4,7,10-tetraazacyclododecane tetraacetic acid; Macrocyclics) to trastuzumab (Herceptin; Evidentic GmbH) was performed as previously described </w:t>
      </w:r>
      <w:r w:rsidRPr="00996B2B">
        <w:rPr>
          <w:rFonts w:ascii="Calibri" w:hAnsi="Calibri" w:cs="Calibri"/>
        </w:rPr>
        <w:fldChar w:fldCharType="begin"/>
      </w:r>
      <w:r w:rsidR="007009C0">
        <w:rPr>
          <w:rFonts w:ascii="Calibri" w:hAnsi="Calibri" w:cs="Calibri"/>
        </w:rPr>
        <w:instrText xml:space="preserve"> ADDIN EN.CITE &lt;EndNote&gt;&lt;Cite&gt;&lt;Author&gt;Guleria&lt;/Author&gt;&lt;Year&gt;2021&lt;/Year&gt;&lt;RecNum&gt;111&lt;/RecNum&gt;&lt;DisplayText&gt;[3]&lt;/DisplayText&gt;&lt;record&gt;&lt;rec-number&gt;111&lt;/rec-number&gt;&lt;foreign-keys&gt;&lt;key app="EN" db-id="tw2pds5a0095ftedpevvzvsywsax2vesxxtd" timestamp="1718455246"&gt;111&lt;/key&gt;&lt;/foreign-keys&gt;&lt;ref-type name="Journal Article"&gt;17&lt;/ref-type&gt;&lt;contributors&gt;&lt;authors&gt;&lt;author&gt;Guleria, Mohini&lt;/author&gt;&lt;author&gt;Sharma, Rohit&lt;/author&gt;&lt;author&gt;Amirdhanayagam, Jeyachitra&lt;/author&gt;&lt;author&gt;Sarma, Haladhar D&lt;/author&gt;&lt;author&gt;Rangarajan, Venkatesh&lt;/author&gt;&lt;author&gt;Dash, Ashutosh&lt;/author&gt;&lt;author&gt;Das, Tapas&lt;/author&gt;&lt;/authors&gt;&lt;/contributors&gt;&lt;titles&gt;&lt;title&gt;Formulation and clinical translation of [177 Lu] Lu-trastuzumab for radioimmunotheranostics of metastatic breast cancer&lt;/title&gt;&lt;secondary-title&gt;RSC Medicinal Chemistry&lt;/secondary-title&gt;&lt;/titles&gt;&lt;periodical&gt;&lt;full-title&gt;RSC Medicinal Chemistry&lt;/full-title&gt;&lt;/periodical&gt;&lt;pages&gt;263-277&lt;/pages&gt;&lt;volume&gt;12&lt;/volume&gt;&lt;number&gt;2&lt;/number&gt;&lt;dates&gt;&lt;year&gt;2021&lt;/year&gt;&lt;/dates&gt;&lt;urls&gt;&lt;/urls&gt;&lt;/record&gt;&lt;/Cite&gt;&lt;/EndNote&gt;</w:instrText>
      </w:r>
      <w:r w:rsidRPr="00996B2B">
        <w:rPr>
          <w:rFonts w:ascii="Calibri" w:hAnsi="Calibri" w:cs="Calibri"/>
        </w:rPr>
        <w:fldChar w:fldCharType="separate"/>
      </w:r>
      <w:r w:rsidR="007009C0">
        <w:rPr>
          <w:rFonts w:ascii="Calibri" w:hAnsi="Calibri" w:cs="Calibri"/>
          <w:noProof/>
        </w:rPr>
        <w:t>[3]</w:t>
      </w:r>
      <w:r w:rsidRPr="00996B2B">
        <w:rPr>
          <w:rFonts w:ascii="Calibri" w:hAnsi="Calibri" w:cs="Calibri"/>
        </w:rPr>
        <w:fldChar w:fldCharType="end"/>
      </w:r>
      <w:r w:rsidRPr="00996B2B">
        <w:rPr>
          <w:rFonts w:ascii="Calibri" w:hAnsi="Calibri" w:cs="Calibri"/>
        </w:rPr>
        <w:t xml:space="preserve">. Briefly, a 20-fold molar excess of DOTA (4.74 mg/mL, 20 µL) was conjugated to trastuzumab (2 mg/mL, 0.5 mL) for 24 h at 37°C and pH 7. After incubation, DOTA-Trastuzumab was purified by size molecular exclusion on PD-10 column (GE Healthcare, USA) and sodium chloride 0.9%. The number of chelates per antibody was determined by MALDI-TOF MS as previously described </w:t>
      </w:r>
      <w:r w:rsidRPr="00996B2B">
        <w:rPr>
          <w:rFonts w:ascii="Calibri" w:hAnsi="Calibri" w:cs="Calibri"/>
        </w:rPr>
        <w:fldChar w:fldCharType="begin"/>
      </w:r>
      <w:r w:rsidR="007009C0">
        <w:rPr>
          <w:rFonts w:ascii="Calibri" w:hAnsi="Calibri" w:cs="Calibri"/>
        </w:rPr>
        <w:instrText xml:space="preserve"> ADDIN EN.CITE &lt;EndNote&gt;&lt;Cite&gt;&lt;Author&gt;Benedetto&lt;/Author&gt;&lt;Year&gt;2017&lt;/Year&gt;&lt;RecNum&gt;137&lt;/RecNum&gt;&lt;DisplayText&gt;[2]&lt;/DisplayText&gt;&lt;record&gt;&lt;rec-number&gt;137&lt;/rec-number&gt;&lt;foreign-keys&gt;&lt;key app="EN" db-id="tw2pds5a0095ftedpevvzvsywsax2vesxxtd" timestamp="1720363979"&gt;137&lt;/key&gt;&lt;/foreign-keys&gt;&lt;ref-type name="Journal Article"&gt;17&lt;/ref-type&gt;&lt;contributors&gt;&lt;authors&gt;&lt;author&gt;Benedetto, Raquel&lt;/author&gt;&lt;author&gt;Massicano, Adriana Vidal Fernandes&lt;/author&gt;&lt;author&gt;Silva, Jefferson Jesus&lt;/author&gt;&lt;author&gt;Boas, Cristian Antonio Wieczorek Villas&lt;/author&gt;&lt;author&gt;Mengatti, Jair&lt;/author&gt;&lt;author&gt;Araújo, Elaine Bortoleti de&lt;/author&gt;&lt;/authors&gt;&lt;/contributors&gt;&lt;titles&gt;&lt;title&gt;Development of radioimmunoconjugate for diagnosis and management of head-and-neck subclinical cancer and colorectal carcinoma&lt;/title&gt;&lt;secondary-title&gt;Brazilian Journal of Pharmaceutical Sciences&lt;/secondary-title&gt;&lt;/titles&gt;&lt;periodical&gt;&lt;full-title&gt;Brazilian Journal of Pharmaceutical Sciences&lt;/full-title&gt;&lt;/periodical&gt;&lt;pages&gt;e17039&lt;/pages&gt;&lt;volume&gt;53&lt;/volume&gt;&lt;number&gt;04&lt;/number&gt;&lt;dates&gt;&lt;year&gt;2017&lt;/year&gt;&lt;/dates&gt;&lt;isbn&gt;2175-9790&lt;/isbn&gt;&lt;urls&gt;&lt;/urls&gt;&lt;/record&gt;&lt;/Cite&gt;&lt;/EndNote&gt;</w:instrText>
      </w:r>
      <w:r w:rsidRPr="00996B2B">
        <w:rPr>
          <w:rFonts w:ascii="Calibri" w:hAnsi="Calibri" w:cs="Calibri"/>
        </w:rPr>
        <w:fldChar w:fldCharType="separate"/>
      </w:r>
      <w:r w:rsidR="007009C0">
        <w:rPr>
          <w:rFonts w:ascii="Calibri" w:hAnsi="Calibri" w:cs="Calibri"/>
          <w:noProof/>
        </w:rPr>
        <w:t>[2]</w:t>
      </w:r>
      <w:r w:rsidRPr="00996B2B">
        <w:rPr>
          <w:rFonts w:ascii="Calibri" w:hAnsi="Calibri" w:cs="Calibri"/>
        </w:rPr>
        <w:fldChar w:fldCharType="end"/>
      </w:r>
      <w:r w:rsidRPr="00996B2B">
        <w:rPr>
          <w:rFonts w:ascii="Calibri" w:hAnsi="Calibri" w:cs="Calibri"/>
        </w:rPr>
        <w:t>. The [</w:t>
      </w:r>
      <w:r w:rsidRPr="00996B2B">
        <w:rPr>
          <w:rFonts w:ascii="Calibri" w:hAnsi="Calibri" w:cs="Calibri"/>
          <w:vertAlign w:val="superscript"/>
        </w:rPr>
        <w:t>177</w:t>
      </w:r>
      <w:r w:rsidRPr="00996B2B">
        <w:rPr>
          <w:rFonts w:ascii="Calibri" w:hAnsi="Calibri" w:cs="Calibri"/>
        </w:rPr>
        <w:t>Lu]Lu-chloride ([</w:t>
      </w:r>
      <w:r w:rsidRPr="00996B2B">
        <w:rPr>
          <w:rFonts w:ascii="Calibri" w:hAnsi="Calibri" w:cs="Calibri"/>
          <w:vertAlign w:val="superscript"/>
        </w:rPr>
        <w:t>177</w:t>
      </w:r>
      <w:r w:rsidRPr="00996B2B">
        <w:rPr>
          <w:rFonts w:ascii="Calibri" w:hAnsi="Calibri" w:cs="Calibri"/>
        </w:rPr>
        <w:t>Lu]LuCl</w:t>
      </w:r>
      <w:r w:rsidRPr="00996B2B">
        <w:rPr>
          <w:rFonts w:ascii="Calibri" w:hAnsi="Calibri" w:cs="Calibri"/>
          <w:vertAlign w:val="subscript"/>
        </w:rPr>
        <w:t>3</w:t>
      </w:r>
      <w:r w:rsidRPr="00996B2B">
        <w:rPr>
          <w:rFonts w:ascii="Calibri" w:hAnsi="Calibri" w:cs="Calibri"/>
        </w:rPr>
        <w:t>) was obtained from ITM Medical Isotope GmbH. For radiolabeling, 185-370 MBq of [</w:t>
      </w:r>
      <w:r w:rsidRPr="00996B2B">
        <w:rPr>
          <w:rFonts w:ascii="Calibri" w:hAnsi="Calibri" w:cs="Calibri"/>
          <w:vertAlign w:val="superscript"/>
        </w:rPr>
        <w:t>177</w:t>
      </w:r>
      <w:r w:rsidRPr="00996B2B">
        <w:rPr>
          <w:rFonts w:ascii="Calibri" w:hAnsi="Calibri" w:cs="Calibri"/>
        </w:rPr>
        <w:t>Lu]LuCl</w:t>
      </w:r>
      <w:r w:rsidRPr="00996B2B">
        <w:rPr>
          <w:rFonts w:ascii="Calibri" w:hAnsi="Calibri" w:cs="Calibri"/>
          <w:vertAlign w:val="subscript"/>
        </w:rPr>
        <w:t xml:space="preserve">3 </w:t>
      </w:r>
      <w:r w:rsidRPr="00996B2B">
        <w:rPr>
          <w:rFonts w:ascii="Calibri" w:hAnsi="Calibri" w:cs="Calibri"/>
        </w:rPr>
        <w:t>was added to the DOTA-Trastuzumab conjugate (200-600 μg) in 0.25 M ammonium acetate and incubated for 30 min at 37 °C. Subsequently, the radioimmunoconjugate was purified, and its RCP was analyzed using TLC and SEC-HPLC, following the same protocol described above.</w:t>
      </w:r>
    </w:p>
    <w:p w14:paraId="41A41B21" w14:textId="77777777" w:rsidR="001F562C" w:rsidRPr="00996B2B" w:rsidRDefault="001F562C" w:rsidP="001F562C">
      <w:pPr>
        <w:spacing w:line="360" w:lineRule="auto"/>
        <w:jc w:val="both"/>
        <w:rPr>
          <w:rFonts w:ascii="Calibri" w:hAnsi="Calibri" w:cs="Calibri"/>
          <w:b/>
          <w:bCs/>
        </w:rPr>
      </w:pPr>
      <w:bookmarkStart w:id="5" w:name="_Toc175839850"/>
    </w:p>
    <w:p w14:paraId="4FB1A22B" w14:textId="77777777" w:rsidR="001F562C" w:rsidRPr="00996B2B" w:rsidRDefault="001F562C" w:rsidP="001F562C">
      <w:pPr>
        <w:spacing w:line="360" w:lineRule="auto"/>
        <w:jc w:val="both"/>
        <w:rPr>
          <w:rFonts w:ascii="Calibri" w:hAnsi="Calibri" w:cs="Calibri"/>
          <w:b/>
          <w:bCs/>
        </w:rPr>
      </w:pPr>
      <w:r w:rsidRPr="00996B2B">
        <w:rPr>
          <w:rFonts w:ascii="Calibri" w:hAnsi="Calibri" w:cs="Calibri"/>
          <w:b/>
          <w:bCs/>
        </w:rPr>
        <w:t>Radiochemical stability tests</w:t>
      </w:r>
      <w:bookmarkEnd w:id="5"/>
    </w:p>
    <w:p w14:paraId="6CA73C03" w14:textId="6120EF6D" w:rsidR="001F562C" w:rsidRPr="00996B2B" w:rsidRDefault="001F562C" w:rsidP="001F562C">
      <w:pPr>
        <w:spacing w:line="360" w:lineRule="auto"/>
        <w:jc w:val="both"/>
        <w:rPr>
          <w:rFonts w:ascii="Calibri" w:hAnsi="Calibri" w:cs="Calibri"/>
        </w:rPr>
      </w:pPr>
      <w:r w:rsidRPr="00996B2B">
        <w:rPr>
          <w:rFonts w:ascii="Calibri" w:hAnsi="Calibri" w:cs="Calibri"/>
        </w:rPr>
        <w:t>For radiochemical stability analysis, the radiolabeled complexes [</w:t>
      </w:r>
      <w:r w:rsidRPr="00996B2B">
        <w:rPr>
          <w:rFonts w:ascii="Calibri" w:hAnsi="Calibri" w:cs="Calibri"/>
          <w:vertAlign w:val="superscript"/>
        </w:rPr>
        <w:t>89</w:t>
      </w:r>
      <w:r w:rsidRPr="00996B2B">
        <w:rPr>
          <w:rFonts w:ascii="Calibri" w:hAnsi="Calibri" w:cs="Calibri"/>
        </w:rPr>
        <w:t>Zr]Zr-DFO-Trastuzumab and</w:t>
      </w:r>
      <w:r w:rsidR="00D961CE">
        <w:rPr>
          <w:rFonts w:ascii="Calibri" w:hAnsi="Calibri" w:cs="Calibri"/>
        </w:rPr>
        <w:t xml:space="preserve"> </w:t>
      </w:r>
      <w:r w:rsidRPr="00996B2B">
        <w:rPr>
          <w:rFonts w:ascii="Calibri" w:hAnsi="Calibri" w:cs="Calibri"/>
        </w:rPr>
        <w:t>[</w:t>
      </w:r>
      <w:r w:rsidRPr="00996B2B">
        <w:rPr>
          <w:rFonts w:ascii="Calibri" w:hAnsi="Calibri" w:cs="Calibri"/>
          <w:vertAlign w:val="superscript"/>
        </w:rPr>
        <w:t>177</w:t>
      </w:r>
      <w:r w:rsidRPr="00996B2B">
        <w:rPr>
          <w:rFonts w:ascii="Calibri" w:hAnsi="Calibri" w:cs="Calibri"/>
        </w:rPr>
        <w:t xml:space="preserve">Lu]Lu-DOTA-Trastuzumab were incubated in PBS and mouse serum at 37°C for 1, 24, 48, 72, 96, 120, 144 and 168 h. Following incubation, samples were spotted directly onto TLC paper strips, eluted with 0.1 M </w:t>
      </w:r>
      <w:r w:rsidR="00D961CE">
        <w:rPr>
          <w:rFonts w:ascii="Calibri" w:hAnsi="Calibri" w:cs="Calibri"/>
        </w:rPr>
        <w:t xml:space="preserve">sodium </w:t>
      </w:r>
      <w:r w:rsidRPr="00996B2B">
        <w:rPr>
          <w:rFonts w:ascii="Calibri" w:hAnsi="Calibri" w:cs="Calibri"/>
        </w:rPr>
        <w:t>citrate solution, and analyzed by TLC. This assay was performed in three independent experiments for each radiolabeled complex.</w:t>
      </w:r>
    </w:p>
    <w:p w14:paraId="59353713" w14:textId="77777777" w:rsidR="001F562C" w:rsidRPr="00996B2B" w:rsidRDefault="001F562C" w:rsidP="001F562C">
      <w:pPr>
        <w:rPr>
          <w:rFonts w:ascii="Calibri" w:hAnsi="Calibri" w:cs="Calibri"/>
        </w:rPr>
      </w:pPr>
    </w:p>
    <w:p w14:paraId="698ECA10" w14:textId="77777777" w:rsidR="001F562C" w:rsidRPr="00996B2B" w:rsidRDefault="001F562C" w:rsidP="001F562C">
      <w:pPr>
        <w:spacing w:line="360" w:lineRule="auto"/>
        <w:jc w:val="both"/>
        <w:rPr>
          <w:rFonts w:ascii="Calibri" w:hAnsi="Calibri" w:cs="Calibri"/>
          <w:b/>
          <w:bCs/>
        </w:rPr>
      </w:pPr>
      <w:bookmarkStart w:id="6" w:name="_Toc175839851"/>
      <w:r w:rsidRPr="00996B2B">
        <w:rPr>
          <w:rFonts w:ascii="Calibri" w:hAnsi="Calibri" w:cs="Calibri"/>
          <w:b/>
          <w:bCs/>
        </w:rPr>
        <w:t>Cell binding assays</w:t>
      </w:r>
      <w:bookmarkEnd w:id="6"/>
    </w:p>
    <w:p w14:paraId="25EAB2D0" w14:textId="77777777" w:rsidR="001F562C" w:rsidRPr="00996B2B" w:rsidRDefault="001F562C" w:rsidP="001F562C">
      <w:pPr>
        <w:spacing w:line="360" w:lineRule="auto"/>
        <w:jc w:val="both"/>
        <w:rPr>
          <w:rFonts w:ascii="Calibri" w:hAnsi="Calibri" w:cs="Calibri"/>
        </w:rPr>
      </w:pPr>
      <w:r w:rsidRPr="00996B2B">
        <w:rPr>
          <w:rFonts w:ascii="Calibri" w:hAnsi="Calibri" w:cs="Calibri"/>
        </w:rPr>
        <w:t>The HER2 binding affinity of [</w:t>
      </w:r>
      <w:r w:rsidRPr="00996B2B">
        <w:rPr>
          <w:rFonts w:ascii="Calibri" w:hAnsi="Calibri" w:cs="Calibri"/>
          <w:vertAlign w:val="superscript"/>
        </w:rPr>
        <w:t>89</w:t>
      </w:r>
      <w:r w:rsidRPr="00996B2B">
        <w:rPr>
          <w:rFonts w:ascii="Calibri" w:hAnsi="Calibri" w:cs="Calibri"/>
        </w:rPr>
        <w:t>Zr]Zr-DFO-Trastuzumab was evaluated through a radioligand cell binding assay. The HER2-binding of [</w:t>
      </w:r>
      <w:r w:rsidRPr="00996B2B">
        <w:rPr>
          <w:rFonts w:ascii="Calibri" w:hAnsi="Calibri" w:cs="Calibri"/>
          <w:vertAlign w:val="superscript"/>
        </w:rPr>
        <w:t>177</w:t>
      </w:r>
      <w:r w:rsidRPr="00996B2B">
        <w:rPr>
          <w:rFonts w:ascii="Calibri" w:hAnsi="Calibri" w:cs="Calibri"/>
        </w:rPr>
        <w:t xml:space="preserve">Lu]Lu-DOTA-Trastuzumab was not determined since it was assumed that the substitution of </w:t>
      </w:r>
      <w:r w:rsidRPr="00996B2B">
        <w:rPr>
          <w:rFonts w:ascii="Calibri" w:hAnsi="Calibri" w:cs="Calibri"/>
          <w:vertAlign w:val="superscript"/>
        </w:rPr>
        <w:t>89</w:t>
      </w:r>
      <w:r w:rsidRPr="00996B2B">
        <w:rPr>
          <w:rFonts w:ascii="Calibri" w:hAnsi="Calibri" w:cs="Calibri"/>
        </w:rPr>
        <w:t xml:space="preserve">Zr for </w:t>
      </w:r>
      <w:r w:rsidRPr="00996B2B">
        <w:rPr>
          <w:rFonts w:ascii="Calibri" w:hAnsi="Calibri" w:cs="Calibri"/>
          <w:vertAlign w:val="superscript"/>
        </w:rPr>
        <w:t>177</w:t>
      </w:r>
      <w:r w:rsidRPr="00996B2B">
        <w:rPr>
          <w:rFonts w:ascii="Calibri" w:hAnsi="Calibri" w:cs="Calibri"/>
        </w:rPr>
        <w:t>Lu would not change these properties. Briefly, the HER2+ JIMT-1-BR and SUM190-BR cells were seeded in 6-well plates at densities of 3x10</w:t>
      </w:r>
      <w:r w:rsidRPr="00996B2B">
        <w:rPr>
          <w:rFonts w:ascii="Calibri" w:hAnsi="Calibri" w:cs="Calibri"/>
          <w:vertAlign w:val="superscript"/>
        </w:rPr>
        <w:t xml:space="preserve">5 </w:t>
      </w:r>
      <w:r w:rsidRPr="00996B2B">
        <w:rPr>
          <w:rFonts w:ascii="Calibri" w:hAnsi="Calibri" w:cs="Calibri"/>
        </w:rPr>
        <w:t>and 5x10</w:t>
      </w:r>
      <w:r w:rsidRPr="00996B2B">
        <w:rPr>
          <w:rFonts w:ascii="Calibri" w:hAnsi="Calibri" w:cs="Calibri"/>
          <w:vertAlign w:val="superscript"/>
        </w:rPr>
        <w:t>5</w:t>
      </w:r>
      <w:r w:rsidRPr="00996B2B">
        <w:rPr>
          <w:rFonts w:ascii="Calibri" w:hAnsi="Calibri" w:cs="Calibri"/>
        </w:rPr>
        <w:t xml:space="preserve"> cells per well, respectively, and allowed to adhere overnight. In addition, HER2-negative MDA-MB-231 cells were seeded at a density of 3x10</w:t>
      </w:r>
      <w:r w:rsidRPr="00996B2B">
        <w:rPr>
          <w:rFonts w:ascii="Calibri" w:hAnsi="Calibri" w:cs="Calibri"/>
          <w:vertAlign w:val="superscript"/>
        </w:rPr>
        <w:t xml:space="preserve">5 </w:t>
      </w:r>
      <w:r w:rsidRPr="00996B2B">
        <w:rPr>
          <w:rFonts w:ascii="Calibri" w:hAnsi="Calibri" w:cs="Calibri"/>
        </w:rPr>
        <w:t>cells per well and used as a negative control.</w:t>
      </w:r>
    </w:p>
    <w:p w14:paraId="0AD6DF85" w14:textId="49A1C4C6" w:rsidR="001F562C" w:rsidRDefault="001F562C" w:rsidP="001F562C">
      <w:pPr>
        <w:spacing w:line="360" w:lineRule="auto"/>
        <w:jc w:val="both"/>
        <w:rPr>
          <w:rFonts w:ascii="Calibri" w:hAnsi="Calibri" w:cs="Calibri"/>
        </w:rPr>
      </w:pPr>
      <w:r w:rsidRPr="00996B2B">
        <w:rPr>
          <w:rFonts w:ascii="Calibri" w:hAnsi="Calibri" w:cs="Calibri"/>
        </w:rPr>
        <w:t>Subsequently, BC cells were incubated with 1 MBq/mL of [</w:t>
      </w:r>
      <w:r w:rsidRPr="00996B2B">
        <w:rPr>
          <w:rFonts w:ascii="Calibri" w:hAnsi="Calibri" w:cs="Calibri"/>
          <w:vertAlign w:val="superscript"/>
        </w:rPr>
        <w:t>89</w:t>
      </w:r>
      <w:r w:rsidRPr="00996B2B">
        <w:rPr>
          <w:rFonts w:ascii="Calibri" w:hAnsi="Calibri" w:cs="Calibri"/>
        </w:rPr>
        <w:t xml:space="preserve">Zr]Zr-DFO-Trastuzumab in 2 mL of medium at 37°C for 0.5, 1, 2, and 3 h. After incubation, the medium was collected, and the cells were washed twice with ice-cold PBS. The cells were then lysed with 1 M </w:t>
      </w:r>
      <w:r w:rsidRPr="00996B2B">
        <w:rPr>
          <w:rFonts w:ascii="Calibri" w:hAnsi="Calibri" w:cs="Calibri"/>
        </w:rPr>
        <w:lastRenderedPageBreak/>
        <w:t xml:space="preserve">sodium hydroxide for 5 min at </w:t>
      </w:r>
      <w:r w:rsidR="00726F59">
        <w:rPr>
          <w:rFonts w:ascii="Calibri" w:hAnsi="Calibri" w:cs="Calibri"/>
        </w:rPr>
        <w:t>RT</w:t>
      </w:r>
      <w:r w:rsidRPr="00996B2B">
        <w:rPr>
          <w:rFonts w:ascii="Calibri" w:hAnsi="Calibri" w:cs="Calibri"/>
        </w:rPr>
        <w:t>. The radioactivity of all fractions (PBS, medium and cell lysates) was measured in a γ-counter (Mirion Technologies, Capintec) and the percentage of [</w:t>
      </w:r>
      <w:r w:rsidRPr="00996B2B">
        <w:rPr>
          <w:rFonts w:ascii="Calibri" w:hAnsi="Calibri" w:cs="Calibri"/>
          <w:vertAlign w:val="superscript"/>
        </w:rPr>
        <w:t>89</w:t>
      </w:r>
      <w:r w:rsidRPr="00996B2B">
        <w:rPr>
          <w:rFonts w:ascii="Calibri" w:hAnsi="Calibri" w:cs="Calibri"/>
        </w:rPr>
        <w:t>Zr]Zr-DFO-Trastuzumab bound to cells was calculated. This assay was performed in duplicate for each cell line in three independent experiments</w:t>
      </w:r>
      <w:r w:rsidR="008E57EA">
        <w:rPr>
          <w:rFonts w:ascii="Calibri" w:hAnsi="Calibri" w:cs="Calibri"/>
        </w:rPr>
        <w:t>.</w:t>
      </w:r>
    </w:p>
    <w:p w14:paraId="1400D484" w14:textId="77777777" w:rsidR="008E57EA" w:rsidRDefault="008E57EA" w:rsidP="001F562C">
      <w:pPr>
        <w:spacing w:line="360" w:lineRule="auto"/>
        <w:jc w:val="both"/>
        <w:rPr>
          <w:rFonts w:ascii="Calibri" w:hAnsi="Calibri" w:cs="Calibri"/>
        </w:rPr>
      </w:pPr>
    </w:p>
    <w:p w14:paraId="31649040" w14:textId="77777777" w:rsidR="008E57EA" w:rsidRPr="008E57EA" w:rsidRDefault="008E57EA" w:rsidP="008E57EA">
      <w:pPr>
        <w:spacing w:line="360" w:lineRule="auto"/>
        <w:jc w:val="both"/>
        <w:rPr>
          <w:rFonts w:ascii="Calibri" w:hAnsi="Calibri" w:cs="Calibri"/>
          <w:b/>
          <w:bCs/>
        </w:rPr>
      </w:pPr>
      <w:r w:rsidRPr="008E57EA">
        <w:rPr>
          <w:rFonts w:ascii="Calibri" w:hAnsi="Calibri" w:cs="Calibri"/>
          <w:b/>
          <w:bCs/>
        </w:rPr>
        <w:t>Cytotoxicity of trastuzumab and [</w:t>
      </w:r>
      <w:r w:rsidRPr="0075788C">
        <w:rPr>
          <w:rFonts w:ascii="Calibri" w:hAnsi="Calibri" w:cs="Calibri"/>
          <w:b/>
          <w:bCs/>
          <w:vertAlign w:val="superscript"/>
        </w:rPr>
        <w:t>177</w:t>
      </w:r>
      <w:r w:rsidRPr="008E57EA">
        <w:rPr>
          <w:rFonts w:ascii="Calibri" w:hAnsi="Calibri" w:cs="Calibri"/>
          <w:b/>
          <w:bCs/>
        </w:rPr>
        <w:t>Lu]Lu-DOTA-Trastuzumab in HER2+ BC cells</w:t>
      </w:r>
    </w:p>
    <w:p w14:paraId="79FEC25C" w14:textId="77777777" w:rsidR="008E57EA" w:rsidRPr="008E57EA" w:rsidRDefault="008E57EA" w:rsidP="008E57EA">
      <w:pPr>
        <w:spacing w:line="360" w:lineRule="auto"/>
        <w:jc w:val="both"/>
        <w:rPr>
          <w:rFonts w:ascii="Calibri" w:hAnsi="Calibri" w:cs="Calibri"/>
        </w:rPr>
      </w:pPr>
      <w:r w:rsidRPr="008E57EA">
        <w:rPr>
          <w:rFonts w:ascii="Calibri" w:hAnsi="Calibri" w:cs="Calibri"/>
        </w:rPr>
        <w:t>JIMT-1 and SUM190 cells and brain-metastatic derivatives were seeded in 48-well culture plates at a density of 1x10</w:t>
      </w:r>
      <w:r w:rsidRPr="00726F59">
        <w:rPr>
          <w:rFonts w:ascii="Calibri" w:hAnsi="Calibri" w:cs="Calibri"/>
          <w:vertAlign w:val="superscript"/>
        </w:rPr>
        <w:t>3</w:t>
      </w:r>
      <w:r w:rsidRPr="008E57EA">
        <w:rPr>
          <w:rFonts w:ascii="Calibri" w:hAnsi="Calibri" w:cs="Calibri"/>
        </w:rPr>
        <w:t xml:space="preserve"> and 3.5x10</w:t>
      </w:r>
      <w:r w:rsidRPr="00726F59">
        <w:rPr>
          <w:rFonts w:ascii="Calibri" w:hAnsi="Calibri" w:cs="Calibri"/>
          <w:vertAlign w:val="superscript"/>
        </w:rPr>
        <w:t>3</w:t>
      </w:r>
      <w:r w:rsidRPr="008E57EA">
        <w:rPr>
          <w:rFonts w:ascii="Calibri" w:hAnsi="Calibri" w:cs="Calibri"/>
        </w:rPr>
        <w:t xml:space="preserve"> cells/well, respectively, and allowed to adhere overnight at 37°C. The next day, cells were incubated with trastuzumab (Herceptin; Evidentic GmbH) at concentrations of 10, 100, 200, 500, 750, and 1000 nM for 5 days. Untreated cells were used as controls. Cells were then washed twice with PBS, replenished with trastuzumab-free growth medium, and incubated for another 5 days. Cell viability was evaluated using the resazurin assay (Sigma-Aldrich). Metabolic conversion of resazurin into the fluorescent resorufin was detected in a microplate reader (Biotek, Synergy HT), at excitation and emission wavelengths of 530 nm and 590 nm.</w:t>
      </w:r>
    </w:p>
    <w:p w14:paraId="43F200AB" w14:textId="3D733ED4" w:rsidR="008E57EA" w:rsidRDefault="008E57EA" w:rsidP="008E57EA">
      <w:pPr>
        <w:spacing w:line="360" w:lineRule="auto"/>
        <w:jc w:val="both"/>
        <w:rPr>
          <w:rFonts w:ascii="Calibri" w:hAnsi="Calibri" w:cs="Calibri"/>
        </w:rPr>
      </w:pPr>
      <w:r w:rsidRPr="008E57EA">
        <w:rPr>
          <w:rFonts w:ascii="Calibri" w:hAnsi="Calibri" w:cs="Calibri"/>
        </w:rPr>
        <w:t>To evaluate the cytotoxic effects of [</w:t>
      </w:r>
      <w:r w:rsidRPr="0075788C">
        <w:rPr>
          <w:rFonts w:ascii="Calibri" w:hAnsi="Calibri" w:cs="Calibri"/>
          <w:vertAlign w:val="superscript"/>
        </w:rPr>
        <w:t>177</w:t>
      </w:r>
      <w:r w:rsidRPr="008E57EA">
        <w:rPr>
          <w:rFonts w:ascii="Calibri" w:hAnsi="Calibri" w:cs="Calibri"/>
        </w:rPr>
        <w:t>Lu]Lu-DOTA-Trastuzumab, JIMT-1 and SUM190 cells and their brain metastatic derivatives were seeded in 96-well culture plates at a density of 4x10</w:t>
      </w:r>
      <w:r w:rsidRPr="0075788C">
        <w:rPr>
          <w:rFonts w:ascii="Calibri" w:hAnsi="Calibri" w:cs="Calibri"/>
          <w:vertAlign w:val="superscript"/>
        </w:rPr>
        <w:t>3</w:t>
      </w:r>
      <w:r w:rsidRPr="008E57EA">
        <w:rPr>
          <w:rFonts w:ascii="Calibri" w:hAnsi="Calibri" w:cs="Calibri"/>
        </w:rPr>
        <w:t xml:space="preserve"> and 1x10</w:t>
      </w:r>
      <w:r w:rsidRPr="0075788C">
        <w:rPr>
          <w:rFonts w:ascii="Calibri" w:hAnsi="Calibri" w:cs="Calibri"/>
          <w:vertAlign w:val="superscript"/>
        </w:rPr>
        <w:t>4</w:t>
      </w:r>
      <w:r w:rsidRPr="008E57EA">
        <w:rPr>
          <w:rFonts w:ascii="Calibri" w:hAnsi="Calibri" w:cs="Calibri"/>
        </w:rPr>
        <w:t xml:space="preserve"> cells/well, respectively, and left to adhere overnight at 37°C. JIMT-1 cells were exposed to 0.5, 1, 2, and 5 MBq/mL of [</w:t>
      </w:r>
      <w:r w:rsidRPr="0075788C">
        <w:rPr>
          <w:rFonts w:ascii="Calibri" w:hAnsi="Calibri" w:cs="Calibri"/>
          <w:vertAlign w:val="superscript"/>
        </w:rPr>
        <w:t>177</w:t>
      </w:r>
      <w:r w:rsidRPr="008E57EA">
        <w:rPr>
          <w:rFonts w:ascii="Calibri" w:hAnsi="Calibri" w:cs="Calibri"/>
        </w:rPr>
        <w:t>Lu]Lu-DOTA-Trastuzumab, while SUM190 cells were exposed to 1, 5, 7.5, and 10 MBq/mL of [</w:t>
      </w:r>
      <w:r w:rsidRPr="0075788C">
        <w:rPr>
          <w:rFonts w:ascii="Calibri" w:hAnsi="Calibri" w:cs="Calibri"/>
          <w:vertAlign w:val="superscript"/>
        </w:rPr>
        <w:t>177</w:t>
      </w:r>
      <w:r w:rsidRPr="008E57EA">
        <w:rPr>
          <w:rFonts w:ascii="Calibri" w:hAnsi="Calibri" w:cs="Calibri"/>
        </w:rPr>
        <w:t>Lu]Lu-DOTA-Trastuzumab in 200 μL of medium and incubated at 37°C for 2 h. Untreated cells were used as controls. Subsequently, the medium was replaced with fresh culture medium and the cells were maintained at 37°C for 3, 5 and 7 days. Cell viability was evaluated using the CellTiter-Glo® 3D Cell Viability Assay (Promega) according to the manufacturer’s instructions through luminescence reading in a microplate reader (Biotek, Synergy HT). Results were expressed as the percentage of surviving cells relative to the untreated cells. Three independent experiments with at least four replicates were performed for each cell line.</w:t>
      </w:r>
    </w:p>
    <w:p w14:paraId="28FDBE6E" w14:textId="77777777" w:rsidR="0050467F" w:rsidRDefault="0050467F" w:rsidP="008E57EA">
      <w:pPr>
        <w:spacing w:line="360" w:lineRule="auto"/>
        <w:jc w:val="both"/>
        <w:rPr>
          <w:rFonts w:ascii="Calibri" w:hAnsi="Calibri" w:cs="Calibri"/>
        </w:rPr>
      </w:pPr>
    </w:p>
    <w:p w14:paraId="070CC6F8" w14:textId="77777777" w:rsidR="0050467F" w:rsidRDefault="0050467F" w:rsidP="008E57EA">
      <w:pPr>
        <w:spacing w:line="360" w:lineRule="auto"/>
        <w:jc w:val="both"/>
        <w:rPr>
          <w:rFonts w:ascii="Calibri" w:hAnsi="Calibri" w:cs="Calibri"/>
        </w:rPr>
      </w:pPr>
    </w:p>
    <w:p w14:paraId="14BC2C48" w14:textId="77777777" w:rsidR="0050467F" w:rsidRDefault="0050467F" w:rsidP="008E57EA">
      <w:pPr>
        <w:spacing w:line="360" w:lineRule="auto"/>
        <w:jc w:val="both"/>
        <w:rPr>
          <w:rFonts w:ascii="Calibri" w:hAnsi="Calibri" w:cs="Calibri"/>
        </w:rPr>
      </w:pPr>
    </w:p>
    <w:p w14:paraId="1EF1328F" w14:textId="245F9D51" w:rsidR="0075788C" w:rsidRPr="0075788C" w:rsidRDefault="0050467F" w:rsidP="0075788C">
      <w:pPr>
        <w:spacing w:line="360" w:lineRule="auto"/>
        <w:jc w:val="both"/>
        <w:rPr>
          <w:rFonts w:ascii="Calibri" w:hAnsi="Calibri" w:cs="Calibri"/>
          <w:b/>
          <w:bCs/>
        </w:rPr>
      </w:pPr>
      <w:r w:rsidRPr="0050467F">
        <w:rPr>
          <w:rFonts w:ascii="Calibri" w:hAnsi="Calibri" w:cs="Calibri"/>
          <w:b/>
          <w:bCs/>
        </w:rPr>
        <w:lastRenderedPageBreak/>
        <w:t>Positron emission tomography</w:t>
      </w:r>
      <w:r>
        <w:rPr>
          <w:rFonts w:ascii="Calibri" w:hAnsi="Calibri" w:cs="Calibri"/>
          <w:b/>
          <w:bCs/>
        </w:rPr>
        <w:t xml:space="preserve"> </w:t>
      </w:r>
      <w:r w:rsidR="0075788C" w:rsidRPr="0075788C">
        <w:rPr>
          <w:rFonts w:ascii="Calibri" w:hAnsi="Calibri" w:cs="Calibri"/>
          <w:b/>
          <w:bCs/>
        </w:rPr>
        <w:t>imaging with [</w:t>
      </w:r>
      <w:r w:rsidR="0075788C" w:rsidRPr="0075788C">
        <w:rPr>
          <w:rFonts w:ascii="Calibri" w:hAnsi="Calibri" w:cs="Calibri"/>
          <w:b/>
          <w:bCs/>
          <w:vertAlign w:val="superscript"/>
        </w:rPr>
        <w:t>89</w:t>
      </w:r>
      <w:r w:rsidR="0075788C" w:rsidRPr="0075788C">
        <w:rPr>
          <w:rFonts w:ascii="Calibri" w:hAnsi="Calibri" w:cs="Calibri"/>
          <w:b/>
          <w:bCs/>
        </w:rPr>
        <w:t>Zr]Zr-DFO-Trastuzumab</w:t>
      </w:r>
    </w:p>
    <w:p w14:paraId="7E491B11" w14:textId="262D69FF" w:rsidR="0075788C" w:rsidRPr="00996B2B" w:rsidRDefault="0075788C" w:rsidP="0075788C">
      <w:pPr>
        <w:spacing w:line="360" w:lineRule="auto"/>
        <w:jc w:val="both"/>
        <w:rPr>
          <w:rFonts w:ascii="Calibri" w:hAnsi="Calibri" w:cs="Calibri"/>
        </w:rPr>
      </w:pPr>
      <w:r w:rsidRPr="0075788C">
        <w:rPr>
          <w:rFonts w:ascii="Calibri" w:hAnsi="Calibri" w:cs="Calibri"/>
        </w:rPr>
        <w:t>Animals bearing a primary breast tumor or BrM were injected intravenously into the tail vein with ~7 MBq of [</w:t>
      </w:r>
      <w:r w:rsidRPr="0075788C">
        <w:rPr>
          <w:rFonts w:ascii="Calibri" w:hAnsi="Calibri" w:cs="Calibri"/>
          <w:vertAlign w:val="superscript"/>
        </w:rPr>
        <w:t>89</w:t>
      </w:r>
      <w:r w:rsidRPr="0075788C">
        <w:rPr>
          <w:rFonts w:ascii="Calibri" w:hAnsi="Calibri" w:cs="Calibri"/>
        </w:rPr>
        <w:t>Zr]Zr-DFO-Trastuzumab in 100 µL of PBS. Positron emission tomography (PET) imaging was performed 5 days post-injection under anesthesia (2% isoflurane) using a prototype of a high-acceptance small-animal PET based on resistive plate chambers, with a 3D isotropic image of 0.5 mm [22]. The breathing rate and body temperature of the animals were monitored throughout the imaging procedures (SA Instruments SA). After PET scanning, an MRI was performed with the animal in the same position for anatomical co-localization. Morphological images were acquired with a 2D T2-weighted turbo RARE sequence with the following parameters: TE/TR=33/6164 ms, FOV=80.0*45.0 mm, acquisition matrix=320*320, averages=3, rare factor=8, echospacing=11 ms, 60 sagital continuous slices with 0.5 mm thick and acquisition time of 12m19s. Images were fused using PMOD software. After imaging, mice were euthanized and perfused with PBS. Tumors and selected organs were collected, weighed, and analyzed in a gamma counter to measure radioactivity. The radioactivity of each sample was measured using a CRC®-55tW automated well counter (Capintec) and was expressed as the percentage of injected dose per gram of tissue (% ID/g).</w:t>
      </w:r>
    </w:p>
    <w:p w14:paraId="0BC1D762" w14:textId="77777777" w:rsidR="008E57EA" w:rsidRPr="00996B2B" w:rsidRDefault="008E57EA" w:rsidP="001F562C">
      <w:pPr>
        <w:spacing w:line="360" w:lineRule="auto"/>
        <w:rPr>
          <w:rFonts w:ascii="Calibri" w:hAnsi="Calibri" w:cs="Calibri"/>
          <w:b/>
          <w:bCs/>
        </w:rPr>
      </w:pPr>
    </w:p>
    <w:p w14:paraId="73D7F45B" w14:textId="77777777" w:rsidR="001F562C" w:rsidRPr="00996B2B" w:rsidRDefault="001F562C" w:rsidP="001F562C">
      <w:pPr>
        <w:spacing w:line="360" w:lineRule="auto"/>
        <w:jc w:val="both"/>
        <w:rPr>
          <w:rFonts w:ascii="Calibri" w:hAnsi="Calibri" w:cs="Calibri"/>
          <w:b/>
          <w:bCs/>
        </w:rPr>
      </w:pPr>
      <w:r w:rsidRPr="00996B2B">
        <w:rPr>
          <w:rFonts w:ascii="Calibri" w:hAnsi="Calibri" w:cs="Calibri"/>
          <w:b/>
          <w:bCs/>
        </w:rPr>
        <w:t>Histopathological analysis and immunostaining</w:t>
      </w:r>
    </w:p>
    <w:p w14:paraId="3EC64A42" w14:textId="578B950D" w:rsidR="00233E79" w:rsidRDefault="001F562C" w:rsidP="001F562C">
      <w:pPr>
        <w:spacing w:line="360" w:lineRule="auto"/>
        <w:jc w:val="both"/>
        <w:rPr>
          <w:rFonts w:ascii="Calibri" w:hAnsi="Calibri" w:cs="Calibri"/>
        </w:rPr>
      </w:pPr>
      <w:r w:rsidRPr="00996B2B">
        <w:rPr>
          <w:rFonts w:ascii="Calibri" w:hAnsi="Calibri" w:cs="Calibri"/>
        </w:rPr>
        <w:t>Tumor and coronal brain metastatic sections with a thickness 4 μm were stained with hematoxylin and eosin (H&amp;E, Sigma-Aldrich) or with the antibody against HER2 (Cell Signaling, ref. 2165). Antigen retrieval was performed by immersing slides in EDTA-Tris buffer (pH 8) for 24 min at 97°C and then blocked with a buffered hyperprotein solution for 4 min to avoid nonspecific bonds. Immunostaining was performed using a Ventana Marker Platform Benchmark Ultra IHC/ISH with the resource of a multimeric indirect free biotin detection system (Optiview DAB IHC Detection Kit, Ventana Medical Systems), according to the manufacturer’s instructions. Slides were observed under a light microscope Nikon Eclipse 50 I and images were captured with a Nikon-Digital Sight DS-Fi1 camera.</w:t>
      </w:r>
    </w:p>
    <w:p w14:paraId="70FE5DD3" w14:textId="77777777" w:rsidR="00233E79" w:rsidRDefault="00233E79">
      <w:pPr>
        <w:rPr>
          <w:rFonts w:ascii="Calibri" w:hAnsi="Calibri" w:cs="Calibri"/>
        </w:rPr>
      </w:pPr>
      <w:r>
        <w:rPr>
          <w:rFonts w:ascii="Calibri" w:hAnsi="Calibri" w:cs="Calibri"/>
        </w:rPr>
        <w:br w:type="page"/>
      </w:r>
    </w:p>
    <w:p w14:paraId="2E1F1AE0" w14:textId="67055563" w:rsidR="001F562C" w:rsidRDefault="00233E79" w:rsidP="001F562C">
      <w:pPr>
        <w:spacing w:line="360" w:lineRule="auto"/>
        <w:jc w:val="both"/>
        <w:rPr>
          <w:rFonts w:ascii="Calibri" w:hAnsi="Calibri" w:cs="Calibri"/>
        </w:rPr>
      </w:pPr>
      <w:r w:rsidRPr="00233E79">
        <w:rPr>
          <w:rFonts w:ascii="Calibri" w:hAnsi="Calibri" w:cs="Calibri"/>
          <w:b/>
          <w:bCs/>
          <w:noProof/>
        </w:rPr>
        <w:lastRenderedPageBreak/>
        <w:drawing>
          <wp:anchor distT="0" distB="0" distL="114300" distR="114300" simplePos="0" relativeHeight="251658240" behindDoc="0" locked="0" layoutInCell="1" allowOverlap="1" wp14:anchorId="7A5FB232" wp14:editId="4F842632">
            <wp:simplePos x="0" y="0"/>
            <wp:positionH relativeFrom="column">
              <wp:posOffset>0</wp:posOffset>
            </wp:positionH>
            <wp:positionV relativeFrom="paragraph">
              <wp:posOffset>0</wp:posOffset>
            </wp:positionV>
            <wp:extent cx="5400040" cy="7078980"/>
            <wp:effectExtent l="0" t="0" r="0" b="0"/>
            <wp:wrapSquare wrapText="bothSides"/>
            <wp:docPr id="8102312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231223" name="Imagem 810231223"/>
                    <pic:cNvPicPr/>
                  </pic:nvPicPr>
                  <pic:blipFill>
                    <a:blip r:embed="rId6"/>
                    <a:stretch>
                      <a:fillRect/>
                    </a:stretch>
                  </pic:blipFill>
                  <pic:spPr>
                    <a:xfrm>
                      <a:off x="0" y="0"/>
                      <a:ext cx="5400040" cy="7078980"/>
                    </a:xfrm>
                    <a:prstGeom prst="rect">
                      <a:avLst/>
                    </a:prstGeom>
                  </pic:spPr>
                </pic:pic>
              </a:graphicData>
            </a:graphic>
            <wp14:sizeRelH relativeFrom="page">
              <wp14:pctWidth>0</wp14:pctWidth>
            </wp14:sizeRelH>
            <wp14:sizeRelV relativeFrom="page">
              <wp14:pctHeight>0</wp14:pctHeight>
            </wp14:sizeRelV>
          </wp:anchor>
        </w:drawing>
      </w:r>
      <w:r w:rsidRPr="00233E79">
        <w:rPr>
          <w:rFonts w:ascii="Calibri" w:hAnsi="Calibri" w:cs="Calibri"/>
          <w:b/>
          <w:bCs/>
        </w:rPr>
        <w:t>Fig S1</w:t>
      </w:r>
      <w:r>
        <w:rPr>
          <w:rFonts w:ascii="Calibri" w:hAnsi="Calibri" w:cs="Calibri"/>
          <w:b/>
          <w:bCs/>
        </w:rPr>
        <w:t xml:space="preserve"> </w:t>
      </w:r>
      <w:r w:rsidRPr="0018182A">
        <w:rPr>
          <w:rFonts w:ascii="Calibri" w:hAnsi="Calibri" w:cs="Calibri"/>
        </w:rPr>
        <w:t xml:space="preserve">Radiolabeling of trastuzumab with </w:t>
      </w:r>
      <w:r w:rsidRPr="0018182A">
        <w:rPr>
          <w:rFonts w:ascii="Calibri" w:hAnsi="Calibri" w:cs="Calibri"/>
          <w:vertAlign w:val="superscript"/>
        </w:rPr>
        <w:t>89</w:t>
      </w:r>
      <w:r w:rsidRPr="0018182A">
        <w:rPr>
          <w:rFonts w:ascii="Calibri" w:hAnsi="Calibri" w:cs="Calibri"/>
        </w:rPr>
        <w:t xml:space="preserve">Zr and </w:t>
      </w:r>
      <w:r w:rsidRPr="0018182A">
        <w:rPr>
          <w:rFonts w:ascii="Calibri" w:hAnsi="Calibri" w:cs="Calibri"/>
          <w:vertAlign w:val="superscript"/>
        </w:rPr>
        <w:t>177</w:t>
      </w:r>
      <w:r w:rsidRPr="0018182A">
        <w:rPr>
          <w:rFonts w:ascii="Calibri" w:hAnsi="Calibri" w:cs="Calibri"/>
        </w:rPr>
        <w:t xml:space="preserve">Lu </w:t>
      </w:r>
      <w:r w:rsidRPr="00233E79">
        <w:rPr>
          <w:rFonts w:ascii="Calibri" w:hAnsi="Calibri" w:cs="Calibri"/>
        </w:rPr>
        <w:t>results in stable complexes with high radiochemical purity</w:t>
      </w:r>
      <w:r w:rsidRPr="0018182A">
        <w:rPr>
          <w:rFonts w:ascii="Calibri" w:hAnsi="Calibri" w:cs="Calibri"/>
        </w:rPr>
        <w:t xml:space="preserve">. </w:t>
      </w:r>
      <w:r w:rsidRPr="00702F75">
        <w:rPr>
          <w:rFonts w:ascii="Calibri" w:hAnsi="Calibri" w:cs="Calibri"/>
        </w:rPr>
        <w:t>(A)</w:t>
      </w:r>
      <w:r w:rsidRPr="0018182A">
        <w:rPr>
          <w:rFonts w:ascii="Calibri" w:hAnsi="Calibri" w:cs="Calibri"/>
        </w:rPr>
        <w:t xml:space="preserve"> Size exclusion high-performance liquid chromatography (SEC-HPLC) analysis of DFO-Trastuzumab and DOTA-Trastuzumab (left) and their corresponding </w:t>
      </w:r>
      <w:r w:rsidRPr="0018182A">
        <w:rPr>
          <w:rFonts w:ascii="Calibri" w:hAnsi="Calibri" w:cs="Calibri"/>
          <w:vertAlign w:val="superscript"/>
        </w:rPr>
        <w:t>89</w:t>
      </w:r>
      <w:r w:rsidRPr="0018182A">
        <w:rPr>
          <w:rFonts w:ascii="Calibri" w:hAnsi="Calibri" w:cs="Calibri"/>
        </w:rPr>
        <w:t xml:space="preserve">Zr- and </w:t>
      </w:r>
      <w:r w:rsidRPr="0018182A">
        <w:rPr>
          <w:rFonts w:ascii="Calibri" w:hAnsi="Calibri" w:cs="Calibri"/>
          <w:vertAlign w:val="superscript"/>
        </w:rPr>
        <w:t>177</w:t>
      </w:r>
      <w:r w:rsidRPr="0018182A">
        <w:rPr>
          <w:rFonts w:ascii="Calibri" w:hAnsi="Calibri" w:cs="Calibri"/>
        </w:rPr>
        <w:t xml:space="preserve">Lu-labeled constructs (right). </w:t>
      </w:r>
      <w:r w:rsidRPr="00702F75">
        <w:rPr>
          <w:rFonts w:ascii="Calibri" w:hAnsi="Calibri" w:cs="Calibri"/>
        </w:rPr>
        <w:t>(B)</w:t>
      </w:r>
      <w:r w:rsidRPr="0018182A">
        <w:rPr>
          <w:rFonts w:ascii="Calibri" w:hAnsi="Calibri" w:cs="Calibri"/>
        </w:rPr>
        <w:t xml:space="preserve"> Radio-thin layer chromatography (radio-TLC) comparison of free </w:t>
      </w:r>
      <w:r w:rsidRPr="0018182A">
        <w:rPr>
          <w:rFonts w:ascii="Calibri" w:hAnsi="Calibri" w:cs="Calibri"/>
          <w:vertAlign w:val="superscript"/>
        </w:rPr>
        <w:t>89</w:t>
      </w:r>
      <w:r w:rsidRPr="0018182A">
        <w:rPr>
          <w:rFonts w:ascii="Calibri" w:hAnsi="Calibri" w:cs="Calibri"/>
        </w:rPr>
        <w:t xml:space="preserve">Zr and </w:t>
      </w:r>
      <w:r w:rsidRPr="0018182A">
        <w:rPr>
          <w:rFonts w:ascii="Calibri" w:hAnsi="Calibri" w:cs="Calibri"/>
          <w:vertAlign w:val="superscript"/>
        </w:rPr>
        <w:t>177</w:t>
      </w:r>
      <w:r w:rsidRPr="0018182A">
        <w:rPr>
          <w:rFonts w:ascii="Calibri" w:hAnsi="Calibri" w:cs="Calibri"/>
        </w:rPr>
        <w:t xml:space="preserve">Lu (left) with their respective trastuzumab-labeled constructs (right). </w:t>
      </w:r>
      <w:r w:rsidRPr="00702F75">
        <w:rPr>
          <w:rFonts w:ascii="Calibri" w:hAnsi="Calibri" w:cs="Calibri"/>
        </w:rPr>
        <w:t xml:space="preserve">(C) </w:t>
      </w:r>
      <w:r w:rsidRPr="00233E79">
        <w:rPr>
          <w:rFonts w:ascii="Calibri" w:hAnsi="Calibri" w:cs="Calibri"/>
        </w:rPr>
        <w:t>Radiochemical stability of [⁸⁹Zr]Zr-DFO-</w:t>
      </w:r>
      <w:r w:rsidRPr="00233E79">
        <w:rPr>
          <w:rFonts w:ascii="Calibri" w:hAnsi="Calibri" w:cs="Calibri"/>
        </w:rPr>
        <w:lastRenderedPageBreak/>
        <w:t>Trastuzumab (left) and [¹⁷⁷Lu]Lu-DOTA-Trastuzumab (right) assessed in PBS and mouse serum over 168 hours</w:t>
      </w:r>
    </w:p>
    <w:p w14:paraId="397DE30C" w14:textId="52A9AD47" w:rsidR="007009C0" w:rsidRDefault="007009C0" w:rsidP="001F562C">
      <w:pPr>
        <w:spacing w:line="360" w:lineRule="auto"/>
        <w:jc w:val="both"/>
        <w:rPr>
          <w:rFonts w:ascii="Calibri" w:hAnsi="Calibri" w:cs="Calibri"/>
        </w:rPr>
      </w:pPr>
      <w:r w:rsidRPr="00233E79">
        <w:rPr>
          <w:rFonts w:ascii="Calibri" w:hAnsi="Calibri" w:cs="Calibri"/>
          <w:b/>
          <w:bCs/>
          <w:noProof/>
        </w:rPr>
        <w:drawing>
          <wp:anchor distT="0" distB="0" distL="114300" distR="114300" simplePos="0" relativeHeight="251659264" behindDoc="0" locked="0" layoutInCell="1" allowOverlap="1" wp14:anchorId="30045400" wp14:editId="47E44ACA">
            <wp:simplePos x="0" y="0"/>
            <wp:positionH relativeFrom="column">
              <wp:posOffset>620395</wp:posOffset>
            </wp:positionH>
            <wp:positionV relativeFrom="paragraph">
              <wp:posOffset>194310</wp:posOffset>
            </wp:positionV>
            <wp:extent cx="4156075" cy="2159635"/>
            <wp:effectExtent l="0" t="0" r="0" b="0"/>
            <wp:wrapSquare wrapText="bothSides"/>
            <wp:docPr id="56867119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671191" name="Imagem 568671191"/>
                    <pic:cNvPicPr/>
                  </pic:nvPicPr>
                  <pic:blipFill>
                    <a:blip r:embed="rId7"/>
                    <a:stretch>
                      <a:fillRect/>
                    </a:stretch>
                  </pic:blipFill>
                  <pic:spPr>
                    <a:xfrm>
                      <a:off x="0" y="0"/>
                      <a:ext cx="4156075" cy="2159635"/>
                    </a:xfrm>
                    <a:prstGeom prst="rect">
                      <a:avLst/>
                    </a:prstGeom>
                  </pic:spPr>
                </pic:pic>
              </a:graphicData>
            </a:graphic>
            <wp14:sizeRelH relativeFrom="page">
              <wp14:pctWidth>0</wp14:pctWidth>
            </wp14:sizeRelH>
            <wp14:sizeRelV relativeFrom="page">
              <wp14:pctHeight>0</wp14:pctHeight>
            </wp14:sizeRelV>
          </wp:anchor>
        </w:drawing>
      </w:r>
    </w:p>
    <w:p w14:paraId="5102B8A3" w14:textId="4725915B" w:rsidR="00233E79" w:rsidRDefault="00233E79" w:rsidP="001F562C">
      <w:pPr>
        <w:spacing w:line="360" w:lineRule="auto"/>
        <w:jc w:val="both"/>
        <w:rPr>
          <w:rFonts w:ascii="Calibri" w:hAnsi="Calibri" w:cs="Calibri"/>
        </w:rPr>
      </w:pPr>
    </w:p>
    <w:p w14:paraId="003E3735" w14:textId="77777777" w:rsidR="007009C0" w:rsidRDefault="007009C0" w:rsidP="001F562C">
      <w:pPr>
        <w:spacing w:line="360" w:lineRule="auto"/>
        <w:jc w:val="both"/>
        <w:rPr>
          <w:rFonts w:ascii="Calibri" w:hAnsi="Calibri" w:cs="Calibri"/>
        </w:rPr>
      </w:pPr>
    </w:p>
    <w:p w14:paraId="3052752F" w14:textId="77777777" w:rsidR="007009C0" w:rsidRDefault="007009C0" w:rsidP="001F562C">
      <w:pPr>
        <w:spacing w:line="360" w:lineRule="auto"/>
        <w:jc w:val="both"/>
        <w:rPr>
          <w:rFonts w:ascii="Calibri" w:hAnsi="Calibri" w:cs="Calibri"/>
        </w:rPr>
      </w:pPr>
    </w:p>
    <w:p w14:paraId="7EF3AF9C" w14:textId="77777777" w:rsidR="007009C0" w:rsidRDefault="007009C0" w:rsidP="001F562C">
      <w:pPr>
        <w:spacing w:line="360" w:lineRule="auto"/>
        <w:jc w:val="both"/>
        <w:rPr>
          <w:rFonts w:ascii="Calibri" w:hAnsi="Calibri" w:cs="Calibri"/>
        </w:rPr>
      </w:pPr>
    </w:p>
    <w:p w14:paraId="05465D74" w14:textId="77777777" w:rsidR="007009C0" w:rsidRDefault="007009C0" w:rsidP="001F562C">
      <w:pPr>
        <w:spacing w:line="360" w:lineRule="auto"/>
        <w:jc w:val="both"/>
        <w:rPr>
          <w:rFonts w:ascii="Calibri" w:hAnsi="Calibri" w:cs="Calibri"/>
        </w:rPr>
      </w:pPr>
    </w:p>
    <w:p w14:paraId="640A1CBC" w14:textId="77777777" w:rsidR="007009C0" w:rsidRDefault="007009C0" w:rsidP="001F562C">
      <w:pPr>
        <w:spacing w:line="360" w:lineRule="auto"/>
        <w:jc w:val="both"/>
        <w:rPr>
          <w:rFonts w:ascii="Calibri" w:hAnsi="Calibri" w:cs="Calibri"/>
        </w:rPr>
      </w:pPr>
    </w:p>
    <w:p w14:paraId="7A338F73" w14:textId="77777777" w:rsidR="007009C0" w:rsidRDefault="007009C0" w:rsidP="001F562C">
      <w:pPr>
        <w:spacing w:line="360" w:lineRule="auto"/>
        <w:jc w:val="both"/>
        <w:rPr>
          <w:rFonts w:ascii="Calibri" w:hAnsi="Calibri" w:cs="Calibri"/>
        </w:rPr>
      </w:pPr>
    </w:p>
    <w:p w14:paraId="2221516C" w14:textId="77777777" w:rsidR="007009C0" w:rsidRDefault="007009C0" w:rsidP="001F562C">
      <w:pPr>
        <w:spacing w:line="360" w:lineRule="auto"/>
        <w:jc w:val="both"/>
        <w:rPr>
          <w:rFonts w:ascii="Calibri" w:hAnsi="Calibri" w:cs="Calibri"/>
        </w:rPr>
      </w:pPr>
    </w:p>
    <w:p w14:paraId="65E1A4F6" w14:textId="48DDE279" w:rsidR="00233E79" w:rsidRDefault="00233E79" w:rsidP="001F562C">
      <w:pPr>
        <w:spacing w:line="360" w:lineRule="auto"/>
        <w:jc w:val="both"/>
        <w:rPr>
          <w:rFonts w:ascii="Calibri" w:hAnsi="Calibri" w:cs="Calibri"/>
        </w:rPr>
      </w:pPr>
      <w:r w:rsidRPr="00233E79">
        <w:rPr>
          <w:rFonts w:ascii="Calibri" w:hAnsi="Calibri" w:cs="Calibri"/>
          <w:b/>
          <w:bCs/>
        </w:rPr>
        <w:t xml:space="preserve">Fig S2 </w:t>
      </w:r>
      <w:r w:rsidR="00BA6266" w:rsidRPr="00BA6266">
        <w:rPr>
          <w:rFonts w:ascii="Calibri" w:hAnsi="Calibri" w:cs="Calibri"/>
        </w:rPr>
        <w:t>Specific binding of [⁸⁹Zr]Zr-DFO-Trastuzumab</w:t>
      </w:r>
      <w:r w:rsidR="00BA6266">
        <w:rPr>
          <w:rFonts w:ascii="Calibri" w:hAnsi="Calibri" w:cs="Calibri"/>
        </w:rPr>
        <w:t xml:space="preserve"> over time</w:t>
      </w:r>
      <w:r w:rsidR="00BA6266" w:rsidRPr="00BA6266">
        <w:rPr>
          <w:rFonts w:ascii="Calibri" w:hAnsi="Calibri" w:cs="Calibri"/>
        </w:rPr>
        <w:t xml:space="preserve"> to HER2⁺ brain metastatic SUM190-BR and JIMT-1-BR cells, with MDA-MB-231 cells serving as a negative control.</w:t>
      </w:r>
    </w:p>
    <w:p w14:paraId="1978A511" w14:textId="7A24A57A" w:rsidR="00BA6266" w:rsidRDefault="007009C0" w:rsidP="001F562C">
      <w:pPr>
        <w:spacing w:line="360" w:lineRule="auto"/>
        <w:jc w:val="both"/>
        <w:rPr>
          <w:rFonts w:ascii="Calibri" w:hAnsi="Calibri" w:cs="Calibri"/>
        </w:rPr>
      </w:pPr>
      <w:r w:rsidRPr="00BA6266">
        <w:rPr>
          <w:rFonts w:ascii="Calibri" w:hAnsi="Calibri" w:cs="Calibri"/>
          <w:b/>
          <w:bCs/>
          <w:noProof/>
        </w:rPr>
        <w:drawing>
          <wp:anchor distT="0" distB="0" distL="114300" distR="114300" simplePos="0" relativeHeight="251660288" behindDoc="0" locked="0" layoutInCell="1" allowOverlap="1" wp14:anchorId="14BEBFED" wp14:editId="2ADFC98D">
            <wp:simplePos x="0" y="0"/>
            <wp:positionH relativeFrom="column">
              <wp:posOffset>-45580</wp:posOffset>
            </wp:positionH>
            <wp:positionV relativeFrom="paragraph">
              <wp:posOffset>227524</wp:posOffset>
            </wp:positionV>
            <wp:extent cx="5492451" cy="4500000"/>
            <wp:effectExtent l="0" t="0" r="0" b="0"/>
            <wp:wrapSquare wrapText="bothSides"/>
            <wp:docPr id="208694997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949974" name="Imagem 2086949974"/>
                    <pic:cNvPicPr/>
                  </pic:nvPicPr>
                  <pic:blipFill>
                    <a:blip r:embed="rId8"/>
                    <a:stretch>
                      <a:fillRect/>
                    </a:stretch>
                  </pic:blipFill>
                  <pic:spPr>
                    <a:xfrm>
                      <a:off x="0" y="0"/>
                      <a:ext cx="5492451" cy="4500000"/>
                    </a:xfrm>
                    <a:prstGeom prst="rect">
                      <a:avLst/>
                    </a:prstGeom>
                  </pic:spPr>
                </pic:pic>
              </a:graphicData>
            </a:graphic>
            <wp14:sizeRelH relativeFrom="page">
              <wp14:pctWidth>0</wp14:pctWidth>
            </wp14:sizeRelH>
            <wp14:sizeRelV relativeFrom="page">
              <wp14:pctHeight>0</wp14:pctHeight>
            </wp14:sizeRelV>
          </wp:anchor>
        </w:drawing>
      </w:r>
    </w:p>
    <w:p w14:paraId="4830C0E9" w14:textId="02359708" w:rsidR="007009C0" w:rsidRDefault="00BA6266" w:rsidP="001F562C">
      <w:pPr>
        <w:spacing w:line="360" w:lineRule="auto"/>
        <w:jc w:val="both"/>
        <w:rPr>
          <w:rFonts w:ascii="Calibri" w:hAnsi="Calibri" w:cs="Calibri"/>
        </w:rPr>
      </w:pPr>
      <w:r w:rsidRPr="00BA6266">
        <w:rPr>
          <w:rFonts w:ascii="Calibri" w:hAnsi="Calibri" w:cs="Calibri"/>
          <w:b/>
          <w:bCs/>
        </w:rPr>
        <w:t xml:space="preserve">Fig </w:t>
      </w:r>
      <w:r>
        <w:rPr>
          <w:rFonts w:ascii="Calibri" w:hAnsi="Calibri" w:cs="Calibri"/>
          <w:b/>
          <w:bCs/>
        </w:rPr>
        <w:t>S</w:t>
      </w:r>
      <w:r w:rsidRPr="00BA6266">
        <w:rPr>
          <w:rFonts w:ascii="Calibri" w:hAnsi="Calibri" w:cs="Calibri"/>
          <w:b/>
          <w:bCs/>
        </w:rPr>
        <w:t xml:space="preserve">3 </w:t>
      </w:r>
      <w:r w:rsidRPr="00BA6266">
        <w:rPr>
          <w:rFonts w:ascii="Calibri" w:hAnsi="Calibri" w:cs="Calibri"/>
        </w:rPr>
        <w:t>PET/MRI imaging of HER2+ breast tumors with [</w:t>
      </w:r>
      <w:r w:rsidRPr="00BA6266">
        <w:rPr>
          <w:rFonts w:ascii="Calibri" w:hAnsi="Calibri" w:cs="Calibri"/>
          <w:vertAlign w:val="superscript"/>
        </w:rPr>
        <w:t>89</w:t>
      </w:r>
      <w:r w:rsidRPr="00BA6266">
        <w:rPr>
          <w:rFonts w:ascii="Calibri" w:hAnsi="Calibri" w:cs="Calibri"/>
        </w:rPr>
        <w:t xml:space="preserve">Zr]Zr-DFO-Trastuzumab. (A) Representative immunohistochemical images of HER2 expression (top) and </w:t>
      </w:r>
      <w:r w:rsidRPr="00BA6266">
        <w:rPr>
          <w:rFonts w:ascii="Calibri" w:hAnsi="Calibri" w:cs="Calibri"/>
        </w:rPr>
        <w:lastRenderedPageBreak/>
        <w:t>histopathological H&amp;E staining (bottom) in JIMT-1 (left) and JIMT-1-BR (right) breast tumors. (B) Representative whole-body PET/MRI images showing [</w:t>
      </w:r>
      <w:r w:rsidRPr="00BA6266">
        <w:rPr>
          <w:rFonts w:ascii="Calibri" w:hAnsi="Calibri" w:cs="Calibri"/>
          <w:vertAlign w:val="superscript"/>
        </w:rPr>
        <w:t>89</w:t>
      </w:r>
      <w:r w:rsidRPr="00BA6266">
        <w:rPr>
          <w:rFonts w:ascii="Calibri" w:hAnsi="Calibri" w:cs="Calibri"/>
        </w:rPr>
        <w:t>Zr]Zr-DFO-Trastuzumab distribution in JIMT-1 (top) and JIMT-1-BR (bottom) breast tumor-bearing mice 5 days after intravenous injection. The scale bar represents low (black) to high (red) standardized uptake values (SUV). Yellow arrows indicate the locations of breast tumors. (C) Ex vivo biodistribution analysis of [</w:t>
      </w:r>
      <w:r w:rsidRPr="00BA6266">
        <w:rPr>
          <w:rFonts w:ascii="Calibri" w:hAnsi="Calibri" w:cs="Calibri"/>
          <w:vertAlign w:val="superscript"/>
        </w:rPr>
        <w:t>89</w:t>
      </w:r>
      <w:r w:rsidRPr="00BA6266">
        <w:rPr>
          <w:rFonts w:ascii="Calibri" w:hAnsi="Calibri" w:cs="Calibri"/>
        </w:rPr>
        <w:t>Zr]Zr-DFO-Trastuzumab in major organs of mice bearing JIMT-1 and JIMT-1-BR xenografts, quantified by gamma counting 7 days post-injection. Values were normalized to grams of tissue per injected dose; n=3 per group</w:t>
      </w:r>
    </w:p>
    <w:p w14:paraId="014A3BAF" w14:textId="77777777" w:rsidR="007009C0" w:rsidRDefault="007009C0" w:rsidP="001F562C">
      <w:pPr>
        <w:spacing w:line="360" w:lineRule="auto"/>
        <w:jc w:val="both"/>
        <w:rPr>
          <w:rFonts w:ascii="Calibri" w:hAnsi="Calibri" w:cs="Calibri"/>
        </w:rPr>
      </w:pPr>
    </w:p>
    <w:p w14:paraId="0DBE61D2" w14:textId="77777777" w:rsidR="007009C0" w:rsidRDefault="007009C0" w:rsidP="001F562C">
      <w:pPr>
        <w:spacing w:line="360" w:lineRule="auto"/>
        <w:jc w:val="both"/>
        <w:rPr>
          <w:rFonts w:ascii="Calibri" w:hAnsi="Calibri" w:cs="Calibri"/>
        </w:rPr>
      </w:pPr>
    </w:p>
    <w:p w14:paraId="247A0B7B" w14:textId="5AF5241F" w:rsidR="007009C0" w:rsidRPr="007009C0" w:rsidRDefault="007009C0" w:rsidP="001F562C">
      <w:pPr>
        <w:spacing w:line="360" w:lineRule="auto"/>
        <w:jc w:val="both"/>
        <w:rPr>
          <w:rFonts w:ascii="Calibri" w:hAnsi="Calibri" w:cs="Calibri"/>
          <w:b/>
          <w:bCs/>
        </w:rPr>
      </w:pPr>
      <w:r w:rsidRPr="007009C0">
        <w:rPr>
          <w:rFonts w:ascii="Calibri" w:hAnsi="Calibri" w:cs="Calibri"/>
          <w:b/>
          <w:bCs/>
        </w:rPr>
        <w:t>References</w:t>
      </w:r>
    </w:p>
    <w:p w14:paraId="5E93EC4C" w14:textId="77777777" w:rsidR="007009C0" w:rsidRPr="00D961CE" w:rsidRDefault="007009C0" w:rsidP="007009C0">
      <w:pPr>
        <w:pStyle w:val="EndNoteBibliography"/>
        <w:rPr>
          <w:noProof/>
          <w:lang w:val="pt-PT"/>
        </w:rPr>
      </w:pPr>
      <w:r>
        <w:rPr>
          <w:rFonts w:ascii="Calibri" w:hAnsi="Calibri" w:cs="Calibri"/>
          <w:b/>
          <w:bCs/>
        </w:rPr>
        <w:fldChar w:fldCharType="begin"/>
      </w:r>
      <w:r>
        <w:rPr>
          <w:rFonts w:ascii="Calibri" w:hAnsi="Calibri" w:cs="Calibri"/>
          <w:b/>
          <w:bCs/>
        </w:rPr>
        <w:instrText xml:space="preserve"> ADDIN EN.REFLIST </w:instrText>
      </w:r>
      <w:r>
        <w:rPr>
          <w:rFonts w:ascii="Calibri" w:hAnsi="Calibri" w:cs="Calibri"/>
          <w:b/>
          <w:bCs/>
        </w:rPr>
        <w:fldChar w:fldCharType="separate"/>
      </w:r>
      <w:r w:rsidRPr="007009C0">
        <w:rPr>
          <w:noProof/>
        </w:rPr>
        <w:t>1.</w:t>
      </w:r>
      <w:r w:rsidRPr="007009C0">
        <w:rPr>
          <w:noProof/>
        </w:rPr>
        <w:tab/>
        <w:t xml:space="preserve">Vosjan MJ, Perk LR, Visser GW, Budde M, Jurek P, Kiefer GE, et al. Conjugation and radiolabeling of monoclonal antibodies with zirconium-89 for PET imaging using the bifunctional chelate p-isothiocyanatobenzyl-desferrioxamine. </w:t>
      </w:r>
      <w:r w:rsidRPr="00D961CE">
        <w:rPr>
          <w:noProof/>
          <w:lang w:val="pt-PT"/>
        </w:rPr>
        <w:t>Nature protocols. 2010;5:739-43.</w:t>
      </w:r>
    </w:p>
    <w:p w14:paraId="1DF7CBC2" w14:textId="77777777" w:rsidR="007009C0" w:rsidRPr="007009C0" w:rsidRDefault="007009C0" w:rsidP="007009C0">
      <w:pPr>
        <w:pStyle w:val="EndNoteBibliography"/>
        <w:rPr>
          <w:noProof/>
        </w:rPr>
      </w:pPr>
      <w:r w:rsidRPr="00D961CE">
        <w:rPr>
          <w:noProof/>
          <w:lang w:val="pt-PT"/>
        </w:rPr>
        <w:t>2.</w:t>
      </w:r>
      <w:r w:rsidRPr="00D961CE">
        <w:rPr>
          <w:noProof/>
          <w:lang w:val="pt-PT"/>
        </w:rPr>
        <w:tab/>
        <w:t xml:space="preserve">Benedetto R, Massicano AVF, Silva JJ, Boas CAWV, Mengatti J, Araújo EBd. </w:t>
      </w:r>
      <w:r w:rsidRPr="007009C0">
        <w:rPr>
          <w:noProof/>
        </w:rPr>
        <w:t>Development of radioimmunoconjugate for diagnosis and management of head-and-neck subclinical cancer and colorectal carcinoma. Brazilian Journal of Pharmaceutical Sciences. 2017;53:e17039.</w:t>
      </w:r>
    </w:p>
    <w:p w14:paraId="4165A5D3" w14:textId="77777777" w:rsidR="007009C0" w:rsidRPr="007009C0" w:rsidRDefault="007009C0" w:rsidP="007009C0">
      <w:pPr>
        <w:pStyle w:val="EndNoteBibliography"/>
        <w:rPr>
          <w:noProof/>
        </w:rPr>
      </w:pPr>
      <w:r w:rsidRPr="007009C0">
        <w:rPr>
          <w:noProof/>
        </w:rPr>
        <w:t>3.</w:t>
      </w:r>
      <w:r w:rsidRPr="007009C0">
        <w:rPr>
          <w:noProof/>
        </w:rPr>
        <w:tab/>
        <w:t>Guleria M, Sharma R, Amirdhanayagam J, Sarma HD, Rangarajan V, Dash A, et al. Formulation and clinical translation of [177 Lu] Lu-trastuzumab for radioimmunotheranostics of metastatic breast cancer. RSC Medicinal Chemistry. 2021;12:263-77.</w:t>
      </w:r>
    </w:p>
    <w:p w14:paraId="1A161618" w14:textId="1DCC4AFE" w:rsidR="00BA6266" w:rsidRPr="00BA6266" w:rsidRDefault="007009C0" w:rsidP="001F562C">
      <w:pPr>
        <w:spacing w:line="360" w:lineRule="auto"/>
        <w:jc w:val="both"/>
        <w:rPr>
          <w:rFonts w:ascii="Calibri" w:hAnsi="Calibri" w:cs="Calibri"/>
          <w:b/>
          <w:bCs/>
        </w:rPr>
      </w:pPr>
      <w:r>
        <w:rPr>
          <w:rFonts w:ascii="Calibri" w:hAnsi="Calibri" w:cs="Calibri"/>
          <w:b/>
          <w:bCs/>
        </w:rPr>
        <w:fldChar w:fldCharType="end"/>
      </w:r>
    </w:p>
    <w:sectPr w:rsidR="00BA6266" w:rsidRPr="00BA626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Segoe UI">
    <w:altName w:val="Arial"/>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66DD2"/>
    <w:multiLevelType w:val="hybridMultilevel"/>
    <w:tmpl w:val="A0ECEEF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hint="default"/>
      </w:rPr>
    </w:lvl>
    <w:lvl w:ilvl="8" w:tplc="08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F562C"/>
    <w:rsid w:val="00001ADD"/>
    <w:rsid w:val="000058CA"/>
    <w:rsid w:val="00017DA4"/>
    <w:rsid w:val="00021CB2"/>
    <w:rsid w:val="000232C5"/>
    <w:rsid w:val="000450BA"/>
    <w:rsid w:val="0004549C"/>
    <w:rsid w:val="0004729F"/>
    <w:rsid w:val="00053F09"/>
    <w:rsid w:val="0005554B"/>
    <w:rsid w:val="00055CA9"/>
    <w:rsid w:val="00060FD7"/>
    <w:rsid w:val="000637A4"/>
    <w:rsid w:val="000654F9"/>
    <w:rsid w:val="000801EA"/>
    <w:rsid w:val="00085730"/>
    <w:rsid w:val="00087E75"/>
    <w:rsid w:val="000962E7"/>
    <w:rsid w:val="000A4DEE"/>
    <w:rsid w:val="000C0BE2"/>
    <w:rsid w:val="000C115D"/>
    <w:rsid w:val="000C3B6D"/>
    <w:rsid w:val="000C5ACF"/>
    <w:rsid w:val="000D4070"/>
    <w:rsid w:val="000D71D4"/>
    <w:rsid w:val="000E4B25"/>
    <w:rsid w:val="000F0163"/>
    <w:rsid w:val="000F2C1A"/>
    <w:rsid w:val="00110C3C"/>
    <w:rsid w:val="00112516"/>
    <w:rsid w:val="0011324E"/>
    <w:rsid w:val="00120F30"/>
    <w:rsid w:val="0013554C"/>
    <w:rsid w:val="00140078"/>
    <w:rsid w:val="00144061"/>
    <w:rsid w:val="00144F26"/>
    <w:rsid w:val="001471C9"/>
    <w:rsid w:val="001510F3"/>
    <w:rsid w:val="0015316C"/>
    <w:rsid w:val="001552F8"/>
    <w:rsid w:val="00157BA5"/>
    <w:rsid w:val="00164D3F"/>
    <w:rsid w:val="00171E88"/>
    <w:rsid w:val="0017775B"/>
    <w:rsid w:val="00181B2F"/>
    <w:rsid w:val="00192F6F"/>
    <w:rsid w:val="00193C33"/>
    <w:rsid w:val="001A09D3"/>
    <w:rsid w:val="001B2E63"/>
    <w:rsid w:val="001B451E"/>
    <w:rsid w:val="001B5BDC"/>
    <w:rsid w:val="001B6796"/>
    <w:rsid w:val="001B734D"/>
    <w:rsid w:val="001C0F62"/>
    <w:rsid w:val="001C6A4E"/>
    <w:rsid w:val="001C7133"/>
    <w:rsid w:val="001D2885"/>
    <w:rsid w:val="001D3416"/>
    <w:rsid w:val="001E1733"/>
    <w:rsid w:val="001E2309"/>
    <w:rsid w:val="001E7368"/>
    <w:rsid w:val="001E7C61"/>
    <w:rsid w:val="001F562C"/>
    <w:rsid w:val="00201CA9"/>
    <w:rsid w:val="00202B39"/>
    <w:rsid w:val="00205569"/>
    <w:rsid w:val="00206CAC"/>
    <w:rsid w:val="00213FC7"/>
    <w:rsid w:val="0021400A"/>
    <w:rsid w:val="00221177"/>
    <w:rsid w:val="00227188"/>
    <w:rsid w:val="00233E79"/>
    <w:rsid w:val="002345D5"/>
    <w:rsid w:val="0024043E"/>
    <w:rsid w:val="00242DAA"/>
    <w:rsid w:val="00245A52"/>
    <w:rsid w:val="00250A76"/>
    <w:rsid w:val="00251195"/>
    <w:rsid w:val="00251EE2"/>
    <w:rsid w:val="0025495F"/>
    <w:rsid w:val="00261928"/>
    <w:rsid w:val="00267233"/>
    <w:rsid w:val="00270653"/>
    <w:rsid w:val="00272B0E"/>
    <w:rsid w:val="00275185"/>
    <w:rsid w:val="00276E3D"/>
    <w:rsid w:val="00283244"/>
    <w:rsid w:val="002949AA"/>
    <w:rsid w:val="00295FB6"/>
    <w:rsid w:val="002B0180"/>
    <w:rsid w:val="002B12EE"/>
    <w:rsid w:val="002B3745"/>
    <w:rsid w:val="002B3DC5"/>
    <w:rsid w:val="002C22DF"/>
    <w:rsid w:val="002C4AAF"/>
    <w:rsid w:val="002D0DA6"/>
    <w:rsid w:val="002D1347"/>
    <w:rsid w:val="002D299F"/>
    <w:rsid w:val="002D2AD3"/>
    <w:rsid w:val="002D3B8D"/>
    <w:rsid w:val="002D69F8"/>
    <w:rsid w:val="002E07E5"/>
    <w:rsid w:val="002E1B1E"/>
    <w:rsid w:val="002E3C10"/>
    <w:rsid w:val="002E6322"/>
    <w:rsid w:val="002F20C9"/>
    <w:rsid w:val="002F221A"/>
    <w:rsid w:val="002F6C54"/>
    <w:rsid w:val="002F7319"/>
    <w:rsid w:val="002F7776"/>
    <w:rsid w:val="002F7E9A"/>
    <w:rsid w:val="0030118A"/>
    <w:rsid w:val="003118E8"/>
    <w:rsid w:val="00316EB3"/>
    <w:rsid w:val="00321C45"/>
    <w:rsid w:val="0032210F"/>
    <w:rsid w:val="003221D2"/>
    <w:rsid w:val="003302D0"/>
    <w:rsid w:val="00332022"/>
    <w:rsid w:val="00333213"/>
    <w:rsid w:val="00334441"/>
    <w:rsid w:val="00335E42"/>
    <w:rsid w:val="00341FAD"/>
    <w:rsid w:val="00344B09"/>
    <w:rsid w:val="00345E5F"/>
    <w:rsid w:val="00346F82"/>
    <w:rsid w:val="00352EEF"/>
    <w:rsid w:val="00355724"/>
    <w:rsid w:val="003565B8"/>
    <w:rsid w:val="00361809"/>
    <w:rsid w:val="00363499"/>
    <w:rsid w:val="003659CA"/>
    <w:rsid w:val="003659F2"/>
    <w:rsid w:val="00365B2B"/>
    <w:rsid w:val="00365FFF"/>
    <w:rsid w:val="00370900"/>
    <w:rsid w:val="00376218"/>
    <w:rsid w:val="00383D2A"/>
    <w:rsid w:val="003907B2"/>
    <w:rsid w:val="00394B09"/>
    <w:rsid w:val="00395177"/>
    <w:rsid w:val="0039715A"/>
    <w:rsid w:val="003A56F3"/>
    <w:rsid w:val="003A74D7"/>
    <w:rsid w:val="003B65DB"/>
    <w:rsid w:val="003C0C90"/>
    <w:rsid w:val="003C2A38"/>
    <w:rsid w:val="003C31AB"/>
    <w:rsid w:val="003C4C76"/>
    <w:rsid w:val="003C5AF2"/>
    <w:rsid w:val="003D007D"/>
    <w:rsid w:val="003D2278"/>
    <w:rsid w:val="003D4087"/>
    <w:rsid w:val="003D5DBF"/>
    <w:rsid w:val="003D7E80"/>
    <w:rsid w:val="003E0810"/>
    <w:rsid w:val="003E4854"/>
    <w:rsid w:val="003E5925"/>
    <w:rsid w:val="003E6641"/>
    <w:rsid w:val="003E7756"/>
    <w:rsid w:val="003F0295"/>
    <w:rsid w:val="003F54B6"/>
    <w:rsid w:val="003F6E0C"/>
    <w:rsid w:val="00411889"/>
    <w:rsid w:val="00414304"/>
    <w:rsid w:val="0041441A"/>
    <w:rsid w:val="0041509B"/>
    <w:rsid w:val="00415CC9"/>
    <w:rsid w:val="00424221"/>
    <w:rsid w:val="00425BDE"/>
    <w:rsid w:val="0043156D"/>
    <w:rsid w:val="0043266F"/>
    <w:rsid w:val="00435931"/>
    <w:rsid w:val="00436A2A"/>
    <w:rsid w:val="004455E3"/>
    <w:rsid w:val="00451D46"/>
    <w:rsid w:val="0045601E"/>
    <w:rsid w:val="00456850"/>
    <w:rsid w:val="004611AE"/>
    <w:rsid w:val="00462A8A"/>
    <w:rsid w:val="00464107"/>
    <w:rsid w:val="0046486C"/>
    <w:rsid w:val="00467679"/>
    <w:rsid w:val="004811AF"/>
    <w:rsid w:val="00483D11"/>
    <w:rsid w:val="0048441D"/>
    <w:rsid w:val="0049466E"/>
    <w:rsid w:val="004A1250"/>
    <w:rsid w:val="004A2A36"/>
    <w:rsid w:val="004A5836"/>
    <w:rsid w:val="004B4AB7"/>
    <w:rsid w:val="004B5830"/>
    <w:rsid w:val="004C073A"/>
    <w:rsid w:val="004C398D"/>
    <w:rsid w:val="004C5894"/>
    <w:rsid w:val="004C62F0"/>
    <w:rsid w:val="004C68FC"/>
    <w:rsid w:val="004C76BD"/>
    <w:rsid w:val="004D271D"/>
    <w:rsid w:val="004D720B"/>
    <w:rsid w:val="004E32A6"/>
    <w:rsid w:val="004E4CDE"/>
    <w:rsid w:val="004E7DB1"/>
    <w:rsid w:val="004F2219"/>
    <w:rsid w:val="004F6AA3"/>
    <w:rsid w:val="00502CA6"/>
    <w:rsid w:val="0050467F"/>
    <w:rsid w:val="00506365"/>
    <w:rsid w:val="00511EC1"/>
    <w:rsid w:val="005155E0"/>
    <w:rsid w:val="00522FF1"/>
    <w:rsid w:val="00523FFA"/>
    <w:rsid w:val="00536289"/>
    <w:rsid w:val="00546736"/>
    <w:rsid w:val="00555B28"/>
    <w:rsid w:val="0056097A"/>
    <w:rsid w:val="005645C1"/>
    <w:rsid w:val="00564C34"/>
    <w:rsid w:val="00572CBD"/>
    <w:rsid w:val="00574148"/>
    <w:rsid w:val="00582744"/>
    <w:rsid w:val="00584AD1"/>
    <w:rsid w:val="00587944"/>
    <w:rsid w:val="00591F77"/>
    <w:rsid w:val="00594597"/>
    <w:rsid w:val="005955CD"/>
    <w:rsid w:val="005A0879"/>
    <w:rsid w:val="005A1347"/>
    <w:rsid w:val="005A1443"/>
    <w:rsid w:val="005A4E65"/>
    <w:rsid w:val="005A5DF3"/>
    <w:rsid w:val="005B5E41"/>
    <w:rsid w:val="005C7C0C"/>
    <w:rsid w:val="005D1ED2"/>
    <w:rsid w:val="005D601C"/>
    <w:rsid w:val="005D6286"/>
    <w:rsid w:val="005E7304"/>
    <w:rsid w:val="005F0899"/>
    <w:rsid w:val="005F1B68"/>
    <w:rsid w:val="005F562C"/>
    <w:rsid w:val="0060048C"/>
    <w:rsid w:val="00602B96"/>
    <w:rsid w:val="006114ED"/>
    <w:rsid w:val="00623D9C"/>
    <w:rsid w:val="006306E3"/>
    <w:rsid w:val="00631DAE"/>
    <w:rsid w:val="006329C1"/>
    <w:rsid w:val="0063349E"/>
    <w:rsid w:val="00634A22"/>
    <w:rsid w:val="00636285"/>
    <w:rsid w:val="00641085"/>
    <w:rsid w:val="006469A0"/>
    <w:rsid w:val="00650EDA"/>
    <w:rsid w:val="006522ED"/>
    <w:rsid w:val="006536CA"/>
    <w:rsid w:val="006607F9"/>
    <w:rsid w:val="00661B51"/>
    <w:rsid w:val="006645B8"/>
    <w:rsid w:val="00671578"/>
    <w:rsid w:val="006754F9"/>
    <w:rsid w:val="006761F3"/>
    <w:rsid w:val="00682847"/>
    <w:rsid w:val="006845C8"/>
    <w:rsid w:val="0069510E"/>
    <w:rsid w:val="006A30BA"/>
    <w:rsid w:val="006B6D24"/>
    <w:rsid w:val="006D108D"/>
    <w:rsid w:val="006D25C7"/>
    <w:rsid w:val="006D2665"/>
    <w:rsid w:val="006D3446"/>
    <w:rsid w:val="006E344C"/>
    <w:rsid w:val="006E5F90"/>
    <w:rsid w:val="006E6F7C"/>
    <w:rsid w:val="006E7892"/>
    <w:rsid w:val="006F2AB0"/>
    <w:rsid w:val="006F5895"/>
    <w:rsid w:val="0070073A"/>
    <w:rsid w:val="007009C0"/>
    <w:rsid w:val="00700A75"/>
    <w:rsid w:val="0070485C"/>
    <w:rsid w:val="00714948"/>
    <w:rsid w:val="0072191D"/>
    <w:rsid w:val="00726F59"/>
    <w:rsid w:val="00727683"/>
    <w:rsid w:val="00733824"/>
    <w:rsid w:val="007407C8"/>
    <w:rsid w:val="0074731E"/>
    <w:rsid w:val="00757427"/>
    <w:rsid w:val="0075788C"/>
    <w:rsid w:val="007651FD"/>
    <w:rsid w:val="00771FC0"/>
    <w:rsid w:val="00774B1E"/>
    <w:rsid w:val="00775B55"/>
    <w:rsid w:val="00780322"/>
    <w:rsid w:val="007846F7"/>
    <w:rsid w:val="00790674"/>
    <w:rsid w:val="00791BE4"/>
    <w:rsid w:val="0079348D"/>
    <w:rsid w:val="00794B24"/>
    <w:rsid w:val="007A1D6A"/>
    <w:rsid w:val="007A35C9"/>
    <w:rsid w:val="007A4BD4"/>
    <w:rsid w:val="007B01A4"/>
    <w:rsid w:val="007B08F8"/>
    <w:rsid w:val="007B2FC6"/>
    <w:rsid w:val="007D59A0"/>
    <w:rsid w:val="007D6A63"/>
    <w:rsid w:val="007E20D0"/>
    <w:rsid w:val="007E2CD2"/>
    <w:rsid w:val="00801C7B"/>
    <w:rsid w:val="00801E17"/>
    <w:rsid w:val="0080572F"/>
    <w:rsid w:val="008059F1"/>
    <w:rsid w:val="00811914"/>
    <w:rsid w:val="0081535F"/>
    <w:rsid w:val="00824E1B"/>
    <w:rsid w:val="00832D11"/>
    <w:rsid w:val="0083373E"/>
    <w:rsid w:val="0084099E"/>
    <w:rsid w:val="008432D6"/>
    <w:rsid w:val="00847C2C"/>
    <w:rsid w:val="00847CC4"/>
    <w:rsid w:val="00847EE2"/>
    <w:rsid w:val="00850889"/>
    <w:rsid w:val="008513E9"/>
    <w:rsid w:val="00856CDD"/>
    <w:rsid w:val="00857D1C"/>
    <w:rsid w:val="00866012"/>
    <w:rsid w:val="008702E9"/>
    <w:rsid w:val="008707C9"/>
    <w:rsid w:val="008902D9"/>
    <w:rsid w:val="00890AE7"/>
    <w:rsid w:val="00894218"/>
    <w:rsid w:val="00894D43"/>
    <w:rsid w:val="00894F18"/>
    <w:rsid w:val="008A53E5"/>
    <w:rsid w:val="008A70DD"/>
    <w:rsid w:val="008B0878"/>
    <w:rsid w:val="008B4EC3"/>
    <w:rsid w:val="008B5D1B"/>
    <w:rsid w:val="008C14CD"/>
    <w:rsid w:val="008C3FA5"/>
    <w:rsid w:val="008C4E42"/>
    <w:rsid w:val="008D0B17"/>
    <w:rsid w:val="008D586D"/>
    <w:rsid w:val="008E070B"/>
    <w:rsid w:val="008E2086"/>
    <w:rsid w:val="008E44C1"/>
    <w:rsid w:val="008E47A2"/>
    <w:rsid w:val="008E57EA"/>
    <w:rsid w:val="008F13FA"/>
    <w:rsid w:val="008F1F24"/>
    <w:rsid w:val="008F2E1B"/>
    <w:rsid w:val="008F7623"/>
    <w:rsid w:val="009132B6"/>
    <w:rsid w:val="00923844"/>
    <w:rsid w:val="00926450"/>
    <w:rsid w:val="00926F55"/>
    <w:rsid w:val="00930232"/>
    <w:rsid w:val="00932C76"/>
    <w:rsid w:val="00936149"/>
    <w:rsid w:val="009432F3"/>
    <w:rsid w:val="009439A6"/>
    <w:rsid w:val="009477AD"/>
    <w:rsid w:val="00953E2F"/>
    <w:rsid w:val="00954048"/>
    <w:rsid w:val="00954B85"/>
    <w:rsid w:val="0095544D"/>
    <w:rsid w:val="00956980"/>
    <w:rsid w:val="00963569"/>
    <w:rsid w:val="0096386E"/>
    <w:rsid w:val="00965377"/>
    <w:rsid w:val="009660EE"/>
    <w:rsid w:val="00966781"/>
    <w:rsid w:val="009730CB"/>
    <w:rsid w:val="00974B22"/>
    <w:rsid w:val="009875A1"/>
    <w:rsid w:val="00995CAF"/>
    <w:rsid w:val="00996B2B"/>
    <w:rsid w:val="009A7B2A"/>
    <w:rsid w:val="009B1FBB"/>
    <w:rsid w:val="009B3906"/>
    <w:rsid w:val="009B481E"/>
    <w:rsid w:val="009B5EC7"/>
    <w:rsid w:val="009B6198"/>
    <w:rsid w:val="009C0E93"/>
    <w:rsid w:val="009C3BEF"/>
    <w:rsid w:val="009C4793"/>
    <w:rsid w:val="009C79A4"/>
    <w:rsid w:val="009D320E"/>
    <w:rsid w:val="009D6373"/>
    <w:rsid w:val="009D708B"/>
    <w:rsid w:val="009F1DB4"/>
    <w:rsid w:val="009F59D0"/>
    <w:rsid w:val="009F5CC8"/>
    <w:rsid w:val="00A00860"/>
    <w:rsid w:val="00A01058"/>
    <w:rsid w:val="00A07EB1"/>
    <w:rsid w:val="00A15F94"/>
    <w:rsid w:val="00A2192B"/>
    <w:rsid w:val="00A37D38"/>
    <w:rsid w:val="00A406CC"/>
    <w:rsid w:val="00A42ACF"/>
    <w:rsid w:val="00A4548D"/>
    <w:rsid w:val="00A46C5F"/>
    <w:rsid w:val="00A56840"/>
    <w:rsid w:val="00A57451"/>
    <w:rsid w:val="00A60B20"/>
    <w:rsid w:val="00A63372"/>
    <w:rsid w:val="00A6447E"/>
    <w:rsid w:val="00A6477E"/>
    <w:rsid w:val="00A727CD"/>
    <w:rsid w:val="00A77649"/>
    <w:rsid w:val="00A8314A"/>
    <w:rsid w:val="00A840AB"/>
    <w:rsid w:val="00A84735"/>
    <w:rsid w:val="00A863BB"/>
    <w:rsid w:val="00A87A28"/>
    <w:rsid w:val="00A908D6"/>
    <w:rsid w:val="00AA1775"/>
    <w:rsid w:val="00AB50A5"/>
    <w:rsid w:val="00AC2627"/>
    <w:rsid w:val="00AC3D7F"/>
    <w:rsid w:val="00AC7A2D"/>
    <w:rsid w:val="00AD099F"/>
    <w:rsid w:val="00AD169F"/>
    <w:rsid w:val="00AD663D"/>
    <w:rsid w:val="00AE1009"/>
    <w:rsid w:val="00AE2E60"/>
    <w:rsid w:val="00AE7F41"/>
    <w:rsid w:val="00AF1D76"/>
    <w:rsid w:val="00B023C9"/>
    <w:rsid w:val="00B03D4F"/>
    <w:rsid w:val="00B058D9"/>
    <w:rsid w:val="00B10DD3"/>
    <w:rsid w:val="00B1229A"/>
    <w:rsid w:val="00B15878"/>
    <w:rsid w:val="00B200A6"/>
    <w:rsid w:val="00B22198"/>
    <w:rsid w:val="00B270D4"/>
    <w:rsid w:val="00B31707"/>
    <w:rsid w:val="00B420F6"/>
    <w:rsid w:val="00B457AA"/>
    <w:rsid w:val="00B46B86"/>
    <w:rsid w:val="00B623C7"/>
    <w:rsid w:val="00B62B25"/>
    <w:rsid w:val="00B72781"/>
    <w:rsid w:val="00B803B9"/>
    <w:rsid w:val="00B816A3"/>
    <w:rsid w:val="00B87F1E"/>
    <w:rsid w:val="00B95F06"/>
    <w:rsid w:val="00B965EB"/>
    <w:rsid w:val="00BA4D1B"/>
    <w:rsid w:val="00BA5736"/>
    <w:rsid w:val="00BA6266"/>
    <w:rsid w:val="00BB507C"/>
    <w:rsid w:val="00BC15A3"/>
    <w:rsid w:val="00BC2D9E"/>
    <w:rsid w:val="00BC3D42"/>
    <w:rsid w:val="00BD0917"/>
    <w:rsid w:val="00BD187B"/>
    <w:rsid w:val="00BD2B15"/>
    <w:rsid w:val="00BD4032"/>
    <w:rsid w:val="00BD54B7"/>
    <w:rsid w:val="00BD56AF"/>
    <w:rsid w:val="00BE1A07"/>
    <w:rsid w:val="00BE6AE5"/>
    <w:rsid w:val="00BE7DC9"/>
    <w:rsid w:val="00BF0626"/>
    <w:rsid w:val="00BF5B37"/>
    <w:rsid w:val="00BF74FF"/>
    <w:rsid w:val="00C03BD7"/>
    <w:rsid w:val="00C05351"/>
    <w:rsid w:val="00C06D19"/>
    <w:rsid w:val="00C07C9D"/>
    <w:rsid w:val="00C10182"/>
    <w:rsid w:val="00C144B1"/>
    <w:rsid w:val="00C2051B"/>
    <w:rsid w:val="00C22329"/>
    <w:rsid w:val="00C23AE7"/>
    <w:rsid w:val="00C26B17"/>
    <w:rsid w:val="00C342FB"/>
    <w:rsid w:val="00C43C4A"/>
    <w:rsid w:val="00C52ABA"/>
    <w:rsid w:val="00C56EBE"/>
    <w:rsid w:val="00C607E9"/>
    <w:rsid w:val="00C609D0"/>
    <w:rsid w:val="00C62BB4"/>
    <w:rsid w:val="00C6706D"/>
    <w:rsid w:val="00C732AB"/>
    <w:rsid w:val="00C76005"/>
    <w:rsid w:val="00C80810"/>
    <w:rsid w:val="00C8204E"/>
    <w:rsid w:val="00C8303B"/>
    <w:rsid w:val="00C9277C"/>
    <w:rsid w:val="00CA0BE6"/>
    <w:rsid w:val="00CA0BF9"/>
    <w:rsid w:val="00CA2D28"/>
    <w:rsid w:val="00CA5165"/>
    <w:rsid w:val="00CB2E78"/>
    <w:rsid w:val="00CC4C12"/>
    <w:rsid w:val="00CC4F73"/>
    <w:rsid w:val="00CC5796"/>
    <w:rsid w:val="00CC5AE4"/>
    <w:rsid w:val="00CC6372"/>
    <w:rsid w:val="00CD0675"/>
    <w:rsid w:val="00CD2EFC"/>
    <w:rsid w:val="00CD326F"/>
    <w:rsid w:val="00CD5E62"/>
    <w:rsid w:val="00CD6A14"/>
    <w:rsid w:val="00CF18D1"/>
    <w:rsid w:val="00CF339F"/>
    <w:rsid w:val="00CF3AB1"/>
    <w:rsid w:val="00D04DFA"/>
    <w:rsid w:val="00D05CD3"/>
    <w:rsid w:val="00D10F4B"/>
    <w:rsid w:val="00D1689D"/>
    <w:rsid w:val="00D23407"/>
    <w:rsid w:val="00D23773"/>
    <w:rsid w:val="00D25A91"/>
    <w:rsid w:val="00D3041A"/>
    <w:rsid w:val="00D35732"/>
    <w:rsid w:val="00D50FE1"/>
    <w:rsid w:val="00D52195"/>
    <w:rsid w:val="00D62813"/>
    <w:rsid w:val="00D64E3A"/>
    <w:rsid w:val="00D84561"/>
    <w:rsid w:val="00D8478D"/>
    <w:rsid w:val="00D872A2"/>
    <w:rsid w:val="00D874E9"/>
    <w:rsid w:val="00D875C2"/>
    <w:rsid w:val="00D90A66"/>
    <w:rsid w:val="00D95CFE"/>
    <w:rsid w:val="00D961CE"/>
    <w:rsid w:val="00D975B1"/>
    <w:rsid w:val="00DB2CEF"/>
    <w:rsid w:val="00DB2D6D"/>
    <w:rsid w:val="00DB3CBC"/>
    <w:rsid w:val="00DB5935"/>
    <w:rsid w:val="00DB641C"/>
    <w:rsid w:val="00DC0EEC"/>
    <w:rsid w:val="00DC37C5"/>
    <w:rsid w:val="00DC38F7"/>
    <w:rsid w:val="00DC779E"/>
    <w:rsid w:val="00DD2CD3"/>
    <w:rsid w:val="00DD3B91"/>
    <w:rsid w:val="00DD422E"/>
    <w:rsid w:val="00DD427F"/>
    <w:rsid w:val="00DE0FDF"/>
    <w:rsid w:val="00DE6173"/>
    <w:rsid w:val="00DF3420"/>
    <w:rsid w:val="00DF39D9"/>
    <w:rsid w:val="00DF45A8"/>
    <w:rsid w:val="00DF56A8"/>
    <w:rsid w:val="00E040FE"/>
    <w:rsid w:val="00E05CAC"/>
    <w:rsid w:val="00E14EEC"/>
    <w:rsid w:val="00E16365"/>
    <w:rsid w:val="00E236CC"/>
    <w:rsid w:val="00E32BFE"/>
    <w:rsid w:val="00E3507C"/>
    <w:rsid w:val="00E37685"/>
    <w:rsid w:val="00E41BAD"/>
    <w:rsid w:val="00E4362E"/>
    <w:rsid w:val="00E4478A"/>
    <w:rsid w:val="00E44F26"/>
    <w:rsid w:val="00E46C9B"/>
    <w:rsid w:val="00E53798"/>
    <w:rsid w:val="00E60AA0"/>
    <w:rsid w:val="00E63FDE"/>
    <w:rsid w:val="00E66948"/>
    <w:rsid w:val="00E738C2"/>
    <w:rsid w:val="00E82FC3"/>
    <w:rsid w:val="00E83E57"/>
    <w:rsid w:val="00E8592B"/>
    <w:rsid w:val="00EA3B74"/>
    <w:rsid w:val="00EB391F"/>
    <w:rsid w:val="00EB3DCF"/>
    <w:rsid w:val="00EB5965"/>
    <w:rsid w:val="00EC40F6"/>
    <w:rsid w:val="00EE1B0E"/>
    <w:rsid w:val="00EE5B4F"/>
    <w:rsid w:val="00EE6C01"/>
    <w:rsid w:val="00EF07CC"/>
    <w:rsid w:val="00EF138F"/>
    <w:rsid w:val="00EF190F"/>
    <w:rsid w:val="00EF5FE5"/>
    <w:rsid w:val="00EF6025"/>
    <w:rsid w:val="00F02B50"/>
    <w:rsid w:val="00F0536D"/>
    <w:rsid w:val="00F152BE"/>
    <w:rsid w:val="00F17924"/>
    <w:rsid w:val="00F20573"/>
    <w:rsid w:val="00F21F75"/>
    <w:rsid w:val="00F327AE"/>
    <w:rsid w:val="00F4536F"/>
    <w:rsid w:val="00F531DA"/>
    <w:rsid w:val="00F541FB"/>
    <w:rsid w:val="00F627EC"/>
    <w:rsid w:val="00F62F14"/>
    <w:rsid w:val="00F63A33"/>
    <w:rsid w:val="00F65D43"/>
    <w:rsid w:val="00F70F5A"/>
    <w:rsid w:val="00F7505B"/>
    <w:rsid w:val="00F756FD"/>
    <w:rsid w:val="00F76947"/>
    <w:rsid w:val="00F80FBC"/>
    <w:rsid w:val="00F83254"/>
    <w:rsid w:val="00F833BC"/>
    <w:rsid w:val="00F855B4"/>
    <w:rsid w:val="00F92261"/>
    <w:rsid w:val="00FC1744"/>
    <w:rsid w:val="00FC6FB6"/>
    <w:rsid w:val="00FD175E"/>
    <w:rsid w:val="00FD2621"/>
    <w:rsid w:val="00FD34AD"/>
    <w:rsid w:val="00FD5253"/>
    <w:rsid w:val="00FE46B9"/>
    <w:rsid w:val="00FE4A1E"/>
    <w:rsid w:val="00FE4F6E"/>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0F08F"/>
  <w15:chartTrackingRefBased/>
  <w15:docId w15:val="{4E0F6206-42C4-F548-A83F-39D44B01D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pt-P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paragraph" w:styleId="Ttulo1">
    <w:name w:val="heading 1"/>
    <w:basedOn w:val="Normal"/>
    <w:next w:val="Normal"/>
    <w:link w:val="Ttulo1Carter"/>
    <w:autoRedefine/>
    <w:uiPriority w:val="9"/>
    <w:qFormat/>
    <w:rsid w:val="00D64E3A"/>
    <w:pPr>
      <w:pBdr>
        <w:bottom w:val="single" w:sz="12" w:space="1" w:color="0F4761" w:themeColor="accent1" w:themeShade="BF"/>
      </w:pBdr>
      <w:spacing w:before="720" w:after="360" w:line="360" w:lineRule="auto"/>
      <w:outlineLvl w:val="0"/>
    </w:pPr>
    <w:rPr>
      <w:rFonts w:asciiTheme="majorHAnsi" w:eastAsiaTheme="majorEastAsia" w:hAnsiTheme="majorHAnsi" w:cstheme="majorBidi"/>
      <w:b/>
      <w:bCs/>
      <w:color w:val="000000" w:themeColor="text1"/>
      <w:sz w:val="28"/>
      <w:lang w:val="pt-PT"/>
    </w:rPr>
  </w:style>
  <w:style w:type="paragraph" w:styleId="Ttulo2">
    <w:name w:val="heading 2"/>
    <w:basedOn w:val="Normal"/>
    <w:next w:val="Normal"/>
    <w:link w:val="Ttulo2Carter"/>
    <w:uiPriority w:val="9"/>
    <w:semiHidden/>
    <w:unhideWhenUsed/>
    <w:qFormat/>
    <w:rsid w:val="001F56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ter"/>
    <w:uiPriority w:val="9"/>
    <w:semiHidden/>
    <w:unhideWhenUsed/>
    <w:qFormat/>
    <w:rsid w:val="001F562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ter"/>
    <w:uiPriority w:val="9"/>
    <w:semiHidden/>
    <w:unhideWhenUsed/>
    <w:qFormat/>
    <w:rsid w:val="001F562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ter"/>
    <w:uiPriority w:val="9"/>
    <w:semiHidden/>
    <w:unhideWhenUsed/>
    <w:qFormat/>
    <w:rsid w:val="001F562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ter"/>
    <w:uiPriority w:val="9"/>
    <w:semiHidden/>
    <w:unhideWhenUsed/>
    <w:qFormat/>
    <w:rsid w:val="001F562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ter"/>
    <w:uiPriority w:val="9"/>
    <w:semiHidden/>
    <w:unhideWhenUsed/>
    <w:qFormat/>
    <w:rsid w:val="001F562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1F562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1F562C"/>
    <w:pPr>
      <w:keepNext/>
      <w:keepLines/>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D64E3A"/>
    <w:rPr>
      <w:rFonts w:asciiTheme="majorHAnsi" w:eastAsiaTheme="majorEastAsia" w:hAnsiTheme="majorHAnsi" w:cstheme="majorBidi"/>
      <w:b/>
      <w:bCs/>
      <w:color w:val="000000" w:themeColor="text1"/>
      <w:sz w:val="28"/>
    </w:rPr>
  </w:style>
  <w:style w:type="character" w:customStyle="1" w:styleId="Ttulo2Carter">
    <w:name w:val="Título 2 Caráter"/>
    <w:basedOn w:val="Tipodeletrapredefinidodopargrafo"/>
    <w:link w:val="Ttulo2"/>
    <w:uiPriority w:val="9"/>
    <w:semiHidden/>
    <w:rsid w:val="001F562C"/>
    <w:rPr>
      <w:rFonts w:asciiTheme="majorHAnsi" w:eastAsiaTheme="majorEastAsia" w:hAnsiTheme="majorHAnsi" w:cstheme="majorBidi"/>
      <w:color w:val="0F4761" w:themeColor="accent1" w:themeShade="BF"/>
      <w:sz w:val="32"/>
      <w:szCs w:val="32"/>
      <w:lang w:val="en-US"/>
    </w:rPr>
  </w:style>
  <w:style w:type="character" w:customStyle="1" w:styleId="Ttulo3Carter">
    <w:name w:val="Título 3 Caráter"/>
    <w:basedOn w:val="Tipodeletrapredefinidodopargrafo"/>
    <w:link w:val="Ttulo3"/>
    <w:uiPriority w:val="9"/>
    <w:semiHidden/>
    <w:rsid w:val="001F562C"/>
    <w:rPr>
      <w:rFonts w:eastAsiaTheme="majorEastAsia" w:cstheme="majorBidi"/>
      <w:color w:val="0F4761" w:themeColor="accent1" w:themeShade="BF"/>
      <w:sz w:val="28"/>
      <w:szCs w:val="28"/>
      <w:lang w:val="en-US"/>
    </w:rPr>
  </w:style>
  <w:style w:type="character" w:customStyle="1" w:styleId="Ttulo4Carter">
    <w:name w:val="Título 4 Caráter"/>
    <w:basedOn w:val="Tipodeletrapredefinidodopargrafo"/>
    <w:link w:val="Ttulo4"/>
    <w:uiPriority w:val="9"/>
    <w:semiHidden/>
    <w:rsid w:val="001F562C"/>
    <w:rPr>
      <w:rFonts w:eastAsiaTheme="majorEastAsia" w:cstheme="majorBidi"/>
      <w:i/>
      <w:iCs/>
      <w:color w:val="0F4761" w:themeColor="accent1" w:themeShade="BF"/>
      <w:lang w:val="en-US"/>
    </w:rPr>
  </w:style>
  <w:style w:type="character" w:customStyle="1" w:styleId="Ttulo5Carter">
    <w:name w:val="Título 5 Caráter"/>
    <w:basedOn w:val="Tipodeletrapredefinidodopargrafo"/>
    <w:link w:val="Ttulo5"/>
    <w:uiPriority w:val="9"/>
    <w:semiHidden/>
    <w:rsid w:val="001F562C"/>
    <w:rPr>
      <w:rFonts w:eastAsiaTheme="majorEastAsia" w:cstheme="majorBidi"/>
      <w:color w:val="0F4761" w:themeColor="accent1" w:themeShade="BF"/>
      <w:lang w:val="en-US"/>
    </w:rPr>
  </w:style>
  <w:style w:type="character" w:customStyle="1" w:styleId="Ttulo6Carter">
    <w:name w:val="Título 6 Caráter"/>
    <w:basedOn w:val="Tipodeletrapredefinidodopargrafo"/>
    <w:link w:val="Ttulo6"/>
    <w:uiPriority w:val="9"/>
    <w:semiHidden/>
    <w:rsid w:val="001F562C"/>
    <w:rPr>
      <w:rFonts w:eastAsiaTheme="majorEastAsia" w:cstheme="majorBidi"/>
      <w:i/>
      <w:iCs/>
      <w:color w:val="595959" w:themeColor="text1" w:themeTint="A6"/>
      <w:lang w:val="en-US"/>
    </w:rPr>
  </w:style>
  <w:style w:type="character" w:customStyle="1" w:styleId="Ttulo7Carter">
    <w:name w:val="Título 7 Caráter"/>
    <w:basedOn w:val="Tipodeletrapredefinidodopargrafo"/>
    <w:link w:val="Ttulo7"/>
    <w:uiPriority w:val="9"/>
    <w:semiHidden/>
    <w:rsid w:val="001F562C"/>
    <w:rPr>
      <w:rFonts w:eastAsiaTheme="majorEastAsia" w:cstheme="majorBidi"/>
      <w:color w:val="595959" w:themeColor="text1" w:themeTint="A6"/>
      <w:lang w:val="en-US"/>
    </w:rPr>
  </w:style>
  <w:style w:type="character" w:customStyle="1" w:styleId="Ttulo8Carter">
    <w:name w:val="Título 8 Caráter"/>
    <w:basedOn w:val="Tipodeletrapredefinidodopargrafo"/>
    <w:link w:val="Ttulo8"/>
    <w:uiPriority w:val="9"/>
    <w:semiHidden/>
    <w:rsid w:val="001F562C"/>
    <w:rPr>
      <w:rFonts w:eastAsiaTheme="majorEastAsia" w:cstheme="majorBidi"/>
      <w:i/>
      <w:iCs/>
      <w:color w:val="272727" w:themeColor="text1" w:themeTint="D8"/>
      <w:lang w:val="en-US"/>
    </w:rPr>
  </w:style>
  <w:style w:type="character" w:customStyle="1" w:styleId="Ttulo9Carter">
    <w:name w:val="Título 9 Caráter"/>
    <w:basedOn w:val="Tipodeletrapredefinidodopargrafo"/>
    <w:link w:val="Ttulo9"/>
    <w:uiPriority w:val="9"/>
    <w:semiHidden/>
    <w:rsid w:val="001F562C"/>
    <w:rPr>
      <w:rFonts w:eastAsiaTheme="majorEastAsia" w:cstheme="majorBidi"/>
      <w:color w:val="272727" w:themeColor="text1" w:themeTint="D8"/>
      <w:lang w:val="en-US"/>
    </w:rPr>
  </w:style>
  <w:style w:type="paragraph" w:styleId="Ttulo">
    <w:name w:val="Title"/>
    <w:basedOn w:val="Normal"/>
    <w:next w:val="Normal"/>
    <w:link w:val="TtuloCarter"/>
    <w:uiPriority w:val="10"/>
    <w:qFormat/>
    <w:rsid w:val="001F562C"/>
    <w:pPr>
      <w:spacing w:after="80"/>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1F562C"/>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ter"/>
    <w:uiPriority w:val="11"/>
    <w:qFormat/>
    <w:rsid w:val="001F562C"/>
    <w:pPr>
      <w:numPr>
        <w:ilvl w:val="1"/>
      </w:numPr>
      <w:spacing w:after="160"/>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1F562C"/>
    <w:rPr>
      <w:rFonts w:eastAsiaTheme="majorEastAsia" w:cstheme="majorBidi"/>
      <w:color w:val="595959" w:themeColor="text1" w:themeTint="A6"/>
      <w:spacing w:val="15"/>
      <w:sz w:val="28"/>
      <w:szCs w:val="28"/>
      <w:lang w:val="en-US"/>
    </w:rPr>
  </w:style>
  <w:style w:type="paragraph" w:styleId="Citao">
    <w:name w:val="Quote"/>
    <w:basedOn w:val="Normal"/>
    <w:next w:val="Normal"/>
    <w:link w:val="CitaoCarter"/>
    <w:uiPriority w:val="29"/>
    <w:qFormat/>
    <w:rsid w:val="001F562C"/>
    <w:pPr>
      <w:spacing w:before="160" w:after="160"/>
      <w:jc w:val="center"/>
    </w:pPr>
    <w:rPr>
      <w:i/>
      <w:iCs/>
      <w:color w:val="404040" w:themeColor="text1" w:themeTint="BF"/>
    </w:rPr>
  </w:style>
  <w:style w:type="character" w:customStyle="1" w:styleId="CitaoCarter">
    <w:name w:val="Citação Caráter"/>
    <w:basedOn w:val="Tipodeletrapredefinidodopargrafo"/>
    <w:link w:val="Citao"/>
    <w:uiPriority w:val="29"/>
    <w:rsid w:val="001F562C"/>
    <w:rPr>
      <w:i/>
      <w:iCs/>
      <w:color w:val="404040" w:themeColor="text1" w:themeTint="BF"/>
      <w:lang w:val="en-US"/>
    </w:rPr>
  </w:style>
  <w:style w:type="paragraph" w:styleId="PargrafodaLista">
    <w:name w:val="List Paragraph"/>
    <w:basedOn w:val="Normal"/>
    <w:uiPriority w:val="34"/>
    <w:qFormat/>
    <w:rsid w:val="001F562C"/>
    <w:pPr>
      <w:ind w:left="720"/>
      <w:contextualSpacing/>
    </w:pPr>
  </w:style>
  <w:style w:type="character" w:styleId="nfaseIntensa">
    <w:name w:val="Intense Emphasis"/>
    <w:basedOn w:val="Tipodeletrapredefinidodopargrafo"/>
    <w:uiPriority w:val="21"/>
    <w:qFormat/>
    <w:rsid w:val="001F562C"/>
    <w:rPr>
      <w:i/>
      <w:iCs/>
      <w:color w:val="0F4761" w:themeColor="accent1" w:themeShade="BF"/>
    </w:rPr>
  </w:style>
  <w:style w:type="paragraph" w:styleId="CitaoIntensa">
    <w:name w:val="Intense Quote"/>
    <w:basedOn w:val="Normal"/>
    <w:next w:val="Normal"/>
    <w:link w:val="CitaoIntensaCarter"/>
    <w:uiPriority w:val="30"/>
    <w:qFormat/>
    <w:rsid w:val="001F5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1F562C"/>
    <w:rPr>
      <w:i/>
      <w:iCs/>
      <w:color w:val="0F4761" w:themeColor="accent1" w:themeShade="BF"/>
      <w:lang w:val="en-US"/>
    </w:rPr>
  </w:style>
  <w:style w:type="character" w:styleId="RefernciaIntensa">
    <w:name w:val="Intense Reference"/>
    <w:basedOn w:val="Tipodeletrapredefinidodopargrafo"/>
    <w:uiPriority w:val="32"/>
    <w:qFormat/>
    <w:rsid w:val="001F562C"/>
    <w:rPr>
      <w:b/>
      <w:bCs/>
      <w:smallCaps/>
      <w:color w:val="0F4761" w:themeColor="accent1" w:themeShade="BF"/>
      <w:spacing w:val="5"/>
    </w:rPr>
  </w:style>
  <w:style w:type="character" w:styleId="Hiperligao">
    <w:name w:val="Hyperlink"/>
    <w:basedOn w:val="Tipodeletrapredefinidodopargrafo"/>
    <w:uiPriority w:val="99"/>
    <w:unhideWhenUsed/>
    <w:rsid w:val="001F562C"/>
    <w:rPr>
      <w:color w:val="467886" w:themeColor="hyperlink"/>
      <w:u w:val="single"/>
    </w:rPr>
  </w:style>
  <w:style w:type="character" w:styleId="MenoNoResolvida">
    <w:name w:val="Unresolved Mention"/>
    <w:basedOn w:val="Tipodeletrapredefinidodopargrafo"/>
    <w:uiPriority w:val="99"/>
    <w:semiHidden/>
    <w:unhideWhenUsed/>
    <w:rsid w:val="001F562C"/>
    <w:rPr>
      <w:color w:val="605E5C"/>
      <w:shd w:val="clear" w:color="auto" w:fill="E1DFDD"/>
    </w:rPr>
  </w:style>
  <w:style w:type="paragraph" w:styleId="Textodebalo">
    <w:name w:val="Balloon Text"/>
    <w:basedOn w:val="Normal"/>
    <w:link w:val="TextodebaloCarter"/>
    <w:unhideWhenUsed/>
    <w:qFormat/>
    <w:rsid w:val="001F562C"/>
    <w:rPr>
      <w:rFonts w:ascii="Segoe UI" w:hAnsi="Segoe UI" w:cs="Segoe UI"/>
      <w:kern w:val="0"/>
      <w:sz w:val="18"/>
      <w:szCs w:val="18"/>
      <w14:ligatures w14:val="none"/>
    </w:rPr>
  </w:style>
  <w:style w:type="character" w:customStyle="1" w:styleId="TextodebaloCarter">
    <w:name w:val="Texto de balão Caráter"/>
    <w:basedOn w:val="Tipodeletrapredefinidodopargrafo"/>
    <w:link w:val="Textodebalo"/>
    <w:rsid w:val="001F562C"/>
    <w:rPr>
      <w:rFonts w:ascii="Segoe UI" w:hAnsi="Segoe UI" w:cs="Segoe UI"/>
      <w:kern w:val="0"/>
      <w:sz w:val="18"/>
      <w:szCs w:val="18"/>
      <w:lang w:val="en-US"/>
      <w14:ligatures w14:val="none"/>
    </w:rPr>
  </w:style>
  <w:style w:type="paragraph" w:customStyle="1" w:styleId="EndNoteBibliographyTitle">
    <w:name w:val="EndNote Bibliography Title"/>
    <w:basedOn w:val="Normal"/>
    <w:link w:val="EndNoteBibliographyTitleCarter"/>
    <w:rsid w:val="007009C0"/>
    <w:pPr>
      <w:jc w:val="center"/>
    </w:pPr>
    <w:rPr>
      <w:rFonts w:ascii="Aptos" w:hAnsi="Aptos"/>
    </w:rPr>
  </w:style>
  <w:style w:type="character" w:customStyle="1" w:styleId="EndNoteBibliographyTitleCarter">
    <w:name w:val="EndNote Bibliography Title Caráter"/>
    <w:basedOn w:val="Tipodeletrapredefinidodopargrafo"/>
    <w:link w:val="EndNoteBibliographyTitle"/>
    <w:rsid w:val="007009C0"/>
    <w:rPr>
      <w:rFonts w:ascii="Aptos" w:hAnsi="Aptos"/>
      <w:lang w:val="en-US"/>
    </w:rPr>
  </w:style>
  <w:style w:type="paragraph" w:customStyle="1" w:styleId="EndNoteBibliography">
    <w:name w:val="EndNote Bibliography"/>
    <w:basedOn w:val="Normal"/>
    <w:link w:val="EndNoteBibliographyCarter"/>
    <w:rsid w:val="007009C0"/>
    <w:pPr>
      <w:jc w:val="both"/>
    </w:pPr>
    <w:rPr>
      <w:rFonts w:ascii="Aptos" w:hAnsi="Aptos"/>
    </w:rPr>
  </w:style>
  <w:style w:type="character" w:customStyle="1" w:styleId="EndNoteBibliographyCarter">
    <w:name w:val="EndNote Bibliography Caráter"/>
    <w:basedOn w:val="Tipodeletrapredefinidodopargrafo"/>
    <w:link w:val="EndNoteBibliography"/>
    <w:rsid w:val="007009C0"/>
    <w:rPr>
      <w:rFonts w:ascii="Aptos" w:hAnsi="Apto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069701">
      <w:bodyDiv w:val="1"/>
      <w:marLeft w:val="0"/>
      <w:marRight w:val="0"/>
      <w:marTop w:val="0"/>
      <w:marBottom w:val="0"/>
      <w:divBdr>
        <w:top w:val="none" w:sz="0" w:space="0" w:color="auto"/>
        <w:left w:val="none" w:sz="0" w:space="0" w:color="auto"/>
        <w:bottom w:val="none" w:sz="0" w:space="0" w:color="auto"/>
        <w:right w:val="none" w:sz="0" w:space="0" w:color="auto"/>
      </w:divBdr>
    </w:div>
    <w:div w:id="1770850763">
      <w:bodyDiv w:val="1"/>
      <w:marLeft w:val="0"/>
      <w:marRight w:val="0"/>
      <w:marTop w:val="0"/>
      <w:marBottom w:val="0"/>
      <w:divBdr>
        <w:top w:val="none" w:sz="0" w:space="0" w:color="auto"/>
        <w:left w:val="none" w:sz="0" w:space="0" w:color="auto"/>
        <w:bottom w:val="none" w:sz="0" w:space="0" w:color="auto"/>
        <w:right w:val="none" w:sz="0" w:space="0" w:color="auto"/>
      </w:divBdr>
    </w:div>
    <w:div w:id="214581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8A639-F738-5642-9906-4B301D62E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2814</Words>
  <Characters>15198</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Pereira Santos</dc:creator>
  <cp:keywords/>
  <dc:description/>
  <cp:lastModifiedBy>celiamfgomes@gmail.com</cp:lastModifiedBy>
  <cp:revision>2</cp:revision>
  <dcterms:created xsi:type="dcterms:W3CDTF">2025-03-03T13:04:00Z</dcterms:created>
  <dcterms:modified xsi:type="dcterms:W3CDTF">2025-03-03T13:04:00Z</dcterms:modified>
</cp:coreProperties>
</file>