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A8ED3" w14:textId="77777777" w:rsidR="005D51E1" w:rsidRPr="00721EE8" w:rsidRDefault="00000000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721EE8">
        <w:rPr>
          <w:rFonts w:ascii="Arial" w:eastAsia="Arial" w:hAnsi="Arial" w:cs="Arial"/>
          <w:b/>
          <w:sz w:val="20"/>
          <w:szCs w:val="20"/>
          <w:lang w:val="en-US"/>
        </w:rPr>
        <w:t xml:space="preserve">Table 1. </w:t>
      </w:r>
      <w:r w:rsidRPr="00721EE8">
        <w:rPr>
          <w:rFonts w:ascii="Arial" w:eastAsia="Arial" w:hAnsi="Arial" w:cs="Arial"/>
          <w:sz w:val="20"/>
          <w:szCs w:val="20"/>
          <w:lang w:val="en-US"/>
        </w:rPr>
        <w:t>Comparison of clinical variables between the groups one year before and one year after the implementation of daily multiprofessional rounds.</w:t>
      </w:r>
    </w:p>
    <w:tbl>
      <w:tblPr>
        <w:tblStyle w:val="a"/>
        <w:tblW w:w="9000" w:type="dxa"/>
        <w:tblInd w:w="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65"/>
        <w:gridCol w:w="2130"/>
        <w:gridCol w:w="2025"/>
        <w:gridCol w:w="1380"/>
      </w:tblGrid>
      <w:tr w:rsidR="005D51E1" w14:paraId="5F71709A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161A7B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Category</w:t>
            </w:r>
          </w:p>
        </w:tc>
        <w:tc>
          <w:tcPr>
            <w:tcW w:w="213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02B4C1" w14:textId="77777777" w:rsidR="005D51E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Pre-rounds (n = 12)</w:t>
            </w:r>
          </w:p>
        </w:tc>
        <w:tc>
          <w:tcPr>
            <w:tcW w:w="202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DD224F" w14:textId="77777777" w:rsidR="005D51E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Post-rounds (n = 12)</w:t>
            </w:r>
          </w:p>
        </w:tc>
        <w:tc>
          <w:tcPr>
            <w:tcW w:w="1380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7A1481" w14:textId="77777777" w:rsidR="005D51E1" w:rsidRDefault="0000000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p-value</w:t>
            </w:r>
          </w:p>
        </w:tc>
      </w:tr>
      <w:tr w:rsidR="005D51E1" w14:paraId="48C80457" w14:textId="77777777" w:rsidTr="00721EE8">
        <w:trPr>
          <w:trHeight w:val="75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F9B8B0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Monthly admissions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02EEB44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26,67 ± 7,75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304536F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27,67 ± 5,05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01D153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0,712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77B4B965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5B575F" w14:textId="77777777" w:rsidR="005D51E1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Patients-days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733A238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233 [211-248]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2E2F57E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240 [233-244]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7F0B0A0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0,514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69C0A4F5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395EA3" w14:textId="77777777" w:rsidR="005D51E1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ICU occupancy rate (%)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F0724D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96,50 [88,2-102]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D5DBAC8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100 [95,5-102]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D35714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0,551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4A3B643D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E852D3D" w14:textId="77777777" w:rsidR="005D51E1" w:rsidRDefault="00000000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 age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62535A7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46,7 [44,2-48,7]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8463A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47,9 [42,7-56,1]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ACA9A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0,590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1D8AA76B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816062" w14:textId="77777777" w:rsidR="005D51E1" w:rsidRPr="00721EE8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en-US"/>
              </w:rPr>
            </w:pPr>
            <w:r w:rsidRPr="00721EE8">
              <w:rPr>
                <w:rFonts w:ascii="Arial" w:eastAsia="Arial" w:hAnsi="Arial" w:cs="Arial"/>
                <w:sz w:val="18"/>
                <w:szCs w:val="18"/>
                <w:lang w:val="en-US"/>
              </w:rPr>
              <w:t>ICU length of stay (days)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5B82D7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13,24 ± 4,83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2B759E1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12,71 ± 4,17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FFFC9B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0,779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4F6E4DE4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576EE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Monthly medical admissions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F0781A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± 4,57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E3C7029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10,1 ± 4,4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FA7B242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0,928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41A71FDD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5AEFB58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Monthly surgical admissions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ED3ECE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± 2,69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C8F2487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 ± 3,60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A7911A7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0,949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4D28F670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E4637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Mean SAPS 3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E587928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39,40 ± 4,88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2CD0D2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60,63 ± 7,45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53C13B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 0,001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4630AFF1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82F6C9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Predicted mortality rate (%)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425D87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10,5 [5,5-15,7]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B0ADC16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41,5 [27-47]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AA9FBE0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 0,001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55D4E8CA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A9C26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Mortality Rate (%) 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1A53159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37,0 [30,5-53,2]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63117B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35,5 [21,2-42,0]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8A24F9D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0,266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12C7942E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F37468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Standardized Mortality Ratio</w:t>
            </w:r>
            <w:r>
              <w:rPr>
                <w:rFonts w:ascii="Arial" w:eastAsia="Arial" w:hAnsi="Arial" w:cs="Arial"/>
                <w:sz w:val="18"/>
                <w:szCs w:val="18"/>
              </w:rPr>
              <w:tab/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DC5B09F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3,6 [2,4-6,0]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4157A62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0,7 [0,5-1,4]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04EB66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&lt; 0,001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3A31FE8D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8C6063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Patient-days using CVC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5A67DE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101,5 ± 55,63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04F8870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161,33 ± 31,90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63213E5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0,004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448892D0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FF3034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CVC utilization rate (%)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E91196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42,92 ± 21,48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A546109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67,50 ± 12,51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21B834B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0,002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274A256E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7502BD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Patient-days using IUC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1F6E9F3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171 [109-211]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879C839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210 [181-220]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3030E59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0,033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0488F39E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8AB02C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IUC utilization rate (%) 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D957633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71,5 [52,7-88,2]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E48A25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88,0 [77,5-91,5]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94A4F3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0,060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6901AA2D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F6B943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Patient-days using IMV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82DF00B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140 [85-163]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55EB261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155 [132-166]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CEE3204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0,219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  <w:tr w:rsidR="005D51E1" w14:paraId="4A53053D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EA81AC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IMV utilization rate (%)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27D90F4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55,08 ± 13,98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62EC905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63,42 ± 10,63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BE27944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0,115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a</w:t>
            </w:r>
          </w:p>
        </w:tc>
      </w:tr>
      <w:tr w:rsidR="005D51E1" w14:paraId="07F8E379" w14:textId="77777777" w:rsidTr="00721EE8">
        <w:trPr>
          <w:trHeight w:val="20"/>
        </w:trPr>
        <w:tc>
          <w:tcPr>
            <w:tcW w:w="3465" w:type="dxa"/>
            <w:tcBorders>
              <w:left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FCBF56" w14:textId="77777777" w:rsidR="005D51E1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IMV Duration (days)</w:t>
            </w:r>
          </w:p>
        </w:tc>
        <w:tc>
          <w:tcPr>
            <w:tcW w:w="213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4453FB4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9,5 [8-10]</w:t>
            </w:r>
          </w:p>
        </w:tc>
        <w:tc>
          <w:tcPr>
            <w:tcW w:w="20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FA9A0CD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 [6-8]</w:t>
            </w:r>
          </w:p>
        </w:tc>
        <w:tc>
          <w:tcPr>
            <w:tcW w:w="138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98AAC17" w14:textId="77777777" w:rsidR="005D51E1" w:rsidRDefault="00000000">
            <w:pPr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vertAlign w:val="superscript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0,017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b</w:t>
            </w:r>
          </w:p>
        </w:tc>
      </w:tr>
    </w:tbl>
    <w:p w14:paraId="723B48C2" w14:textId="77777777" w:rsidR="005D51E1" w:rsidRPr="00721EE8" w:rsidRDefault="00000000">
      <w:pPr>
        <w:spacing w:after="200" w:line="240" w:lineRule="auto"/>
        <w:jc w:val="both"/>
        <w:rPr>
          <w:rFonts w:ascii="Arial" w:eastAsia="Arial" w:hAnsi="Arial" w:cs="Arial"/>
          <w:sz w:val="20"/>
          <w:szCs w:val="20"/>
          <w:lang w:val="en-US"/>
        </w:rPr>
      </w:pPr>
      <w:r>
        <w:rPr>
          <w:rFonts w:ascii="Arial" w:eastAsia="Arial" w:hAnsi="Arial" w:cs="Arial"/>
          <w:sz w:val="18"/>
          <w:szCs w:val="18"/>
        </w:rPr>
        <w:t>ᵃ</w:t>
      </w:r>
      <w:r w:rsidRPr="00721EE8">
        <w:rPr>
          <w:rFonts w:ascii="Arial" w:eastAsia="Arial" w:hAnsi="Arial" w:cs="Arial"/>
          <w:sz w:val="18"/>
          <w:szCs w:val="18"/>
          <w:lang w:val="en-US"/>
        </w:rPr>
        <w:t xml:space="preserve">Student’s t-test for independent samples; </w:t>
      </w:r>
      <w:r>
        <w:rPr>
          <w:rFonts w:ascii="Arial" w:eastAsia="Arial" w:hAnsi="Arial" w:cs="Arial"/>
          <w:sz w:val="18"/>
          <w:szCs w:val="18"/>
        </w:rPr>
        <w:t>ᵇ</w:t>
      </w:r>
      <w:r w:rsidRPr="00721EE8">
        <w:rPr>
          <w:rFonts w:ascii="Arial" w:eastAsia="Arial" w:hAnsi="Arial" w:cs="Arial"/>
          <w:sz w:val="18"/>
          <w:szCs w:val="18"/>
          <w:lang w:val="en-US"/>
        </w:rPr>
        <w:t>Mann-Whitney U test; SAPS 3 - Simplified Acute Physiology Score 3; CVC - Central Venous Catheter; IMV - Invasive Mechanical Ventilation; IUC - Indwelling Urinary Catheter.</w:t>
      </w:r>
    </w:p>
    <w:p w14:paraId="67633655" w14:textId="77777777" w:rsidR="005D51E1" w:rsidRPr="00721EE8" w:rsidRDefault="005D51E1">
      <w:pPr>
        <w:spacing w:after="200" w:line="240" w:lineRule="auto"/>
        <w:rPr>
          <w:rFonts w:ascii="Arial" w:eastAsia="Arial" w:hAnsi="Arial" w:cs="Arial"/>
          <w:lang w:val="en-US"/>
        </w:rPr>
      </w:pPr>
    </w:p>
    <w:sectPr w:rsidR="005D51E1" w:rsidRPr="00721E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134" w:left="1701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F46C" w14:textId="77777777" w:rsidR="00C545A9" w:rsidRDefault="00C545A9">
      <w:pPr>
        <w:spacing w:after="0" w:line="240" w:lineRule="auto"/>
      </w:pPr>
      <w:r>
        <w:separator/>
      </w:r>
    </w:p>
  </w:endnote>
  <w:endnote w:type="continuationSeparator" w:id="0">
    <w:p w14:paraId="4013C6D3" w14:textId="77777777" w:rsidR="00C545A9" w:rsidRDefault="00C545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3DB12" w14:textId="77777777" w:rsidR="005D51E1" w:rsidRDefault="005D51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2AE3" w14:textId="77777777" w:rsidR="005D51E1" w:rsidRDefault="005D51E1">
    <w:pPr>
      <w:spacing w:after="0" w:line="276" w:lineRule="auto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99850" w14:textId="77777777" w:rsidR="005D51E1" w:rsidRDefault="005D51E1">
    <w:pPr>
      <w:pBdr>
        <w:top w:val="nil"/>
        <w:left w:val="nil"/>
        <w:bottom w:val="nil"/>
        <w:right w:val="nil"/>
        <w:between w:val="nil"/>
      </w:pBdr>
      <w:spacing w:after="0" w:line="276" w:lineRule="auto"/>
      <w:jc w:val="both"/>
      <w:rPr>
        <w:rFonts w:ascii="Times New Roman" w:eastAsia="Times New Roman" w:hAnsi="Times New Roman" w:cs="Times New Roman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89278" w14:textId="77777777" w:rsidR="00C545A9" w:rsidRDefault="00C545A9">
      <w:pPr>
        <w:spacing w:after="0" w:line="240" w:lineRule="auto"/>
      </w:pPr>
      <w:r>
        <w:separator/>
      </w:r>
    </w:p>
  </w:footnote>
  <w:footnote w:type="continuationSeparator" w:id="0">
    <w:p w14:paraId="59F734AB" w14:textId="77777777" w:rsidR="00C545A9" w:rsidRDefault="00C545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99736" w14:textId="77777777" w:rsidR="005D51E1" w:rsidRDefault="005D51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2CB73" w14:textId="77777777" w:rsidR="005D51E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</w:rPr>
    </w:pPr>
    <w:r>
      <w:rPr>
        <w:rFonts w:ascii="Arial" w:eastAsia="Arial" w:hAnsi="Arial" w:cs="Arial"/>
      </w:rPr>
      <w:fldChar w:fldCharType="begin"/>
    </w:r>
    <w:r>
      <w:rPr>
        <w:rFonts w:ascii="Arial" w:eastAsia="Arial" w:hAnsi="Arial" w:cs="Arial"/>
      </w:rPr>
      <w:instrText>PAGE</w:instrText>
    </w:r>
    <w:r>
      <w:rPr>
        <w:rFonts w:ascii="Arial" w:eastAsia="Arial" w:hAnsi="Arial" w:cs="Arial"/>
      </w:rPr>
      <w:fldChar w:fldCharType="separate"/>
    </w:r>
    <w:r w:rsidR="00721EE8">
      <w:rPr>
        <w:rFonts w:ascii="Arial" w:eastAsia="Arial" w:hAnsi="Arial" w:cs="Arial"/>
        <w:noProof/>
      </w:rPr>
      <w:t>1</w:t>
    </w:r>
    <w:r>
      <w:rPr>
        <w:rFonts w:ascii="Arial" w:eastAsia="Arial" w:hAnsi="Arial" w:cs="Arial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8A8F0" w14:textId="77777777" w:rsidR="005D51E1" w:rsidRDefault="005D51E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1E1"/>
    <w:rsid w:val="005D51E1"/>
    <w:rsid w:val="00721EE8"/>
    <w:rsid w:val="00B36F13"/>
    <w:rsid w:val="00C54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8AAC9"/>
  <w15:docId w15:val="{0DB5C05D-C993-47E6-8BB0-F6996FB25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40" w:line="240" w:lineRule="auto"/>
      <w:outlineLvl w:val="0"/>
    </w:pPr>
    <w:rPr>
      <w:color w:val="1F3864"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color w:val="2F549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smallCaps/>
      <w:color w:val="2F549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smallCaps/>
      <w:color w:val="1F38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0" w:line="204" w:lineRule="auto"/>
    </w:pPr>
    <w:rPr>
      <w:smallCaps/>
      <w:color w:val="44546A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240" w:line="240" w:lineRule="auto"/>
    </w:pPr>
    <w:rPr>
      <w:color w:val="4472C4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Vinicius Pereira</cp:lastModifiedBy>
  <cp:revision>2</cp:revision>
  <dcterms:created xsi:type="dcterms:W3CDTF">2025-03-16T23:50:00Z</dcterms:created>
  <dcterms:modified xsi:type="dcterms:W3CDTF">2025-03-16T23:51:00Z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iteId">
    <vt:lpwstr>20f9f89e-014e-4eb6-b6d4-fb4ef6a759ed</vt:lpwstr>
  </property>
  <property fmtid="{D5CDD505-2E9C-101B-9397-08002B2CF9AE}" pid="4" name="MSIP_Label_defa4170-0d19-0005-0004-bc88714345d2_ActionId">
    <vt:lpwstr>51c61583-f649-4476-8f44-b3d84214b3f2</vt:lpwstr>
  </property>
  <property fmtid="{D5CDD505-2E9C-101B-9397-08002B2CF9AE}" pid="5" name="MSIP_Label_defa4170-0d19-0005-0004-bc88714345d2_ContentBits">
    <vt:lpwstr>0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ContentTypeId">
    <vt:lpwstr>0x010100765E63C47118C84982F6B261EB197D14</vt:lpwstr>
  </property>
  <property fmtid="{D5CDD505-2E9C-101B-9397-08002B2CF9AE}" pid="8" name="MSIP_Label_defa4170-0d19-0005-0004-bc88714345d2_SetDate">
    <vt:lpwstr>2023-08-01T21:41:59Z</vt:lpwstr>
  </property>
  <property fmtid="{D5CDD505-2E9C-101B-9397-08002B2CF9AE}" pid="9" name="MSIP_Label_defa4170-0d19-0005-0004-bc88714345d2_Method">
    <vt:lpwstr>Standard</vt:lpwstr>
  </property>
</Properties>
</file>