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962933" w14:textId="77777777" w:rsidR="00082EA5" w:rsidRDefault="00082EA5" w:rsidP="00082EA5">
      <w:pPr>
        <w:pStyle w:val="Heading2"/>
      </w:pPr>
      <w:r>
        <w:t>Table 1</w:t>
      </w:r>
    </w:p>
    <w:p w14:paraId="52B760D1" w14:textId="77777777" w:rsidR="00082EA5" w:rsidRPr="008438E7" w:rsidRDefault="00082EA5" w:rsidP="00082EA5">
      <w:pPr>
        <w:spacing w:line="240" w:lineRule="auto"/>
        <w:rPr>
          <w:highlight w:val="white"/>
        </w:rPr>
      </w:pPr>
      <w:r w:rsidRPr="004160B3">
        <w:rPr>
          <w:b/>
          <w:bCs/>
          <w:highlight w:val="white"/>
        </w:rPr>
        <w:t xml:space="preserve">Structural differences in six agricultural </w:t>
      </w:r>
      <w:r>
        <w:rPr>
          <w:b/>
          <w:bCs/>
          <w:highlight w:val="white"/>
        </w:rPr>
        <w:t>land management</w:t>
      </w:r>
      <w:r w:rsidRPr="004160B3">
        <w:rPr>
          <w:b/>
          <w:bCs/>
          <w:highlight w:val="white"/>
        </w:rPr>
        <w:t xml:space="preserve"> protocols used to estimate carbon credits representing one metric tonne of carbon dioxide equivalent</w:t>
      </w:r>
      <w:r w:rsidRPr="004E5579">
        <w:rPr>
          <w:highlight w:val="white"/>
        </w:rPr>
        <w:t xml:space="preserve">. We evaluated protocols maintained by three carbon </w:t>
      </w:r>
      <w:r w:rsidRPr="004E5579">
        <w:t>crediting programs</w:t>
      </w:r>
      <w:r w:rsidRPr="004E5579">
        <w:rPr>
          <w:highlight w:val="white"/>
        </w:rPr>
        <w:t xml:space="preserve">: Nori’s Cropland Methodology v1.3 </w:t>
      </w:r>
      <w:r w:rsidRPr="004E5579">
        <w:t>(December 15, 2021)</w:t>
      </w:r>
      <w:r w:rsidRPr="004E5579">
        <w:rPr>
          <w:highlight w:val="white"/>
        </w:rPr>
        <w:t xml:space="preserve"> and v1.6 </w:t>
      </w:r>
      <w:r w:rsidRPr="004E5579">
        <w:t>(January 24, 2024)</w:t>
      </w:r>
      <w:r w:rsidRPr="004E5579">
        <w:rPr>
          <w:highlight w:val="white"/>
        </w:rPr>
        <w:t>, Climate Action Reserve’s</w:t>
      </w:r>
      <w:r>
        <w:rPr>
          <w:highlight w:val="white"/>
        </w:rPr>
        <w:t xml:space="preserve"> (‘The Reserve’)</w:t>
      </w:r>
      <w:r w:rsidRPr="004E5579">
        <w:rPr>
          <w:highlight w:val="white"/>
        </w:rPr>
        <w:t xml:space="preserve"> Soil Enrichment Protocol v1.0 (</w:t>
      </w:r>
      <w:r w:rsidRPr="004E5579">
        <w:t>September 20, 2020)</w:t>
      </w:r>
      <w:r w:rsidRPr="004E5579">
        <w:rPr>
          <w:highlight w:val="white"/>
        </w:rPr>
        <w:t xml:space="preserve"> and v1.1</w:t>
      </w:r>
      <w:r w:rsidRPr="004E5579">
        <w:t xml:space="preserve"> (May 31, 2022</w:t>
      </w:r>
      <w:r w:rsidRPr="004E5579">
        <w:rPr>
          <w:highlight w:val="white"/>
        </w:rPr>
        <w:t xml:space="preserve">), and Verra’s </w:t>
      </w:r>
      <w:r w:rsidRPr="004E5579">
        <w:t xml:space="preserve">“VM0042: </w:t>
      </w:r>
      <w:r w:rsidRPr="004E5579">
        <w:rPr>
          <w:highlight w:val="white"/>
        </w:rPr>
        <w:t>Methodology for Improved Agricultural Land Management</w:t>
      </w:r>
      <w:r w:rsidRPr="004E5579">
        <w:t>”</w:t>
      </w:r>
      <w:r w:rsidRPr="004E5579">
        <w:rPr>
          <w:highlight w:val="white"/>
        </w:rPr>
        <w:t xml:space="preserve"> v1.0 </w:t>
      </w:r>
      <w:r w:rsidRPr="004E5579">
        <w:t xml:space="preserve">(October 19, 2020) </w:t>
      </w:r>
      <w:r w:rsidRPr="004E5579">
        <w:rPr>
          <w:highlight w:val="white"/>
        </w:rPr>
        <w:t>and v2.0(</w:t>
      </w:r>
      <w:r w:rsidRPr="004E5579">
        <w:t>May 30, 2023</w:t>
      </w:r>
      <w:r w:rsidRPr="004E5579">
        <w:rPr>
          <w:highlight w:val="white"/>
        </w:rPr>
        <w:t xml:space="preserve">. </w:t>
      </w:r>
      <w:r w:rsidRPr="004E5579">
        <w:t xml:space="preserve">Number of credits data per protocol and version for United States croplands current to September 3, 2024 from the following sources: </w:t>
      </w:r>
      <w:hyperlink r:id="rId4">
        <w:r w:rsidRPr="004E5579">
          <w:rPr>
            <w:color w:val="1155CC"/>
            <w:u w:val="single"/>
          </w:rPr>
          <w:t>https://carbonplan.org/research/offsets-db</w:t>
        </w:r>
      </w:hyperlink>
      <w:r w:rsidRPr="004E5579">
        <w:t xml:space="preserve">; </w:t>
      </w:r>
      <w:hyperlink r:id="rId5">
        <w:r w:rsidRPr="004E5579">
          <w:rPr>
            <w:color w:val="1155CC"/>
            <w:u w:val="single"/>
          </w:rPr>
          <w:t>https://registry.verra.org/</w:t>
        </w:r>
      </w:hyperlink>
      <w:r w:rsidRPr="004E5579">
        <w:t xml:space="preserve">; </w:t>
      </w:r>
      <w:hyperlink r:id="rId6">
        <w:r w:rsidRPr="004E5579">
          <w:rPr>
            <w:color w:val="1155CC"/>
            <w:u w:val="single"/>
          </w:rPr>
          <w:t>https://nori.com/registry</w:t>
        </w:r>
      </w:hyperlink>
      <w:r w:rsidRPr="004E5579">
        <w:t>. ‘Retired’ credits represent credits issued</w:t>
      </w:r>
      <w:r>
        <w:t xml:space="preserve"> and retired under the protocol, ‘issued’ credits are remaining credits issued and not retired, ‘pending’ are credits in the final stage of credit issuance but have not yet been issued.</w:t>
      </w:r>
    </w:p>
    <w:tbl>
      <w:tblPr>
        <w:tblW w:w="13311" w:type="dxa"/>
        <w:jc w:val="center"/>
        <w:tblLayout w:type="fixed"/>
        <w:tblLook w:val="0600" w:firstRow="0" w:lastRow="0" w:firstColumn="0" w:lastColumn="0" w:noHBand="1" w:noVBand="1"/>
      </w:tblPr>
      <w:tblGrid>
        <w:gridCol w:w="810"/>
        <w:gridCol w:w="801"/>
        <w:gridCol w:w="900"/>
        <w:gridCol w:w="1080"/>
        <w:gridCol w:w="810"/>
        <w:gridCol w:w="1170"/>
        <w:gridCol w:w="1440"/>
        <w:gridCol w:w="900"/>
        <w:gridCol w:w="1611"/>
        <w:gridCol w:w="9"/>
        <w:gridCol w:w="2610"/>
        <w:gridCol w:w="1170"/>
      </w:tblGrid>
      <w:tr w:rsidR="00082EA5" w:rsidRPr="004160B3" w14:paraId="4C196B1B" w14:textId="77777777" w:rsidTr="00E64E96">
        <w:trPr>
          <w:trHeight w:val="20"/>
          <w:jc w:val="center"/>
        </w:trPr>
        <w:tc>
          <w:tcPr>
            <w:tcW w:w="8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00A2337" w14:textId="77777777" w:rsidR="00082EA5" w:rsidRPr="004160B3" w:rsidRDefault="00082EA5" w:rsidP="00E64E96">
            <w:pPr>
              <w:snapToGrid w:val="0"/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4761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FF5E764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b/>
                <w:bCs/>
                <w:sz w:val="18"/>
                <w:szCs w:val="18"/>
              </w:rPr>
            </w:pPr>
            <w:r w:rsidRPr="004160B3">
              <w:rPr>
                <w:b/>
                <w:bCs/>
                <w:sz w:val="18"/>
                <w:szCs w:val="18"/>
              </w:rPr>
              <w:t>Protocol Details</w:t>
            </w:r>
          </w:p>
        </w:tc>
        <w:tc>
          <w:tcPr>
            <w:tcW w:w="234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BAF58B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b/>
                <w:bCs/>
                <w:sz w:val="18"/>
                <w:szCs w:val="18"/>
              </w:rPr>
            </w:pPr>
            <w:r w:rsidRPr="004160B3">
              <w:rPr>
                <w:b/>
                <w:bCs/>
                <w:sz w:val="18"/>
                <w:szCs w:val="18"/>
              </w:rPr>
              <w:t>Additionality Criteria</w:t>
            </w:r>
          </w:p>
        </w:tc>
        <w:tc>
          <w:tcPr>
            <w:tcW w:w="162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6AA60A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b/>
                <w:bCs/>
                <w:sz w:val="18"/>
                <w:szCs w:val="18"/>
              </w:rPr>
            </w:pPr>
            <w:r w:rsidRPr="004160B3">
              <w:rPr>
                <w:b/>
                <w:bCs/>
                <w:sz w:val="18"/>
                <w:szCs w:val="18"/>
              </w:rPr>
              <w:t>Raw Credits</w:t>
            </w:r>
          </w:p>
        </w:tc>
        <w:tc>
          <w:tcPr>
            <w:tcW w:w="378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70D7F3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b/>
                <w:bCs/>
                <w:sz w:val="18"/>
                <w:szCs w:val="18"/>
              </w:rPr>
            </w:pPr>
            <w:r w:rsidRPr="004160B3">
              <w:rPr>
                <w:b/>
                <w:bCs/>
                <w:sz w:val="18"/>
                <w:szCs w:val="18"/>
              </w:rPr>
              <w:t>Credit Deductions</w:t>
            </w:r>
          </w:p>
        </w:tc>
      </w:tr>
      <w:tr w:rsidR="00082EA5" w:rsidRPr="004160B3" w14:paraId="01D5C2B4" w14:textId="77777777" w:rsidTr="00E64E96">
        <w:trPr>
          <w:trHeight w:val="20"/>
          <w:jc w:val="center"/>
        </w:trPr>
        <w:tc>
          <w:tcPr>
            <w:tcW w:w="8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2EBEE2" w14:textId="77777777" w:rsidR="00082EA5" w:rsidRPr="004160B3" w:rsidRDefault="00082EA5" w:rsidP="00E64E96">
            <w:pPr>
              <w:snapToGrid w:val="0"/>
              <w:spacing w:line="240" w:lineRule="auto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Protocol</w:t>
            </w:r>
          </w:p>
        </w:tc>
        <w:tc>
          <w:tcPr>
            <w:tcW w:w="8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A5D8FEF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Issued Credits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267A7A2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Retired Credits</w:t>
            </w:r>
          </w:p>
        </w:tc>
        <w:tc>
          <w:tcPr>
            <w:tcW w:w="10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96A33A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Pending Credits</w:t>
            </w:r>
          </w:p>
        </w:tc>
        <w:tc>
          <w:tcPr>
            <w:tcW w:w="8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00DCCF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Crediting Period (years)</w:t>
            </w:r>
          </w:p>
        </w:tc>
        <w:tc>
          <w:tcPr>
            <w:tcW w:w="11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23E1E3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Permanence Period (years)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9DC8DC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Timing Test Adoption Date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2F8273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Common Practice Test</w:t>
            </w:r>
          </w:p>
        </w:tc>
        <w:tc>
          <w:tcPr>
            <w:tcW w:w="161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AC7082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Calculation Method</w:t>
            </w:r>
          </w:p>
        </w:tc>
        <w:tc>
          <w:tcPr>
            <w:tcW w:w="2619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65194B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Uncertainty Deduction</w:t>
            </w:r>
          </w:p>
        </w:tc>
        <w:tc>
          <w:tcPr>
            <w:tcW w:w="11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884BEE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Buffer Contribution (%)</w:t>
            </w:r>
          </w:p>
        </w:tc>
      </w:tr>
      <w:tr w:rsidR="00082EA5" w:rsidRPr="004160B3" w14:paraId="6BF9D3B4" w14:textId="77777777" w:rsidTr="00E64E96">
        <w:trPr>
          <w:trHeight w:val="45"/>
          <w:jc w:val="center"/>
        </w:trPr>
        <w:tc>
          <w:tcPr>
            <w:tcW w:w="8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9B33AF" w14:textId="77777777" w:rsidR="00082EA5" w:rsidRPr="004160B3" w:rsidRDefault="00082EA5" w:rsidP="00E64E96">
            <w:pPr>
              <w:snapToGrid w:val="0"/>
              <w:spacing w:line="240" w:lineRule="auto"/>
              <w:rPr>
                <w:b/>
                <w:bCs/>
                <w:sz w:val="18"/>
                <w:szCs w:val="18"/>
              </w:rPr>
            </w:pPr>
            <w:r w:rsidRPr="004160B3">
              <w:rPr>
                <w:b/>
                <w:bCs/>
                <w:sz w:val="18"/>
                <w:szCs w:val="18"/>
              </w:rPr>
              <w:t>Nori v1.3</w:t>
            </w:r>
          </w:p>
        </w:tc>
        <w:tc>
          <w:tcPr>
            <w:tcW w:w="8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D1A6E35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b/>
                <w:bCs/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7,325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A02C97A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b/>
                <w:bCs/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30,137</w:t>
            </w:r>
          </w:p>
        </w:tc>
        <w:tc>
          <w:tcPr>
            <w:tcW w:w="10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F83F70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b/>
                <w:bCs/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0</w:t>
            </w:r>
          </w:p>
        </w:tc>
        <w:tc>
          <w:tcPr>
            <w:tcW w:w="810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A677AA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10</w:t>
            </w:r>
          </w:p>
        </w:tc>
        <w:tc>
          <w:tcPr>
            <w:tcW w:w="1170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4995A5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10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FE8919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b/>
                <w:bCs/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1 January 2011</w:t>
            </w:r>
          </w:p>
        </w:tc>
        <w:tc>
          <w:tcPr>
            <w:tcW w:w="900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DE59B9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None</w:t>
            </w:r>
          </w:p>
        </w:tc>
        <w:tc>
          <w:tcPr>
            <w:tcW w:w="161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24FFA7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b/>
                <w:bCs/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Modeled (SOC)</w:t>
            </w:r>
          </w:p>
        </w:tc>
        <w:tc>
          <w:tcPr>
            <w:tcW w:w="2619" w:type="dxa"/>
            <w:gridSpan w:val="2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705D4C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b/>
                <w:bCs/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Credits are the lesser of the annual estimate or the 10-year average</w:t>
            </w:r>
          </w:p>
        </w:tc>
        <w:tc>
          <w:tcPr>
            <w:tcW w:w="1170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B7E5DB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None</w:t>
            </w:r>
          </w:p>
        </w:tc>
      </w:tr>
      <w:tr w:rsidR="00082EA5" w:rsidRPr="004160B3" w14:paraId="7B923453" w14:textId="77777777" w:rsidTr="00E64E96">
        <w:trPr>
          <w:trHeight w:val="81"/>
          <w:jc w:val="center"/>
        </w:trPr>
        <w:tc>
          <w:tcPr>
            <w:tcW w:w="8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3B95BA" w14:textId="77777777" w:rsidR="00082EA5" w:rsidRPr="004160B3" w:rsidRDefault="00082EA5" w:rsidP="00E64E96">
            <w:pPr>
              <w:snapToGrid w:val="0"/>
              <w:spacing w:line="240" w:lineRule="auto"/>
              <w:rPr>
                <w:b/>
                <w:bCs/>
                <w:sz w:val="18"/>
                <w:szCs w:val="18"/>
              </w:rPr>
            </w:pPr>
            <w:r w:rsidRPr="004160B3">
              <w:rPr>
                <w:b/>
                <w:bCs/>
                <w:sz w:val="18"/>
                <w:szCs w:val="18"/>
              </w:rPr>
              <w:t>Nori v1.6</w:t>
            </w:r>
          </w:p>
        </w:tc>
        <w:tc>
          <w:tcPr>
            <w:tcW w:w="8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AEBEBCC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b/>
                <w:bCs/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7C1A1D1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b/>
                <w:bCs/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6984F2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b/>
                <w:bCs/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0</w:t>
            </w:r>
          </w:p>
        </w:tc>
        <w:tc>
          <w:tcPr>
            <w:tcW w:w="81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1E36B1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7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250B07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24E681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b/>
                <w:bCs/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1 January 2014</w:t>
            </w:r>
          </w:p>
        </w:tc>
        <w:tc>
          <w:tcPr>
            <w:tcW w:w="90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ABD056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1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64352F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19" w:type="dxa"/>
            <w:gridSpan w:val="2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58F98F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7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6AA03E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082EA5" w:rsidRPr="004160B3" w14:paraId="7E39B922" w14:textId="77777777" w:rsidTr="00E64E96">
        <w:trPr>
          <w:trHeight w:val="20"/>
          <w:jc w:val="center"/>
        </w:trPr>
        <w:tc>
          <w:tcPr>
            <w:tcW w:w="8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EE5122" w14:textId="77777777" w:rsidR="00082EA5" w:rsidRPr="004160B3" w:rsidRDefault="00082EA5" w:rsidP="00E64E96">
            <w:pPr>
              <w:spacing w:line="240" w:lineRule="auto"/>
              <w:contextualSpacing/>
              <w:rPr>
                <w:b/>
                <w:bCs/>
                <w:sz w:val="18"/>
                <w:szCs w:val="18"/>
              </w:rPr>
            </w:pPr>
            <w:r w:rsidRPr="004160B3">
              <w:rPr>
                <w:b/>
                <w:bCs/>
                <w:sz w:val="18"/>
                <w:szCs w:val="18"/>
              </w:rPr>
              <w:t>The Reservev 1.0</w:t>
            </w:r>
          </w:p>
        </w:tc>
        <w:tc>
          <w:tcPr>
            <w:tcW w:w="8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BAB5E4A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37,615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84D2E05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EB80CF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unknown</w:t>
            </w:r>
          </w:p>
        </w:tc>
        <w:tc>
          <w:tcPr>
            <w:tcW w:w="810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B95CF1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10-30</w:t>
            </w:r>
          </w:p>
        </w:tc>
        <w:tc>
          <w:tcPr>
            <w:tcW w:w="1170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2F57ED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100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4CF8C9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 xml:space="preserve">30 September 2018 </w:t>
            </w:r>
          </w:p>
        </w:tc>
        <w:tc>
          <w:tcPr>
            <w:tcW w:w="900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F1211E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&lt;50% at county level</w:t>
            </w:r>
          </w:p>
        </w:tc>
        <w:tc>
          <w:tcPr>
            <w:tcW w:w="1611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905D87" w14:textId="77777777" w:rsidR="00082EA5" w:rsidRPr="004160B3" w:rsidRDefault="00082EA5" w:rsidP="00E64E96">
            <w:pPr>
              <w:spacing w:line="240" w:lineRule="auto"/>
              <w:contextualSpacing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Modeled and Measured (SOC)</w:t>
            </w:r>
          </w:p>
          <w:p w14:paraId="6E60F7E1" w14:textId="77777777" w:rsidR="00082EA5" w:rsidRPr="004160B3" w:rsidRDefault="00082EA5" w:rsidP="00E64E96">
            <w:pPr>
              <w:spacing w:line="240" w:lineRule="auto"/>
              <w:contextualSpacing/>
              <w:rPr>
                <w:sz w:val="18"/>
                <w:szCs w:val="18"/>
              </w:rPr>
            </w:pPr>
          </w:p>
          <w:p w14:paraId="19126BE6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Modeled or Calculated (N</w:t>
            </w:r>
            <w:r w:rsidRPr="004160B3">
              <w:rPr>
                <w:sz w:val="18"/>
                <w:szCs w:val="18"/>
                <w:vertAlign w:val="subscript"/>
              </w:rPr>
              <w:t>2</w:t>
            </w:r>
            <w:r w:rsidRPr="004160B3">
              <w:rPr>
                <w:sz w:val="18"/>
                <w:szCs w:val="18"/>
              </w:rPr>
              <w:t>O)</w:t>
            </w:r>
          </w:p>
        </w:tc>
        <w:tc>
          <w:tcPr>
            <w:tcW w:w="2619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C22574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Credits are reduced by the amount that the 95% confidence interval’s half-width exceeds 15% of the average emission reduction."</w:t>
            </w:r>
          </w:p>
        </w:tc>
        <w:tc>
          <w:tcPr>
            <w:tcW w:w="1170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23B73F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5-16.75</w:t>
            </w:r>
          </w:p>
        </w:tc>
      </w:tr>
      <w:tr w:rsidR="00082EA5" w:rsidRPr="004160B3" w14:paraId="1AD00945" w14:textId="77777777" w:rsidTr="00E64E96">
        <w:trPr>
          <w:trHeight w:val="20"/>
          <w:jc w:val="center"/>
        </w:trPr>
        <w:tc>
          <w:tcPr>
            <w:tcW w:w="8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8057F9" w14:textId="77777777" w:rsidR="00082EA5" w:rsidRPr="004160B3" w:rsidRDefault="00082EA5" w:rsidP="00E64E96">
            <w:pPr>
              <w:spacing w:line="240" w:lineRule="auto"/>
              <w:contextualSpacing/>
              <w:rPr>
                <w:b/>
                <w:bCs/>
                <w:sz w:val="18"/>
                <w:szCs w:val="18"/>
              </w:rPr>
            </w:pPr>
            <w:r w:rsidRPr="004160B3">
              <w:rPr>
                <w:b/>
                <w:bCs/>
                <w:sz w:val="18"/>
                <w:szCs w:val="18"/>
              </w:rPr>
              <w:t>The Reservev1.1</w:t>
            </w:r>
          </w:p>
        </w:tc>
        <w:tc>
          <w:tcPr>
            <w:tcW w:w="8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1BBA06E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72,000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60685E8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225,000</w:t>
            </w:r>
          </w:p>
        </w:tc>
        <w:tc>
          <w:tcPr>
            <w:tcW w:w="10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34C0F56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unknown</w:t>
            </w:r>
          </w:p>
        </w:tc>
        <w:tc>
          <w:tcPr>
            <w:tcW w:w="81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7F55266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966EC25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C7E2027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&lt; 12 months prior to project submission</w:t>
            </w:r>
          </w:p>
        </w:tc>
        <w:tc>
          <w:tcPr>
            <w:tcW w:w="900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DA47AC5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611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A06A21E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619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B864ED7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Credits are issued based on the 30th percentile of the estimated average emission reduction, assuming a normal distribution.</w:t>
            </w:r>
          </w:p>
        </w:tc>
        <w:tc>
          <w:tcPr>
            <w:tcW w:w="117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8B3DD7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</w:p>
        </w:tc>
      </w:tr>
      <w:tr w:rsidR="00082EA5" w:rsidRPr="004160B3" w14:paraId="7764ED6A" w14:textId="77777777" w:rsidTr="00E64E96">
        <w:trPr>
          <w:trHeight w:val="20"/>
          <w:jc w:val="center"/>
        </w:trPr>
        <w:tc>
          <w:tcPr>
            <w:tcW w:w="8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005D54" w14:textId="77777777" w:rsidR="00082EA5" w:rsidRPr="004160B3" w:rsidRDefault="00082EA5" w:rsidP="00E64E96">
            <w:pPr>
              <w:snapToGrid w:val="0"/>
              <w:spacing w:line="240" w:lineRule="auto"/>
              <w:rPr>
                <w:b/>
                <w:bCs/>
                <w:sz w:val="18"/>
                <w:szCs w:val="18"/>
              </w:rPr>
            </w:pPr>
            <w:r w:rsidRPr="004160B3">
              <w:rPr>
                <w:b/>
                <w:bCs/>
                <w:sz w:val="18"/>
                <w:szCs w:val="18"/>
              </w:rPr>
              <w:t>Verra v1.0</w:t>
            </w:r>
          </w:p>
        </w:tc>
        <w:tc>
          <w:tcPr>
            <w:tcW w:w="8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B09415F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D1DBBE4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8BE06A0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1,316,790</w:t>
            </w:r>
          </w:p>
        </w:tc>
        <w:tc>
          <w:tcPr>
            <w:tcW w:w="810" w:type="dxa"/>
            <w:vMerge w:val="restart"/>
            <w:tcBorders>
              <w:left w:val="single" w:sz="7" w:space="0" w:color="000000"/>
              <w:right w:val="single" w:sz="7" w:space="0" w:color="000000"/>
            </w:tcBorders>
            <w:vAlign w:val="center"/>
          </w:tcPr>
          <w:p w14:paraId="1D10F813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20-100</w:t>
            </w:r>
          </w:p>
        </w:tc>
        <w:tc>
          <w:tcPr>
            <w:tcW w:w="1170" w:type="dxa"/>
            <w:vMerge w:val="restart"/>
            <w:tcBorders>
              <w:left w:val="single" w:sz="7" w:space="0" w:color="000000"/>
              <w:right w:val="single" w:sz="7" w:space="0" w:color="000000"/>
            </w:tcBorders>
            <w:vAlign w:val="center"/>
          </w:tcPr>
          <w:p w14:paraId="2F09C37A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30 (minimum)</w:t>
            </w:r>
          </w:p>
        </w:tc>
        <w:tc>
          <w:tcPr>
            <w:tcW w:w="1440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vAlign w:val="center"/>
          </w:tcPr>
          <w:p w14:paraId="249CD93E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At project start date</w:t>
            </w:r>
          </w:p>
        </w:tc>
        <w:tc>
          <w:tcPr>
            <w:tcW w:w="900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vAlign w:val="center"/>
          </w:tcPr>
          <w:p w14:paraId="3046E2A9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&lt;20% at state level</w:t>
            </w:r>
          </w:p>
        </w:tc>
        <w:tc>
          <w:tcPr>
            <w:tcW w:w="161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vAlign w:val="center"/>
          </w:tcPr>
          <w:p w14:paraId="2A723DA5" w14:textId="77777777" w:rsidR="00082EA5" w:rsidRPr="004160B3" w:rsidRDefault="00082EA5" w:rsidP="00E64E96">
            <w:pPr>
              <w:spacing w:line="240" w:lineRule="auto"/>
              <w:contextualSpacing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Modeled and Measured OR Measured &amp; Remeasured (SOC)</w:t>
            </w:r>
          </w:p>
          <w:p w14:paraId="7BB3AB05" w14:textId="77777777" w:rsidR="00082EA5" w:rsidRPr="004160B3" w:rsidRDefault="00082EA5" w:rsidP="00E64E96">
            <w:pPr>
              <w:spacing w:line="240" w:lineRule="auto"/>
              <w:contextualSpacing/>
              <w:jc w:val="center"/>
              <w:rPr>
                <w:sz w:val="18"/>
                <w:szCs w:val="18"/>
              </w:rPr>
            </w:pPr>
          </w:p>
          <w:p w14:paraId="36B4D4FB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Modeled and Measured OR Calculated (N</w:t>
            </w:r>
            <w:r w:rsidRPr="004160B3">
              <w:rPr>
                <w:sz w:val="18"/>
                <w:szCs w:val="18"/>
                <w:vertAlign w:val="subscript"/>
              </w:rPr>
              <w:t>2</w:t>
            </w:r>
            <w:r w:rsidRPr="004160B3">
              <w:rPr>
                <w:sz w:val="18"/>
                <w:szCs w:val="18"/>
              </w:rPr>
              <w:t>O)</w:t>
            </w:r>
          </w:p>
        </w:tc>
        <w:tc>
          <w:tcPr>
            <w:tcW w:w="2619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25B65E4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Credits are reduced by the amount that the 95% confidence interval’s half-width exceeds 15% of the average emission reduction."</w:t>
            </w:r>
          </w:p>
        </w:tc>
        <w:tc>
          <w:tcPr>
            <w:tcW w:w="1170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60CB53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10-60</w:t>
            </w:r>
          </w:p>
        </w:tc>
      </w:tr>
      <w:tr w:rsidR="00082EA5" w:rsidRPr="004160B3" w14:paraId="608B5EF1" w14:textId="77777777" w:rsidTr="00E64E96">
        <w:trPr>
          <w:trHeight w:val="20"/>
          <w:jc w:val="center"/>
        </w:trPr>
        <w:tc>
          <w:tcPr>
            <w:tcW w:w="8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F4F989" w14:textId="77777777" w:rsidR="00082EA5" w:rsidRPr="004160B3" w:rsidRDefault="00082EA5" w:rsidP="00E64E96">
            <w:pPr>
              <w:snapToGrid w:val="0"/>
              <w:spacing w:line="240" w:lineRule="auto"/>
              <w:rPr>
                <w:b/>
                <w:bCs/>
                <w:sz w:val="18"/>
                <w:szCs w:val="18"/>
              </w:rPr>
            </w:pPr>
            <w:r w:rsidRPr="004160B3">
              <w:rPr>
                <w:b/>
                <w:bCs/>
                <w:sz w:val="18"/>
                <w:szCs w:val="18"/>
              </w:rPr>
              <w:t>Verra v2.0</w:t>
            </w:r>
          </w:p>
        </w:tc>
        <w:tc>
          <w:tcPr>
            <w:tcW w:w="8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215EAB0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DD94DC3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488F3EE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3,881,325</w:t>
            </w:r>
          </w:p>
        </w:tc>
        <w:tc>
          <w:tcPr>
            <w:tcW w:w="81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502ACE2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2AF0F27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0E515B9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F7F29C7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61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C72B3C0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619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7669B46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  <w:r w:rsidRPr="004160B3">
              <w:rPr>
                <w:sz w:val="18"/>
                <w:szCs w:val="18"/>
              </w:rPr>
              <w:t>Credits are issued based on the 33.3rd percentile of the estimated average emission reduction, assuming a normal distribution.</w:t>
            </w:r>
          </w:p>
        </w:tc>
        <w:tc>
          <w:tcPr>
            <w:tcW w:w="117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5FB40E" w14:textId="77777777" w:rsidR="00082EA5" w:rsidRPr="004160B3" w:rsidRDefault="00082EA5" w:rsidP="00E64E96">
            <w:pPr>
              <w:snapToGrid w:val="0"/>
              <w:spacing w:line="240" w:lineRule="auto"/>
              <w:jc w:val="center"/>
              <w:rPr>
                <w:sz w:val="18"/>
                <w:szCs w:val="18"/>
              </w:rPr>
            </w:pPr>
          </w:p>
        </w:tc>
      </w:tr>
    </w:tbl>
    <w:p w14:paraId="5DC625EE" w14:textId="77777777" w:rsidR="00082EA5" w:rsidRDefault="00082EA5" w:rsidP="00082EA5">
      <w:pPr>
        <w:sectPr w:rsidR="00082EA5" w:rsidSect="00082EA5">
          <w:pgSz w:w="15840" w:h="12226" w:orient="landscape"/>
          <w:pgMar w:top="1440" w:right="1440" w:bottom="1440" w:left="1440" w:header="720" w:footer="720" w:gutter="0"/>
          <w:lnNumType w:countBy="1" w:restart="continuous"/>
          <w:cols w:space="720"/>
        </w:sectPr>
      </w:pPr>
    </w:p>
    <w:p w14:paraId="2A6D8CB2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2EA5"/>
    <w:rsid w:val="00082EA5"/>
    <w:rsid w:val="009C14D5"/>
    <w:rsid w:val="00A3738C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7DC79A"/>
  <w15:chartTrackingRefBased/>
  <w15:docId w15:val="{CD4D82A5-E06C-4443-A2E9-2AB6F3177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EA5"/>
    <w:pPr>
      <w:spacing w:after="0" w:line="360" w:lineRule="auto"/>
    </w:pPr>
    <w:rPr>
      <w:rFonts w:ascii="Arial" w:eastAsia="Calibri" w:hAnsi="Arial" w:cs="Arial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82EA5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82EA5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2EA5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2EA5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2EA5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2EA5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2EA5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2EA5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2EA5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2E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2E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2E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2E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2E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2E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2E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2E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2E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2E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82E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2EA5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82E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2EA5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82E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2EA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82E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2E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2E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2EA5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082E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nori.com/registry" TargetMode="External"/><Relationship Id="rId5" Type="http://schemas.openxmlformats.org/officeDocument/2006/relationships/hyperlink" Target="https://registry.verra.org/" TargetMode="External"/><Relationship Id="rId4" Type="http://schemas.openxmlformats.org/officeDocument/2006/relationships/hyperlink" Target="https://carbonplan.org/research/offsets-db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389</Words>
  <Characters>2218</Characters>
  <Application>Microsoft Office Word</Application>
  <DocSecurity>0</DocSecurity>
  <Lines>18</Lines>
  <Paragraphs>5</Paragraphs>
  <ScaleCrop>false</ScaleCrop>
  <Company>Springer Nature</Company>
  <LinksUpToDate>false</LinksUpToDate>
  <CharactersWithSpaces>2602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2025-03-18T05:40:00Z</dcterms:created>
  <dcterms:modified xsi:type="dcterms:W3CDTF">2025-03-18T05:40:00Z</dcterms:modified>
</cp:coreProperties>
</file>