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B5211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upplementary 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hAnsi="Times New Roman" w:cs="Times New Roman"/>
          <w:b/>
          <w:bCs/>
          <w:sz w:val="20"/>
          <w:szCs w:val="20"/>
        </w:rPr>
        <w:t>ata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1991"/>
        <w:gridCol w:w="1985"/>
        <w:gridCol w:w="2460"/>
      </w:tblGrid>
      <w:tr w14:paraId="77E17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AA1DE6">
            <w:pPr>
              <w:spacing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. Sensitivity analysis of Primary Outcomes at 0, 1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, 2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, 3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rd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>, and 6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 xml:space="preserve"> Month</w:t>
            </w:r>
          </w:p>
        </w:tc>
      </w:tr>
      <w:tr w14:paraId="438B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080110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Time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CAB1A2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Sensitivity analysis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1774FC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Concentration (Con)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00DAE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Progressive motility (PR)</w:t>
            </w:r>
          </w:p>
        </w:tc>
      </w:tr>
      <w:tr w14:paraId="5B728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7A69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0 month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6C725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Bootstrapped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DA0EE3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91(66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98-93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43)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2EBDA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58(47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35-55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79)</w:t>
            </w:r>
          </w:p>
        </w:tc>
      </w:tr>
      <w:tr w14:paraId="4E950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70478B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CDC3A6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Multiple Imputation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3C0478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78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91(65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24-92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58)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53BAA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58(47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06-56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10)</w:t>
            </w:r>
          </w:p>
        </w:tc>
      </w:tr>
      <w:tr w14:paraId="07C4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restart"/>
            <w:tcBorders>
              <w:left w:val="nil"/>
              <w:right w:val="nil"/>
            </w:tcBorders>
            <w:vAlign w:val="center"/>
          </w:tcPr>
          <w:p w14:paraId="520D698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6DD4D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Bootstrapped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335DD65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22(32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25-46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75)</w:t>
            </w:r>
          </w:p>
        </w:tc>
        <w:tc>
          <w:tcPr>
            <w:tcW w:w="2460" w:type="dxa"/>
            <w:tcBorders>
              <w:left w:val="nil"/>
              <w:bottom w:val="nil"/>
              <w:right w:val="nil"/>
            </w:tcBorders>
            <w:vAlign w:val="center"/>
          </w:tcPr>
          <w:p w14:paraId="45BA93C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41(32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30-40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73)</w:t>
            </w:r>
          </w:p>
        </w:tc>
      </w:tr>
      <w:tr w14:paraId="3516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8B41DF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0128E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Multiple Imputation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3962FAA0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39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22(31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85-46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59)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4C520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41(32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19-40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63)</w:t>
            </w:r>
          </w:p>
        </w:tc>
      </w:tr>
      <w:tr w14:paraId="66D0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restart"/>
            <w:tcBorders>
              <w:left w:val="nil"/>
              <w:right w:val="nil"/>
            </w:tcBorders>
            <w:vAlign w:val="center"/>
          </w:tcPr>
          <w:p w14:paraId="13CD1D6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superscript"/>
              </w:rPr>
              <w:t>nd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991" w:type="dxa"/>
            <w:tcBorders>
              <w:left w:val="nil"/>
              <w:bottom w:val="nil"/>
              <w:right w:val="nil"/>
            </w:tcBorders>
            <w:vAlign w:val="center"/>
          </w:tcPr>
          <w:p w14:paraId="2DAE159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Bootstrapped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533488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05(41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22-62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85)</w:t>
            </w:r>
          </w:p>
        </w:tc>
        <w:tc>
          <w:tcPr>
            <w:tcW w:w="2460" w:type="dxa"/>
            <w:tcBorders>
              <w:left w:val="nil"/>
              <w:bottom w:val="nil"/>
              <w:right w:val="nil"/>
            </w:tcBorders>
            <w:vAlign w:val="center"/>
          </w:tcPr>
          <w:p w14:paraId="1967DCFB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78(39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10-48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55)</w:t>
            </w:r>
          </w:p>
        </w:tc>
      </w:tr>
      <w:tr w14:paraId="15196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E0CADF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4ABA3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Multiple Imputation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B6708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05(40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27-61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82)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DF592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43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78(38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94-48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62)</w:t>
            </w:r>
          </w:p>
        </w:tc>
      </w:tr>
      <w:tr w14:paraId="6454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restart"/>
            <w:tcBorders>
              <w:left w:val="nil"/>
              <w:right w:val="nil"/>
            </w:tcBorders>
            <w:vAlign w:val="center"/>
          </w:tcPr>
          <w:p w14:paraId="2D5194C7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superscript"/>
              </w:rPr>
              <w:t>rd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991" w:type="dxa"/>
            <w:tcBorders>
              <w:left w:val="nil"/>
              <w:bottom w:val="nil"/>
              <w:right w:val="nil"/>
            </w:tcBorders>
            <w:vAlign w:val="center"/>
          </w:tcPr>
          <w:p w14:paraId="671B11B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Bootstrapped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7B32204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34(52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39-75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91)</w:t>
            </w:r>
          </w:p>
        </w:tc>
        <w:tc>
          <w:tcPr>
            <w:tcW w:w="2460" w:type="dxa"/>
            <w:tcBorders>
              <w:left w:val="nil"/>
              <w:bottom w:val="nil"/>
              <w:right w:val="nil"/>
            </w:tcBorders>
            <w:vAlign w:val="center"/>
          </w:tcPr>
          <w:p w14:paraId="63B9CF6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62(40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97-50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59)</w:t>
            </w:r>
          </w:p>
        </w:tc>
      </w:tr>
      <w:tr w14:paraId="0871A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8638C1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D4F0C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Multiple Imputation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D732BF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63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34(50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77-75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91)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7F792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62(40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69-50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55)</w:t>
            </w:r>
          </w:p>
        </w:tc>
      </w:tr>
      <w:tr w14:paraId="4338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restart"/>
            <w:tcBorders>
              <w:left w:val="nil"/>
              <w:right w:val="nil"/>
            </w:tcBorders>
            <w:vAlign w:val="center"/>
          </w:tcPr>
          <w:p w14:paraId="569610CC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hint="eastAsia" w:ascii="Times New Roman" w:hAnsi="Times New Roman" w:cs="Times New Roman"/>
                <w:sz w:val="16"/>
                <w:szCs w:val="16"/>
                <w:vertAlign w:val="superscript"/>
              </w:rPr>
              <w:t>th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month</w:t>
            </w:r>
          </w:p>
        </w:tc>
        <w:tc>
          <w:tcPr>
            <w:tcW w:w="1991" w:type="dxa"/>
            <w:tcBorders>
              <w:left w:val="nil"/>
              <w:bottom w:val="nil"/>
              <w:right w:val="nil"/>
            </w:tcBorders>
            <w:vAlign w:val="center"/>
          </w:tcPr>
          <w:p w14:paraId="7AF4667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Bootstrapped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5F212EF4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48(48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98-68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13)</w:t>
            </w:r>
          </w:p>
        </w:tc>
        <w:tc>
          <w:tcPr>
            <w:tcW w:w="2460" w:type="dxa"/>
            <w:tcBorders>
              <w:left w:val="nil"/>
              <w:bottom w:val="nil"/>
              <w:right w:val="nil"/>
            </w:tcBorders>
            <w:vAlign w:val="center"/>
          </w:tcPr>
          <w:p w14:paraId="63B3EFC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67(41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43-49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77)</w:t>
            </w:r>
          </w:p>
        </w:tc>
      </w:tr>
      <w:tr w14:paraId="2621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086" w:type="dxa"/>
            <w:vMerge w:val="continue"/>
            <w:tcBorders>
              <w:left w:val="nil"/>
              <w:right w:val="nil"/>
            </w:tcBorders>
            <w:vAlign w:val="center"/>
          </w:tcPr>
          <w:p w14:paraId="2E1055F6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dxa"/>
            <w:tcBorders>
              <w:top w:val="nil"/>
              <w:left w:val="nil"/>
              <w:right w:val="nil"/>
            </w:tcBorders>
            <w:vAlign w:val="center"/>
          </w:tcPr>
          <w:p w14:paraId="6ADEAB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Multiple Imputation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3FB1032E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58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48(48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53-68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43)</w:t>
            </w:r>
          </w:p>
        </w:tc>
        <w:tc>
          <w:tcPr>
            <w:tcW w:w="2460" w:type="dxa"/>
            <w:tcBorders>
              <w:top w:val="nil"/>
              <w:left w:val="nil"/>
              <w:right w:val="nil"/>
            </w:tcBorders>
            <w:vAlign w:val="center"/>
          </w:tcPr>
          <w:p w14:paraId="038B801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</w:rPr>
              <w:t>45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67(41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29-50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eastAsia="zh-CN"/>
              </w:rPr>
              <w:t>·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>05)</w:t>
            </w:r>
          </w:p>
        </w:tc>
      </w:tr>
    </w:tbl>
    <w:p w14:paraId="3E6D5276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842"/>
        <w:gridCol w:w="1560"/>
        <w:gridCol w:w="1751"/>
      </w:tblGrid>
      <w:tr w14:paraId="63100BEB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522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 w14:paraId="74184B5C">
            <w:pPr>
              <w:rPr>
                <w:rFonts w:ascii="Times New Roman" w:hAnsi="Times New Roman" w:cs="Times New Roman"/>
              </w:rPr>
            </w:pPr>
            <w:bookmarkStart w:id="1" w:name="_GoBack"/>
            <w:bookmarkStart w:id="0" w:name="_Hlk164793773"/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 xml:space="preserve">Table 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 reliability and validity analysis of questionnaire</w:t>
            </w:r>
          </w:p>
        </w:tc>
      </w:tr>
      <w:tr w14:paraId="2B0D7C09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3369" w:type="dxa"/>
            <w:tcBorders>
              <w:top w:val="single" w:color="auto" w:sz="6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A62E2E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6"/>
                <w:highlight w:val="none"/>
              </w:rPr>
              <w:t>Variable</w:t>
            </w:r>
          </w:p>
        </w:tc>
        <w:tc>
          <w:tcPr>
            <w:tcW w:w="1842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46858E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Cronbach’s Alpha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7E99AF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KMO value</w:t>
            </w:r>
          </w:p>
        </w:tc>
        <w:tc>
          <w:tcPr>
            <w:tcW w:w="1751" w:type="dxa"/>
            <w:tcBorders>
              <w:top w:val="sing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EDACD93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Bartlett value</w:t>
            </w:r>
          </w:p>
        </w:tc>
      </w:tr>
      <w:tr w14:paraId="348B95F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3369" w:type="dxa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 w14:paraId="3F5C3405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 xml:space="preserve">Life Quality 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479FC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sz w:val="16"/>
                <w:szCs w:val="18"/>
                <w:highlight w:val="none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908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88E0B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--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 w14:paraId="103DF924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--</w:t>
            </w:r>
          </w:p>
        </w:tc>
      </w:tr>
      <w:tr w14:paraId="3C514C6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0443C5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Self-rating Depression Scale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 xml:space="preserve"> </w:t>
            </w:r>
          </w:p>
          <w:p w14:paraId="40A8DB1F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>(SDS)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0616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840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53AF4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682</w:t>
            </w:r>
          </w:p>
        </w:tc>
        <w:tc>
          <w:tcPr>
            <w:tcW w:w="1751" w:type="dxa"/>
            <w:tcBorders>
              <w:left w:val="nil"/>
            </w:tcBorders>
            <w:shd w:val="clear" w:color="auto" w:fill="auto"/>
            <w:vAlign w:val="center"/>
          </w:tcPr>
          <w:p w14:paraId="6FC38EFC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sym w:font="Symbol" w:char="F03C"/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001</w:t>
            </w:r>
          </w:p>
        </w:tc>
      </w:tr>
      <w:tr w14:paraId="7D69736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ED4385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 xml:space="preserve">Self-Rating Anxiety Scale </w:t>
            </w:r>
          </w:p>
          <w:p w14:paraId="4A4403F5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(SAS)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8A226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731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164F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569</w:t>
            </w:r>
          </w:p>
        </w:tc>
        <w:tc>
          <w:tcPr>
            <w:tcW w:w="1751" w:type="dxa"/>
            <w:tcBorders>
              <w:left w:val="nil"/>
            </w:tcBorders>
            <w:shd w:val="clear" w:color="auto" w:fill="auto"/>
            <w:vAlign w:val="center"/>
          </w:tcPr>
          <w:p w14:paraId="629B5DC7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sym w:font="Symbol" w:char="F03C"/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001</w:t>
            </w:r>
          </w:p>
        </w:tc>
      </w:tr>
      <w:tr w14:paraId="2B3AAAD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7D4DFF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International index of Erectile function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IIEF-5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261B2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833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C07A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794</w:t>
            </w:r>
          </w:p>
        </w:tc>
        <w:tc>
          <w:tcPr>
            <w:tcW w:w="1751" w:type="dxa"/>
            <w:tcBorders>
              <w:left w:val="nil"/>
            </w:tcBorders>
            <w:shd w:val="clear" w:color="auto" w:fill="auto"/>
            <w:vAlign w:val="center"/>
          </w:tcPr>
          <w:p w14:paraId="2CA0ADDC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sym w:font="Symbol" w:char="F03C"/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001</w:t>
            </w:r>
          </w:p>
        </w:tc>
      </w:tr>
      <w:tr w14:paraId="5403827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336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B8AC63">
            <w:pPr>
              <w:spacing w:line="240" w:lineRule="auto"/>
              <w:jc w:val="left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>I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 xml:space="preserve">nternational Prostate Symptom Score 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I-PSS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</w:rPr>
              <w:t>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00DF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823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0399C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789</w:t>
            </w:r>
          </w:p>
        </w:tc>
        <w:tc>
          <w:tcPr>
            <w:tcW w:w="1751" w:type="dxa"/>
            <w:tcBorders>
              <w:left w:val="nil"/>
            </w:tcBorders>
            <w:shd w:val="clear" w:color="auto" w:fill="auto"/>
            <w:vAlign w:val="center"/>
          </w:tcPr>
          <w:p w14:paraId="0E6F0445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sym w:font="Symbol" w:char="F03C"/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001</w:t>
            </w:r>
          </w:p>
        </w:tc>
      </w:tr>
      <w:tr w14:paraId="39695BD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3369" w:type="dxa"/>
            <w:tcBorders>
              <w:top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25AFE572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 xml:space="preserve">premature ejaculation diagnostic </w:t>
            </w:r>
          </w:p>
          <w:p w14:paraId="68020953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tool (PEDT)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vAlign w:val="center"/>
          </w:tcPr>
          <w:p w14:paraId="312C96DC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905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6A44A5E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828</w:t>
            </w:r>
          </w:p>
        </w:tc>
        <w:tc>
          <w:tcPr>
            <w:tcW w:w="1751" w:type="dxa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7C5C6D3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sym w:font="Symbol" w:char="F03C"/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sz w:val="16"/>
                <w:szCs w:val="18"/>
                <w:highlight w:val="none"/>
                <w:lang w:eastAsia="zh-CN"/>
              </w:rPr>
              <w:t>·</w:t>
            </w:r>
            <w:r>
              <w:rPr>
                <w:rFonts w:ascii="Times New Roman" w:hAnsi="Times New Roman" w:cs="Times New Roman"/>
                <w:color w:val="auto"/>
                <w:sz w:val="16"/>
                <w:szCs w:val="18"/>
                <w:highlight w:val="none"/>
              </w:rPr>
              <w:t>001</w:t>
            </w:r>
          </w:p>
        </w:tc>
      </w:tr>
      <w:bookmarkEnd w:id="1"/>
      <w:bookmarkEnd w:id="0"/>
    </w:tbl>
    <w:p w14:paraId="19263752">
      <w:pPr>
        <w:rPr>
          <w:rFonts w:ascii="Times New Roman" w:hAnsi="Times New Roman" w:cs="Times New Roman"/>
          <w:szCs w:val="21"/>
        </w:rPr>
      </w:pPr>
    </w:p>
    <w:p w14:paraId="74560248">
      <w:pPr>
        <w:rPr>
          <w:rFonts w:ascii="Times New Roman" w:hAnsi="Times New Roman" w:cs="Times New Roman"/>
          <w:szCs w:val="21"/>
        </w:rPr>
      </w:pPr>
    </w:p>
    <w:p w14:paraId="566D7A45">
      <w:pPr>
        <w:spacing w:line="360" w:lineRule="auto"/>
        <w:rPr>
          <w:rFonts w:ascii="Times New Roman" w:hAnsi="Times New Roman" w:cs="Times New Roman"/>
          <w:szCs w:val="21"/>
        </w:rPr>
      </w:pPr>
    </w:p>
    <w:p w14:paraId="40F88CA5">
      <w:pPr>
        <w:ind w:firstLine="630" w:firstLineChars="300"/>
        <w:rPr>
          <w:rFonts w:ascii="Times New Roman" w:hAnsi="Times New Roman" w:cs="Times New Roman"/>
          <w:szCs w:val="21"/>
        </w:rPr>
      </w:pPr>
      <w:r>
        <w:drawing>
          <wp:inline distT="0" distB="0" distL="0" distR="0">
            <wp:extent cx="4364990" cy="5215890"/>
            <wp:effectExtent l="0" t="0" r="0" b="0"/>
            <wp:docPr id="13811902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90281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9232" cy="522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87F25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Figure 1. Survival curves </w:t>
      </w:r>
      <w:r>
        <w:rPr>
          <w:rFonts w:ascii="Times New Roman" w:hAnsi="Times New Roman" w:cs="Times New Roman"/>
          <w:b/>
          <w:bCs/>
          <w:sz w:val="20"/>
          <w:szCs w:val="20"/>
        </w:rPr>
        <w:t>reanalysis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 xml:space="preserve"> for non-recovery of sperm concentration and progressive motility rate (PR) to pre-Covid-19 infection levels </w:t>
      </w:r>
      <w:r>
        <w:rPr>
          <w:rFonts w:ascii="Times New Roman" w:hAnsi="Times New Roman" w:cs="Times New Roman"/>
          <w:b/>
          <w:bCs/>
          <w:sz w:val="20"/>
          <w:szCs w:val="20"/>
        </w:rPr>
        <w:t>using the comprehensive dataset from all 139 participants originally enrolled in the study</w:t>
      </w:r>
      <w:r>
        <w:rPr>
          <w:rFonts w:hint="eastAsia" w:ascii="Times New Roman" w:hAnsi="Times New Roman" w:cs="Times New Roman"/>
          <w:b/>
          <w:bCs/>
          <w:sz w:val="20"/>
          <w:szCs w:val="20"/>
        </w:rPr>
        <w:t>.</w:t>
      </w:r>
    </w:p>
    <w:p w14:paraId="047262D2">
      <w:pPr>
        <w:ind w:firstLine="630" w:firstLineChars="300"/>
        <w:rPr>
          <w:rFonts w:ascii="Times New Roman" w:hAnsi="Times New Roman" w:cs="Times New Roman"/>
          <w:szCs w:val="21"/>
        </w:rPr>
      </w:pPr>
    </w:p>
    <w:p w14:paraId="3E76185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ODk4ZTBkYjZiZmE5NzRmZTlhZGM3NzIxMzlmYjBjZjEifQ=="/>
  </w:docVars>
  <w:rsids>
    <w:rsidRoot w:val="009075D1"/>
    <w:rsid w:val="00062268"/>
    <w:rsid w:val="0057625B"/>
    <w:rsid w:val="0090699D"/>
    <w:rsid w:val="009075D1"/>
    <w:rsid w:val="00980490"/>
    <w:rsid w:val="009F4B50"/>
    <w:rsid w:val="00C560A5"/>
    <w:rsid w:val="0DD74291"/>
    <w:rsid w:val="17A80FA8"/>
    <w:rsid w:val="4D816EDC"/>
    <w:rsid w:val="63B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1286</Characters>
  <Lines>10</Lines>
  <Paragraphs>2</Paragraphs>
  <TotalTime>0</TotalTime>
  <ScaleCrop>false</ScaleCrop>
  <LinksUpToDate>false</LinksUpToDate>
  <CharactersWithSpaces>1380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2024-10-21T07:04:00Z</dcterms:created>
  <dc:creator>赵晓丽</dc:creator>
  <cp:lastModifiedBy>赵玉</cp:lastModifiedBy>
  <dcterms:modified xsi:type="dcterms:W3CDTF">2024-12-25T14:23:57Z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129E009D703543F79F54D6ACEFAD358A_12</vt:lpwstr>
  </property>
</Properties>
</file>