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CCEB9" w14:textId="77777777" w:rsidR="00F873EE" w:rsidRDefault="00F873EE" w:rsidP="00F873EE">
      <w:pPr>
        <w:rPr>
          <w:b/>
          <w:bCs/>
          <w:color w:val="262626"/>
        </w:rPr>
      </w:pPr>
      <w:r>
        <w:rPr>
          <w:rFonts w:eastAsia="Times New Roman"/>
          <w:noProof/>
          <w:color w:val="262626"/>
          <w:kern w:val="28"/>
          <w:sz w:val="24"/>
          <w:szCs w:val="24"/>
        </w:rPr>
        <w:drawing>
          <wp:inline distT="0" distB="0" distL="0" distR="0" wp14:anchorId="32847CC7" wp14:editId="1FB3A627">
            <wp:extent cx="5943093" cy="4402667"/>
            <wp:effectExtent l="0" t="0" r="635" b="4445"/>
            <wp:docPr id="71950069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500690" name="Picture 719500690"/>
                    <pic:cNvPicPr/>
                  </pic:nvPicPr>
                  <pic:blipFill rotWithShape="1">
                    <a:blip r:embed="rId4"/>
                    <a:srcRect t="4559" b="10778"/>
                    <a:stretch/>
                  </pic:blipFill>
                  <pic:spPr bwMode="auto">
                    <a:xfrm>
                      <a:off x="0" y="0"/>
                      <a:ext cx="5943600" cy="44030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B36B5E" w14:textId="77777777" w:rsidR="00F873EE" w:rsidRDefault="00F873EE" w:rsidP="00F873EE">
      <w:pPr>
        <w:pStyle w:val="SMHeading"/>
        <w:rPr>
          <w:color w:val="000000" w:themeColor="text1"/>
          <w:lang w:bidi="en-US"/>
        </w:rPr>
      </w:pPr>
      <w:r w:rsidRPr="002B7569">
        <w:rPr>
          <w:color w:val="262626"/>
        </w:rPr>
        <w:t>Extended Data Fig. 1.</w:t>
      </w:r>
      <w:r>
        <w:rPr>
          <w:b w:val="0"/>
          <w:bCs w:val="0"/>
          <w:color w:val="262626"/>
        </w:rPr>
        <w:t xml:space="preserve"> </w:t>
      </w:r>
      <w:r w:rsidRPr="002B7569">
        <w:rPr>
          <w:b w:val="0"/>
          <w:bCs w:val="0"/>
        </w:rPr>
        <w:t>Postacute sequelae (PASC) experienced after 1</w:t>
      </w:r>
      <w:r w:rsidRPr="002B7569">
        <w:rPr>
          <w:b w:val="0"/>
          <w:bCs w:val="0"/>
          <w:vertAlign w:val="superscript"/>
        </w:rPr>
        <w:t>st</w:t>
      </w:r>
      <w:r w:rsidRPr="002B7569">
        <w:rPr>
          <w:b w:val="0"/>
          <w:bCs w:val="0"/>
        </w:rPr>
        <w:t xml:space="preserve"> SARS-CoV-2 infection in men and women in the PROVES cohort are shown. Bar graphs show median central tendencies with error bars representing interquartile range (IQR) and normalized to percent responses. A two-tailed </w:t>
      </w:r>
      <w:r w:rsidRPr="002B7569">
        <w:rPr>
          <w:b w:val="0"/>
          <w:bCs w:val="0"/>
          <w:i/>
          <w:iCs/>
        </w:rPr>
        <w:t>t</w:t>
      </w:r>
      <w:r w:rsidRPr="002B7569">
        <w:rPr>
          <w:b w:val="0"/>
          <w:bCs w:val="0"/>
        </w:rPr>
        <w:t xml:space="preserve">-test was used to determine significance. P values based on a two-tailed t-test: †, ††, †††: </w:t>
      </w:r>
      <w:r w:rsidRPr="002B7569">
        <w:rPr>
          <w:b w:val="0"/>
          <w:bCs w:val="0"/>
          <w:color w:val="000000" w:themeColor="text1"/>
          <w:lang w:bidi="en-US"/>
        </w:rPr>
        <w:t>denoting p&lt;0.01, p &lt; 0.001 and 0.0001 versus previous group, respectively.</w:t>
      </w:r>
      <w:r>
        <w:rPr>
          <w:color w:val="000000" w:themeColor="text1"/>
          <w:lang w:bidi="en-US"/>
        </w:rPr>
        <w:t xml:space="preserve"> </w:t>
      </w:r>
    </w:p>
    <w:p w14:paraId="2D2ADF06" w14:textId="77777777" w:rsidR="00F873EE" w:rsidRDefault="00F873EE" w:rsidP="00F873EE">
      <w:pPr>
        <w:rPr>
          <w:b/>
          <w:bCs/>
          <w:color w:val="262626"/>
        </w:rPr>
      </w:pPr>
      <w:r>
        <w:rPr>
          <w:b/>
          <w:bCs/>
          <w:color w:val="262626"/>
        </w:rPr>
        <w:br w:type="page"/>
      </w:r>
    </w:p>
    <w:p w14:paraId="60BAB5FB" w14:textId="77777777" w:rsidR="00F873EE" w:rsidRDefault="00F873EE" w:rsidP="00F873EE">
      <w:pPr>
        <w:rPr>
          <w:b/>
          <w:bCs/>
          <w:color w:val="262626"/>
        </w:rPr>
      </w:pPr>
      <w:r>
        <w:rPr>
          <w:b/>
          <w:bCs/>
          <w:noProof/>
          <w:color w:val="262626"/>
        </w:rPr>
        <w:lastRenderedPageBreak/>
        <w:drawing>
          <wp:inline distT="0" distB="0" distL="0" distR="0" wp14:anchorId="49F9E110" wp14:editId="123BF3D0">
            <wp:extent cx="5943600" cy="4124960"/>
            <wp:effectExtent l="0" t="0" r="0" b="2540"/>
            <wp:docPr id="311373337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373337" name="Picture 311373337"/>
                    <pic:cNvPicPr/>
                  </pic:nvPicPr>
                  <pic:blipFill rotWithShape="1">
                    <a:blip r:embed="rId5"/>
                    <a:srcRect t="5081" b="15604"/>
                    <a:stretch/>
                  </pic:blipFill>
                  <pic:spPr bwMode="auto">
                    <a:xfrm>
                      <a:off x="0" y="0"/>
                      <a:ext cx="5943600" cy="4124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E43EFD" w14:textId="77777777" w:rsidR="00F873EE" w:rsidRDefault="00F873EE" w:rsidP="00F873EE">
      <w:pPr>
        <w:pStyle w:val="Teaser"/>
        <w:adjustRightInd w:val="0"/>
        <w:snapToGrid w:val="0"/>
        <w:spacing w:before="0"/>
      </w:pPr>
      <w:r>
        <w:rPr>
          <w:b/>
          <w:bCs/>
          <w:color w:val="262626"/>
        </w:rPr>
        <w:t xml:space="preserve">Extended Data Fig. 2. </w:t>
      </w:r>
      <w:r w:rsidRPr="00362911">
        <w:t xml:space="preserve">Postacute sequelae (PASC) </w:t>
      </w:r>
      <w:r>
        <w:t>experienced after 1</w:t>
      </w:r>
      <w:r w:rsidRPr="00AC3CC8">
        <w:rPr>
          <w:vertAlign w:val="superscript"/>
        </w:rPr>
        <w:t>st</w:t>
      </w:r>
      <w:r>
        <w:t xml:space="preserve"> SARS-CoV-2 infection in vaccinated versus unvaccinated individuals in the PROVES cohort are shown. Only individuals who confirmed being vaccinated prior to having COVID-19 were included for this analysis. Bar graphs show median central tendencies with error bars representing interquartile range (IQR) and normalized to percent responses. A two-tailed </w:t>
      </w:r>
      <w:r w:rsidRPr="00C70BFA">
        <w:rPr>
          <w:i/>
          <w:iCs/>
        </w:rPr>
        <w:t>t</w:t>
      </w:r>
      <w:r>
        <w:t>-test was used to determine significance. P values based on a</w:t>
      </w:r>
      <w:r w:rsidRPr="007318CE">
        <w:t xml:space="preserve"> two-tailed t-test</w:t>
      </w:r>
      <w:r>
        <w:t xml:space="preserve">: †, ††, †††: </w:t>
      </w:r>
      <w:r w:rsidRPr="00333DEA">
        <w:rPr>
          <w:color w:val="000000" w:themeColor="text1"/>
          <w:lang w:bidi="en-US"/>
        </w:rPr>
        <w:t xml:space="preserve">denoting </w:t>
      </w:r>
      <w:r>
        <w:rPr>
          <w:color w:val="000000" w:themeColor="text1"/>
          <w:lang w:bidi="en-US"/>
        </w:rPr>
        <w:t xml:space="preserve">p&lt;0.01, </w:t>
      </w:r>
      <w:r w:rsidRPr="00333DEA">
        <w:rPr>
          <w:color w:val="000000" w:themeColor="text1"/>
          <w:lang w:bidi="en-US"/>
        </w:rPr>
        <w:t>p &lt; 0.0</w:t>
      </w:r>
      <w:r>
        <w:rPr>
          <w:color w:val="000000" w:themeColor="text1"/>
          <w:lang w:bidi="en-US"/>
        </w:rPr>
        <w:t>0</w:t>
      </w:r>
      <w:r w:rsidRPr="00333DEA">
        <w:rPr>
          <w:color w:val="000000" w:themeColor="text1"/>
          <w:lang w:bidi="en-US"/>
        </w:rPr>
        <w:t>1 and 0.</w:t>
      </w:r>
      <w:r>
        <w:rPr>
          <w:color w:val="000000" w:themeColor="text1"/>
          <w:lang w:bidi="en-US"/>
        </w:rPr>
        <w:t>0</w:t>
      </w:r>
      <w:r w:rsidRPr="00333DEA">
        <w:rPr>
          <w:color w:val="000000" w:themeColor="text1"/>
          <w:lang w:bidi="en-US"/>
        </w:rPr>
        <w:t>001</w:t>
      </w:r>
      <w:r>
        <w:rPr>
          <w:color w:val="000000" w:themeColor="text1"/>
          <w:lang w:bidi="en-US"/>
        </w:rPr>
        <w:t xml:space="preserve"> versus previous group, </w:t>
      </w:r>
      <w:r w:rsidRPr="00333DEA">
        <w:rPr>
          <w:color w:val="000000" w:themeColor="text1"/>
          <w:lang w:bidi="en-US"/>
        </w:rPr>
        <w:t>respectively.</w:t>
      </w:r>
      <w:r>
        <w:rPr>
          <w:color w:val="000000" w:themeColor="text1"/>
          <w:lang w:bidi="en-US"/>
        </w:rPr>
        <w:t xml:space="preserve"> </w:t>
      </w:r>
      <w:r>
        <w:t xml:space="preserve">Vaccinated n=355, unvaccinated n=2,057. </w:t>
      </w:r>
    </w:p>
    <w:p w14:paraId="505163D3" w14:textId="77777777" w:rsidR="00F873EE" w:rsidRDefault="00F873EE" w:rsidP="00F873EE">
      <w:pPr>
        <w:rPr>
          <w:rFonts w:eastAsia="Times New Roman"/>
          <w:color w:val="262626"/>
          <w:kern w:val="28"/>
          <w:sz w:val="24"/>
          <w:szCs w:val="24"/>
        </w:rPr>
      </w:pPr>
      <w:r>
        <w:rPr>
          <w:b/>
          <w:bCs/>
          <w:color w:val="262626"/>
        </w:rPr>
        <w:br w:type="page"/>
      </w:r>
    </w:p>
    <w:p w14:paraId="5D6F6F7D" w14:textId="77777777" w:rsidR="00F873EE" w:rsidRDefault="00F873EE" w:rsidP="00F873EE">
      <w:pPr>
        <w:pStyle w:val="AppendixHead"/>
        <w:adjustRightInd w:val="0"/>
        <w:snapToGrid w:val="0"/>
        <w:spacing w:before="100" w:beforeAutospacing="1" w:after="100" w:afterAutospacing="1"/>
        <w:rPr>
          <w:b w:val="0"/>
          <w:bCs w:val="0"/>
          <w:color w:val="262626"/>
        </w:rPr>
      </w:pPr>
      <w:r>
        <w:rPr>
          <w:b w:val="0"/>
          <w:bCs w:val="0"/>
          <w:noProof/>
          <w:color w:val="262626"/>
        </w:rPr>
        <w:lastRenderedPageBreak/>
        <w:drawing>
          <wp:inline distT="0" distB="0" distL="0" distR="0" wp14:anchorId="2105339A" wp14:editId="5F9967E5">
            <wp:extent cx="5943143" cy="3860800"/>
            <wp:effectExtent l="0" t="0" r="635" b="0"/>
            <wp:docPr id="211710720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107201" name="Picture 2117107201"/>
                    <pic:cNvPicPr/>
                  </pic:nvPicPr>
                  <pic:blipFill rotWithShape="1">
                    <a:blip r:embed="rId6"/>
                    <a:srcRect t="25892" b="22139"/>
                    <a:stretch/>
                  </pic:blipFill>
                  <pic:spPr bwMode="auto">
                    <a:xfrm>
                      <a:off x="0" y="0"/>
                      <a:ext cx="5943600" cy="38610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150673" w14:textId="77777777" w:rsidR="00F873EE" w:rsidRDefault="00F873EE" w:rsidP="00F873EE">
      <w:pPr>
        <w:pStyle w:val="Legend"/>
      </w:pPr>
      <w:r>
        <w:rPr>
          <w:b/>
        </w:rPr>
        <w:t xml:space="preserve">Extended Data </w:t>
      </w:r>
      <w:r w:rsidRPr="00C406DE">
        <w:rPr>
          <w:b/>
        </w:rPr>
        <w:t xml:space="preserve">Table </w:t>
      </w:r>
      <w:r>
        <w:rPr>
          <w:b/>
        </w:rPr>
        <w:t>1</w:t>
      </w:r>
      <w:r w:rsidRPr="00C406DE">
        <w:rPr>
          <w:b/>
        </w:rPr>
        <w:t>.</w:t>
      </w:r>
      <w:r w:rsidRPr="00C406DE">
        <w:t xml:space="preserve"> </w:t>
      </w:r>
      <w:r>
        <w:t>Females, regardless of the vaccination status reported more frequent PASC than males in the PROVES cohort. Log</w:t>
      </w:r>
      <w:r w:rsidRPr="007609DC">
        <w:rPr>
          <w:vertAlign w:val="subscript"/>
        </w:rPr>
        <w:t>2</w:t>
      </w:r>
      <w:r>
        <w:t xml:space="preserve"> fold change and their p values for symptoms (≥5% of responses in at least 1 of the groups) is shown. Cells with significant p values based on a</w:t>
      </w:r>
      <w:r w:rsidRPr="007318CE">
        <w:t xml:space="preserve"> two-tailed t-test</w:t>
      </w:r>
      <w:r>
        <w:t xml:space="preserve"> are filled in green with darkest shade for p&lt;0.001 and lightest for p&lt;0.05. Males (n=950), Females (1,667).</w:t>
      </w:r>
    </w:p>
    <w:p w14:paraId="1CA51CCE" w14:textId="77777777" w:rsidR="00F873EE" w:rsidRPr="00C406DE" w:rsidRDefault="00F873EE" w:rsidP="00F873EE">
      <w:pPr>
        <w:pStyle w:val="Legend"/>
        <w:adjustRightInd w:val="0"/>
        <w:snapToGrid w:val="0"/>
        <w:spacing w:before="100" w:beforeAutospacing="1" w:after="100" w:afterAutospacing="1"/>
      </w:pPr>
    </w:p>
    <w:p w14:paraId="054ED911" w14:textId="77777777" w:rsidR="00F873EE" w:rsidRDefault="00F873EE" w:rsidP="00F873EE">
      <w:pPr>
        <w:pStyle w:val="AppendixHead"/>
        <w:adjustRightInd w:val="0"/>
        <w:snapToGrid w:val="0"/>
        <w:spacing w:before="100" w:beforeAutospacing="1" w:after="100" w:afterAutospacing="1"/>
        <w:rPr>
          <w:b w:val="0"/>
          <w:bCs w:val="0"/>
          <w:color w:val="262626"/>
        </w:rPr>
      </w:pPr>
    </w:p>
    <w:p w14:paraId="3CEA0691" w14:textId="77777777" w:rsidR="00F873EE" w:rsidRDefault="00F873EE" w:rsidP="00F873EE">
      <w:pPr>
        <w:adjustRightInd w:val="0"/>
        <w:snapToGrid w:val="0"/>
        <w:spacing w:before="100" w:beforeAutospacing="1" w:after="100" w:afterAutospacing="1"/>
        <w:rPr>
          <w:rFonts w:eastAsia="Times New Roman"/>
          <w:color w:val="262626"/>
          <w:kern w:val="28"/>
          <w:sz w:val="24"/>
          <w:szCs w:val="24"/>
        </w:rPr>
      </w:pPr>
      <w:r>
        <w:rPr>
          <w:b/>
          <w:bCs/>
          <w:color w:val="262626"/>
        </w:rPr>
        <w:br w:type="page"/>
      </w:r>
    </w:p>
    <w:p w14:paraId="790AB4A6" w14:textId="77777777" w:rsidR="00F873EE" w:rsidRDefault="00F873EE" w:rsidP="00F873EE">
      <w:pPr>
        <w:pStyle w:val="AppendixHead"/>
        <w:adjustRightInd w:val="0"/>
        <w:snapToGrid w:val="0"/>
        <w:spacing w:before="100" w:beforeAutospacing="1" w:after="100" w:afterAutospacing="1"/>
        <w:rPr>
          <w:b w:val="0"/>
          <w:bCs w:val="0"/>
          <w:color w:val="262626"/>
        </w:rPr>
      </w:pPr>
      <w:r>
        <w:rPr>
          <w:b w:val="0"/>
          <w:bCs w:val="0"/>
          <w:noProof/>
          <w:color w:val="262626"/>
        </w:rPr>
        <w:lastRenderedPageBreak/>
        <w:drawing>
          <wp:inline distT="0" distB="0" distL="0" distR="0" wp14:anchorId="1B33AAF0" wp14:editId="28317E7F">
            <wp:extent cx="5943137" cy="3908213"/>
            <wp:effectExtent l="0" t="0" r="635" b="3810"/>
            <wp:docPr id="25605385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53859" name="Picture 256053859"/>
                    <pic:cNvPicPr/>
                  </pic:nvPicPr>
                  <pic:blipFill rotWithShape="1">
                    <a:blip r:embed="rId7"/>
                    <a:srcRect t="26986" b="20406"/>
                    <a:stretch/>
                  </pic:blipFill>
                  <pic:spPr bwMode="auto">
                    <a:xfrm>
                      <a:off x="0" y="0"/>
                      <a:ext cx="5943600" cy="39085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C14B8D" w14:textId="77777777" w:rsidR="00F873EE" w:rsidRPr="00466B1F" w:rsidRDefault="00F873EE" w:rsidP="00F873EE">
      <w:pPr>
        <w:pStyle w:val="SMHeading"/>
        <w:rPr>
          <w:b w:val="0"/>
          <w:bCs w:val="0"/>
        </w:rPr>
      </w:pPr>
      <w:r>
        <w:t xml:space="preserve">Extended Data Table 2. </w:t>
      </w:r>
      <w:r w:rsidRPr="00466B1F">
        <w:rPr>
          <w:b w:val="0"/>
          <w:bCs w:val="0"/>
        </w:rPr>
        <w:t>Comparison of COVID-19 symptoms (PASC) experienced and reported by vaccinated and unvaccinated individuals after 1</w:t>
      </w:r>
      <w:r w:rsidRPr="00466B1F">
        <w:rPr>
          <w:b w:val="0"/>
          <w:bCs w:val="0"/>
          <w:vertAlign w:val="superscript"/>
        </w:rPr>
        <w:t>st</w:t>
      </w:r>
      <w:r w:rsidRPr="00466B1F">
        <w:rPr>
          <w:b w:val="0"/>
          <w:bCs w:val="0"/>
        </w:rPr>
        <w:t xml:space="preserve"> SARS-COV-2 infections. Only vaccinated individuals who responded that they were vaccinated before having COVID-19 were included in this comparison. Cells with significant p values based on a two-tailed t-test are filled in green with darkest shade for p&lt;0.001 and lightest for p&lt;0.05. Vaccinated (n=355), Unvaccinated (2,057).</w:t>
      </w:r>
    </w:p>
    <w:p w14:paraId="547C34D1" w14:textId="77777777" w:rsidR="00F873EE" w:rsidRDefault="00F873EE" w:rsidP="00F873EE">
      <w:pPr>
        <w:pStyle w:val="AppendixHead"/>
        <w:adjustRightInd w:val="0"/>
        <w:snapToGrid w:val="0"/>
        <w:spacing w:before="100" w:beforeAutospacing="1" w:after="100" w:afterAutospacing="1"/>
        <w:rPr>
          <w:b w:val="0"/>
          <w:bCs w:val="0"/>
          <w:color w:val="262626"/>
        </w:rPr>
      </w:pPr>
    </w:p>
    <w:p w14:paraId="3C03128A" w14:textId="77777777" w:rsidR="00F873EE" w:rsidRDefault="00F873EE" w:rsidP="00F873EE">
      <w:pPr>
        <w:adjustRightInd w:val="0"/>
        <w:snapToGrid w:val="0"/>
        <w:spacing w:before="100" w:beforeAutospacing="1" w:after="100" w:afterAutospacing="1"/>
        <w:rPr>
          <w:rFonts w:eastAsia="Times New Roman"/>
          <w:color w:val="262626"/>
          <w:kern w:val="28"/>
          <w:sz w:val="24"/>
          <w:szCs w:val="24"/>
        </w:rPr>
      </w:pPr>
    </w:p>
    <w:p w14:paraId="5CEAFF17" w14:textId="77777777" w:rsidR="00F873EE" w:rsidRDefault="00F873EE" w:rsidP="00F873EE">
      <w:pPr>
        <w:adjustRightInd w:val="0"/>
        <w:snapToGrid w:val="0"/>
        <w:spacing w:before="100" w:beforeAutospacing="1" w:after="100" w:afterAutospacing="1"/>
        <w:rPr>
          <w:rFonts w:eastAsia="Times New Roman"/>
          <w:color w:val="262626"/>
          <w:kern w:val="28"/>
          <w:sz w:val="24"/>
          <w:szCs w:val="24"/>
        </w:rPr>
      </w:pPr>
      <w:r>
        <w:rPr>
          <w:b/>
          <w:bCs/>
          <w:color w:val="262626"/>
        </w:rPr>
        <w:br w:type="page"/>
      </w:r>
    </w:p>
    <w:p w14:paraId="3E48EFB8" w14:textId="77777777" w:rsidR="00F873EE" w:rsidRDefault="00F873EE" w:rsidP="00F873EE">
      <w:pPr>
        <w:pStyle w:val="AppendixHead"/>
        <w:adjustRightInd w:val="0"/>
        <w:snapToGrid w:val="0"/>
        <w:spacing w:before="100" w:beforeAutospacing="1" w:after="100" w:afterAutospacing="1"/>
        <w:rPr>
          <w:b w:val="0"/>
          <w:bCs w:val="0"/>
          <w:color w:val="262626"/>
        </w:rPr>
      </w:pPr>
      <w:r>
        <w:rPr>
          <w:b w:val="0"/>
          <w:bCs w:val="0"/>
          <w:noProof/>
          <w:color w:val="262626"/>
        </w:rPr>
        <w:lastRenderedPageBreak/>
        <w:drawing>
          <wp:inline distT="0" distB="0" distL="0" distR="0" wp14:anchorId="0DCEA8A7" wp14:editId="4C28D254">
            <wp:extent cx="5943194" cy="5533813"/>
            <wp:effectExtent l="0" t="0" r="635" b="3810"/>
            <wp:docPr id="36730703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307035" name="Picture 367307035"/>
                    <pic:cNvPicPr/>
                  </pic:nvPicPr>
                  <pic:blipFill rotWithShape="1">
                    <a:blip r:embed="rId8"/>
                    <a:srcRect t="16593" b="8918"/>
                    <a:stretch/>
                  </pic:blipFill>
                  <pic:spPr bwMode="auto">
                    <a:xfrm>
                      <a:off x="0" y="0"/>
                      <a:ext cx="5943600" cy="55341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2141EF" w14:textId="77777777" w:rsidR="00F873EE" w:rsidRDefault="00F873EE" w:rsidP="00F873EE">
      <w:pPr>
        <w:pStyle w:val="SMcaption"/>
      </w:pPr>
      <w:r>
        <w:rPr>
          <w:b/>
          <w:bCs/>
        </w:rPr>
        <w:t xml:space="preserve">Extended Data </w:t>
      </w:r>
      <w:r w:rsidRPr="002D09CE">
        <w:rPr>
          <w:b/>
          <w:bCs/>
        </w:rPr>
        <w:t xml:space="preserve">Table </w:t>
      </w:r>
      <w:r>
        <w:rPr>
          <w:b/>
          <w:bCs/>
        </w:rPr>
        <w:t>3</w:t>
      </w:r>
      <w:r w:rsidRPr="002D09CE">
        <w:rPr>
          <w:b/>
          <w:bCs/>
        </w:rPr>
        <w:t>.</w:t>
      </w:r>
      <w:r>
        <w:rPr>
          <w:b/>
          <w:bCs/>
        </w:rPr>
        <w:t xml:space="preserve"> </w:t>
      </w:r>
      <w:r>
        <w:t>Hazard ration (HR) of experiencing a given COVID-19-associated symptom after 1</w:t>
      </w:r>
      <w:r w:rsidRPr="002D09CE">
        <w:rPr>
          <w:vertAlign w:val="superscript"/>
        </w:rPr>
        <w:t>st</w:t>
      </w:r>
      <w:r>
        <w:t xml:space="preserve"> infection in vaccinated versus unvaccinated. </w:t>
      </w:r>
    </w:p>
    <w:p w14:paraId="09EB2A5F" w14:textId="77777777" w:rsidR="00F873EE" w:rsidRDefault="00F873EE" w:rsidP="00F873EE">
      <w:pPr>
        <w:pStyle w:val="AppendixHead"/>
        <w:adjustRightInd w:val="0"/>
        <w:snapToGrid w:val="0"/>
        <w:spacing w:before="100" w:beforeAutospacing="1" w:after="100" w:afterAutospacing="1"/>
        <w:rPr>
          <w:b w:val="0"/>
          <w:bCs w:val="0"/>
          <w:color w:val="262626"/>
        </w:rPr>
      </w:pPr>
    </w:p>
    <w:p w14:paraId="1DC52900" w14:textId="77777777" w:rsidR="00F873EE" w:rsidRDefault="00F873EE" w:rsidP="00F873EE">
      <w:pPr>
        <w:adjustRightInd w:val="0"/>
        <w:snapToGrid w:val="0"/>
        <w:spacing w:before="100" w:beforeAutospacing="1" w:after="100" w:afterAutospacing="1"/>
        <w:rPr>
          <w:rFonts w:eastAsia="Times New Roman"/>
          <w:color w:val="262626"/>
          <w:kern w:val="28"/>
          <w:sz w:val="24"/>
          <w:szCs w:val="24"/>
        </w:rPr>
      </w:pPr>
      <w:r>
        <w:rPr>
          <w:b/>
          <w:bCs/>
          <w:color w:val="262626"/>
        </w:rPr>
        <w:br w:type="page"/>
      </w:r>
    </w:p>
    <w:p w14:paraId="2FC2981A" w14:textId="77777777" w:rsidR="00F873EE" w:rsidRDefault="00F873EE" w:rsidP="00F873EE">
      <w:pPr>
        <w:pStyle w:val="AppendixHead"/>
        <w:adjustRightInd w:val="0"/>
        <w:snapToGrid w:val="0"/>
        <w:spacing w:before="100" w:beforeAutospacing="1" w:after="100" w:afterAutospacing="1"/>
        <w:rPr>
          <w:b w:val="0"/>
          <w:bCs w:val="0"/>
          <w:color w:val="262626"/>
        </w:rPr>
      </w:pPr>
      <w:r>
        <w:rPr>
          <w:b w:val="0"/>
          <w:bCs w:val="0"/>
          <w:noProof/>
          <w:color w:val="262626"/>
        </w:rPr>
        <w:lastRenderedPageBreak/>
        <w:drawing>
          <wp:inline distT="0" distB="0" distL="0" distR="0" wp14:anchorId="5519BB2E" wp14:editId="572EA54F">
            <wp:extent cx="5943374" cy="4206240"/>
            <wp:effectExtent l="0" t="0" r="635" b="0"/>
            <wp:docPr id="1169697063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697063" name="Picture 1169697063"/>
                    <pic:cNvPicPr/>
                  </pic:nvPicPr>
                  <pic:blipFill rotWithShape="1">
                    <a:blip r:embed="rId9"/>
                    <a:srcRect t="24980" b="18402"/>
                    <a:stretch/>
                  </pic:blipFill>
                  <pic:spPr bwMode="auto">
                    <a:xfrm>
                      <a:off x="0" y="0"/>
                      <a:ext cx="5943600" cy="420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51F2A3" w14:textId="77777777" w:rsidR="00F873EE" w:rsidRPr="00C406DE" w:rsidRDefault="00F873EE" w:rsidP="00F873EE">
      <w:pPr>
        <w:pStyle w:val="Legend"/>
        <w:adjustRightInd w:val="0"/>
        <w:snapToGrid w:val="0"/>
        <w:spacing w:before="100" w:beforeAutospacing="1" w:after="100" w:afterAutospacing="1"/>
      </w:pPr>
      <w:r>
        <w:rPr>
          <w:b/>
          <w:bCs/>
          <w:color w:val="262626"/>
        </w:rPr>
        <w:t xml:space="preserve">Extended Data Table 4. </w:t>
      </w:r>
      <w:r w:rsidRPr="00C406DE">
        <w:rPr>
          <w:b/>
          <w:bCs/>
        </w:rPr>
        <w:t>Pre-existing health conditions in the cohort.</w:t>
      </w:r>
      <w:r w:rsidRPr="00C406DE">
        <w:t xml:space="preserve"> Individuals were asked about pre-existing conditions diagnosed by a medical professional. Conditions reported by sex are shown. 5 individuals identified their biological sex as male but gender as either female/woman or none of the above choice for gender, reported menstrual cycle irregularities. See accompanying Fig. </w:t>
      </w:r>
      <w:r>
        <w:t>3b</w:t>
      </w:r>
      <w:r w:rsidRPr="00C406DE">
        <w:t xml:space="preserve"> for percent change in pre-existing health conditions and their relative risk in experiencing severe vs mild COVID-19 disease. Cells with significant p values are filled in green with darkest shade for p&lt;0.001 and lightest for p&lt;0.05. Vaccinated (n=898), Unvaccinated (2,351).</w:t>
      </w:r>
    </w:p>
    <w:p w14:paraId="7DD64535" w14:textId="77777777" w:rsidR="00F873EE" w:rsidRDefault="00F873EE" w:rsidP="00F873EE">
      <w:pPr>
        <w:adjustRightInd w:val="0"/>
        <w:snapToGrid w:val="0"/>
        <w:spacing w:before="100" w:beforeAutospacing="1" w:after="100" w:afterAutospacing="1"/>
        <w:rPr>
          <w:rFonts w:eastAsia="Times New Roman"/>
          <w:color w:val="262626"/>
          <w:kern w:val="28"/>
          <w:sz w:val="24"/>
          <w:szCs w:val="24"/>
        </w:rPr>
      </w:pPr>
      <w:r>
        <w:rPr>
          <w:b/>
          <w:bCs/>
          <w:color w:val="262626"/>
        </w:rPr>
        <w:br w:type="page"/>
      </w:r>
    </w:p>
    <w:p w14:paraId="2029F4F9" w14:textId="77777777" w:rsidR="00F873EE" w:rsidRDefault="00F873EE" w:rsidP="00F873EE">
      <w:pPr>
        <w:pStyle w:val="AppendixHead"/>
        <w:adjustRightInd w:val="0"/>
        <w:snapToGrid w:val="0"/>
        <w:spacing w:before="100" w:beforeAutospacing="1" w:after="100" w:afterAutospacing="1"/>
        <w:rPr>
          <w:b w:val="0"/>
          <w:bCs w:val="0"/>
          <w:color w:val="262626"/>
        </w:rPr>
      </w:pPr>
      <w:r>
        <w:rPr>
          <w:b w:val="0"/>
          <w:bCs w:val="0"/>
          <w:noProof/>
          <w:color w:val="262626"/>
        </w:rPr>
        <w:lastRenderedPageBreak/>
        <w:drawing>
          <wp:inline distT="0" distB="0" distL="0" distR="0" wp14:anchorId="33889A1F" wp14:editId="1A8D699C">
            <wp:extent cx="5943422" cy="6597227"/>
            <wp:effectExtent l="0" t="0" r="635" b="0"/>
            <wp:docPr id="99313064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130649" name="Picture 993130649"/>
                    <pic:cNvPicPr/>
                  </pic:nvPicPr>
                  <pic:blipFill rotWithShape="1">
                    <a:blip r:embed="rId10"/>
                    <a:srcRect t="4468" b="6732"/>
                    <a:stretch/>
                  </pic:blipFill>
                  <pic:spPr bwMode="auto">
                    <a:xfrm>
                      <a:off x="0" y="0"/>
                      <a:ext cx="5943600" cy="65974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A7AB89" w14:textId="77777777" w:rsidR="00F873EE" w:rsidRDefault="00F873EE" w:rsidP="00F873EE">
      <w:pPr>
        <w:pStyle w:val="Legend"/>
      </w:pPr>
      <w:r>
        <w:rPr>
          <w:b/>
          <w:bCs/>
          <w:color w:val="262626"/>
        </w:rPr>
        <w:t xml:space="preserve">Extended Data Table 5. </w:t>
      </w:r>
      <w:r>
        <w:t>Relative risk of experiencing severe versus mild COVID-19 diseases for a given pre-existing condition in the PROVES cohort. Control risk (in people without these pre-existing conditions), the risk was low. Cells with RR≥3.0 are filled in darkest red and those with ≥1.2 in lightest.</w:t>
      </w:r>
    </w:p>
    <w:p w14:paraId="2F6C474A" w14:textId="77777777" w:rsidR="00F873EE" w:rsidRDefault="00F873EE" w:rsidP="00F873EE">
      <w:pPr>
        <w:adjustRightInd w:val="0"/>
        <w:snapToGrid w:val="0"/>
        <w:spacing w:before="100" w:beforeAutospacing="1" w:after="100" w:afterAutospacing="1"/>
        <w:rPr>
          <w:rFonts w:eastAsia="Times New Roman"/>
          <w:color w:val="262626"/>
          <w:kern w:val="28"/>
          <w:sz w:val="24"/>
          <w:szCs w:val="24"/>
        </w:rPr>
      </w:pPr>
      <w:r>
        <w:rPr>
          <w:b/>
          <w:bCs/>
          <w:color w:val="262626"/>
        </w:rPr>
        <w:br w:type="page"/>
      </w:r>
    </w:p>
    <w:p w14:paraId="67F7B547" w14:textId="77777777" w:rsidR="00F873EE" w:rsidRDefault="00F873EE" w:rsidP="00F873EE">
      <w:pPr>
        <w:pStyle w:val="AppendixHead"/>
        <w:adjustRightInd w:val="0"/>
        <w:snapToGrid w:val="0"/>
        <w:spacing w:before="100" w:beforeAutospacing="1" w:after="100" w:afterAutospacing="1"/>
        <w:rPr>
          <w:b w:val="0"/>
          <w:bCs w:val="0"/>
          <w:color w:val="262626"/>
        </w:rPr>
      </w:pPr>
      <w:r>
        <w:rPr>
          <w:b w:val="0"/>
          <w:bCs w:val="0"/>
          <w:noProof/>
          <w:color w:val="262626"/>
        </w:rPr>
        <w:lastRenderedPageBreak/>
        <w:drawing>
          <wp:inline distT="0" distB="0" distL="0" distR="0" wp14:anchorId="3E19510D" wp14:editId="6C472F38">
            <wp:extent cx="5943600" cy="3379893"/>
            <wp:effectExtent l="0" t="0" r="0" b="0"/>
            <wp:docPr id="7029972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99728" name="Picture 70299728"/>
                    <pic:cNvPicPr/>
                  </pic:nvPicPr>
                  <pic:blipFill rotWithShape="1">
                    <a:blip r:embed="rId11"/>
                    <a:srcRect t="21880" b="32627"/>
                    <a:stretch/>
                  </pic:blipFill>
                  <pic:spPr bwMode="auto">
                    <a:xfrm>
                      <a:off x="0" y="0"/>
                      <a:ext cx="5943600" cy="33798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F24501" w14:textId="77777777" w:rsidR="00F873EE" w:rsidRDefault="00F873EE" w:rsidP="00F873EE">
      <w:pPr>
        <w:pStyle w:val="SMcaption"/>
      </w:pPr>
      <w:r>
        <w:rPr>
          <w:b/>
          <w:bCs/>
          <w:color w:val="262626"/>
        </w:rPr>
        <w:t xml:space="preserve">Extended Data Table 6. </w:t>
      </w:r>
      <w:r w:rsidRPr="002D09CE">
        <w:t>COVID-19 mRNA and adenovirus-based Vaccine effectiveness</w:t>
      </w:r>
      <w:r>
        <w:t xml:space="preserve"> in the PROVES cohort.</w:t>
      </w:r>
    </w:p>
    <w:p w14:paraId="4C7D4673" w14:textId="3FBAFA06" w:rsidR="0038214D" w:rsidRPr="00F873EE" w:rsidRDefault="0038214D" w:rsidP="00F873EE">
      <w:pPr>
        <w:adjustRightInd w:val="0"/>
        <w:snapToGrid w:val="0"/>
        <w:spacing w:before="100" w:beforeAutospacing="1" w:after="100" w:afterAutospacing="1"/>
        <w:rPr>
          <w:b/>
          <w:bCs/>
          <w:color w:val="262626"/>
        </w:rPr>
      </w:pPr>
    </w:p>
    <w:sectPr w:rsidR="0038214D" w:rsidRPr="00F873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3EE"/>
    <w:rsid w:val="00235F39"/>
    <w:rsid w:val="0038214D"/>
    <w:rsid w:val="00AD7A41"/>
    <w:rsid w:val="00AE732B"/>
    <w:rsid w:val="00CF3EC8"/>
    <w:rsid w:val="00F51A1A"/>
    <w:rsid w:val="00F87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1CD67"/>
  <w15:chartTrackingRefBased/>
  <w15:docId w15:val="{99EF614E-C745-4610-894C-9D2D7D75C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73EE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73E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73E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73E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73E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73E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73E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73E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73E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73E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73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73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73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73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73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73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73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73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73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73E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873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73E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873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73E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873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73E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873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73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73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73EE"/>
    <w:rPr>
      <w:b/>
      <w:bCs/>
      <w:smallCaps/>
      <w:color w:val="0F4761" w:themeColor="accent1" w:themeShade="BF"/>
      <w:spacing w:val="5"/>
    </w:rPr>
  </w:style>
  <w:style w:type="paragraph" w:customStyle="1" w:styleId="AppendixHead">
    <w:name w:val="AppendixHead"/>
    <w:basedOn w:val="Normal"/>
    <w:rsid w:val="00F873EE"/>
    <w:pPr>
      <w:keepNext/>
      <w:spacing w:before="240"/>
      <w:outlineLvl w:val="0"/>
    </w:pPr>
    <w:rPr>
      <w:rFonts w:eastAsia="Times New Roman"/>
      <w:b/>
      <w:bCs/>
      <w:kern w:val="28"/>
      <w:sz w:val="24"/>
      <w:szCs w:val="24"/>
    </w:rPr>
  </w:style>
  <w:style w:type="paragraph" w:customStyle="1" w:styleId="Legend">
    <w:name w:val="Legend"/>
    <w:basedOn w:val="Normal"/>
    <w:rsid w:val="00F873EE"/>
    <w:pPr>
      <w:keepNext/>
      <w:spacing w:before="240"/>
      <w:outlineLvl w:val="0"/>
    </w:pPr>
    <w:rPr>
      <w:rFonts w:eastAsia="Times New Roman"/>
      <w:kern w:val="28"/>
      <w:sz w:val="24"/>
      <w:szCs w:val="24"/>
    </w:rPr>
  </w:style>
  <w:style w:type="paragraph" w:customStyle="1" w:styleId="Teaser">
    <w:name w:val="Teaser"/>
    <w:basedOn w:val="Normal"/>
    <w:link w:val="TeaserChar"/>
    <w:rsid w:val="00F873EE"/>
    <w:pPr>
      <w:spacing w:before="120"/>
    </w:pPr>
    <w:rPr>
      <w:rFonts w:eastAsia="Times New Roman"/>
      <w:sz w:val="24"/>
      <w:szCs w:val="24"/>
    </w:rPr>
  </w:style>
  <w:style w:type="character" w:customStyle="1" w:styleId="TeaserChar">
    <w:name w:val="Teaser Char"/>
    <w:basedOn w:val="DefaultParagraphFont"/>
    <w:link w:val="Teaser"/>
    <w:rsid w:val="00F873EE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SMHeading">
    <w:name w:val="SM Heading"/>
    <w:basedOn w:val="Heading1"/>
    <w:qFormat/>
    <w:rsid w:val="00F873EE"/>
    <w:pPr>
      <w:keepLines w:val="0"/>
      <w:spacing w:before="240"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  <w14:ligatures w14:val="none"/>
    </w:rPr>
  </w:style>
  <w:style w:type="paragraph" w:customStyle="1" w:styleId="SMcaption">
    <w:name w:val="SM caption"/>
    <w:basedOn w:val="Normal"/>
    <w:qFormat/>
    <w:rsid w:val="00F873EE"/>
    <w:rPr>
      <w:rFonts w:eastAsia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480</Words>
  <Characters>2742</Characters>
  <Application>Microsoft Office Word</Application>
  <DocSecurity>0</DocSecurity>
  <Lines>22</Lines>
  <Paragraphs>6</Paragraphs>
  <ScaleCrop>false</ScaleCrop>
  <Company>Springer Nature</Company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2025-03-17T04:25:00Z</dcterms:created>
  <dcterms:modified xsi:type="dcterms:W3CDTF">2025-03-17T04:26:00Z</dcterms:modified>
</cp:coreProperties>
</file>