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28AAEA" w14:textId="3B1180AF" w:rsidR="009D10F8" w:rsidRDefault="009D10F8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/>
          <w:color w:val="222222"/>
          <w:sz w:val="32"/>
          <w:szCs w:val="32"/>
        </w:rPr>
      </w:pPr>
      <w:r>
        <w:rPr>
          <w:rFonts w:ascii="Arial" w:eastAsia="Times New Roman" w:hAnsi="Arial" w:cs="Arial"/>
          <w:b/>
          <w:color w:val="222222"/>
          <w:sz w:val="32"/>
          <w:szCs w:val="32"/>
        </w:rPr>
        <w:t>A</w:t>
      </w:r>
      <w:r w:rsidR="00B160AF">
        <w:rPr>
          <w:rFonts w:ascii="Arial" w:eastAsia="Times New Roman" w:hAnsi="Arial" w:cs="Arial"/>
          <w:b/>
          <w:color w:val="222222"/>
          <w:sz w:val="32"/>
          <w:szCs w:val="32"/>
        </w:rPr>
        <w:t xml:space="preserve">n accelerated </w:t>
      </w:r>
      <w:r w:rsidR="002A6D5E">
        <w:rPr>
          <w:rFonts w:ascii="Arial" w:eastAsia="Times New Roman" w:hAnsi="Arial" w:cs="Arial"/>
          <w:b/>
          <w:color w:val="222222"/>
          <w:sz w:val="32"/>
          <w:szCs w:val="32"/>
        </w:rPr>
        <w:t>human</w:t>
      </w:r>
      <w:r>
        <w:rPr>
          <w:rFonts w:ascii="Arial" w:eastAsia="Times New Roman" w:hAnsi="Arial" w:cs="Arial"/>
          <w:b/>
          <w:color w:val="222222"/>
          <w:sz w:val="32"/>
          <w:szCs w:val="32"/>
        </w:rPr>
        <w:t xml:space="preserve"> </w:t>
      </w:r>
      <w:r w:rsidR="00B160AF">
        <w:rPr>
          <w:rFonts w:ascii="Arial" w:eastAsia="Times New Roman" w:hAnsi="Arial" w:cs="Arial"/>
          <w:b/>
          <w:color w:val="222222"/>
          <w:sz w:val="32"/>
          <w:szCs w:val="32"/>
        </w:rPr>
        <w:t xml:space="preserve">in-vitro </w:t>
      </w:r>
      <w:r>
        <w:rPr>
          <w:rFonts w:ascii="Arial" w:eastAsia="Times New Roman" w:hAnsi="Arial" w:cs="Arial"/>
          <w:b/>
          <w:color w:val="222222"/>
          <w:sz w:val="32"/>
          <w:szCs w:val="32"/>
        </w:rPr>
        <w:t xml:space="preserve">aging model </w:t>
      </w:r>
      <w:r w:rsidR="00EB6F17">
        <w:rPr>
          <w:rFonts w:ascii="Arial" w:eastAsia="Times New Roman" w:hAnsi="Arial" w:cs="Arial"/>
          <w:b/>
          <w:color w:val="222222"/>
          <w:sz w:val="32"/>
          <w:szCs w:val="32"/>
        </w:rPr>
        <w:t>mimics</w:t>
      </w:r>
      <w:r>
        <w:rPr>
          <w:rFonts w:ascii="Arial" w:eastAsia="Times New Roman" w:hAnsi="Arial" w:cs="Arial"/>
          <w:b/>
          <w:color w:val="222222"/>
          <w:sz w:val="32"/>
          <w:szCs w:val="32"/>
        </w:rPr>
        <w:t xml:space="preserve"> in-vivo aging and facilitates </w:t>
      </w:r>
      <w:r w:rsidR="002A6D5E">
        <w:rPr>
          <w:rFonts w:ascii="Arial" w:eastAsia="Times New Roman" w:hAnsi="Arial" w:cs="Arial"/>
          <w:b/>
          <w:color w:val="222222"/>
          <w:sz w:val="32"/>
          <w:szCs w:val="32"/>
        </w:rPr>
        <w:t xml:space="preserve">dynamic </w:t>
      </w:r>
      <w:r>
        <w:rPr>
          <w:rFonts w:ascii="Arial" w:eastAsia="Times New Roman" w:hAnsi="Arial" w:cs="Arial"/>
          <w:b/>
          <w:color w:val="222222"/>
          <w:sz w:val="32"/>
          <w:szCs w:val="32"/>
        </w:rPr>
        <w:t xml:space="preserve">testing </w:t>
      </w:r>
      <w:r w:rsidR="002A6D5E">
        <w:rPr>
          <w:rFonts w:ascii="Arial" w:eastAsia="Times New Roman" w:hAnsi="Arial" w:cs="Arial"/>
          <w:b/>
          <w:color w:val="222222"/>
          <w:sz w:val="32"/>
          <w:szCs w:val="32"/>
        </w:rPr>
        <w:t xml:space="preserve">of </w:t>
      </w:r>
      <w:r>
        <w:rPr>
          <w:rFonts w:ascii="Arial" w:eastAsia="Times New Roman" w:hAnsi="Arial" w:cs="Arial"/>
          <w:b/>
          <w:color w:val="222222"/>
          <w:sz w:val="32"/>
          <w:szCs w:val="32"/>
        </w:rPr>
        <w:t>anti-aging compounds</w:t>
      </w:r>
    </w:p>
    <w:p w14:paraId="319B724F" w14:textId="77777777" w:rsidR="00802888" w:rsidRDefault="00802888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</w:p>
    <w:p w14:paraId="0FD6A9D7" w14:textId="26374694" w:rsidR="00E37B74" w:rsidRDefault="00E37B74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</w:pPr>
      <w:r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Larissa Traxler</w:t>
      </w:r>
      <w:r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1,2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,4</w:t>
      </w:r>
      <w:r w:rsidR="00E30E63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*</w:t>
      </w:r>
      <w:r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, Lukas Karbacher</w:t>
      </w:r>
      <w:r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,1,2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,4</w:t>
      </w:r>
      <w:r w:rsidR="00E30E63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*</w:t>
      </w:r>
      <w:r w:rsidRPr="00F9103C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, </w:t>
      </w:r>
      <w:r w:rsidR="00966E10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Oliver Borgogno</w:t>
      </w:r>
      <w:r w:rsidR="00966E10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1,2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,4</w:t>
      </w:r>
      <w:r w:rsidR="00966E10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,</w:t>
      </w:r>
      <w:r w:rsidR="003C78ED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Taylor Ozbun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1</w:t>
      </w:r>
      <w:r w:rsidR="003C78ED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, Kylie Champion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1</w:t>
      </w:r>
      <w:r w:rsidR="003C78ED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, </w:t>
      </w:r>
      <w:r w:rsidR="00131651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Anna Smaling</w:t>
      </w:r>
      <w:r w:rsidR="00131651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3</w:t>
      </w:r>
      <w:r w:rsidR="00131651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, </w:t>
      </w:r>
      <w:r w:rsidR="00F10A3E">
        <w:rPr>
          <w:rFonts w:ascii="Arial" w:eastAsia="Times New Roman" w:hAnsi="Arial" w:cs="Arial"/>
          <w:bCs/>
          <w:color w:val="222222"/>
          <w:sz w:val="22"/>
          <w:szCs w:val="22"/>
        </w:rPr>
        <w:t>Barbara C. Böckle</w:t>
      </w:r>
      <w:r w:rsidR="00F10A3E" w:rsidRPr="00F10A3E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5</w:t>
      </w:r>
      <w:r w:rsidR="00F10A3E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, 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Hildegard I.D. Mack</w:t>
      </w:r>
      <w:r w:rsidR="00F10A3E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6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</w:rPr>
        <w:t>,</w:t>
      </w:r>
      <w:r w:rsidRPr="00F9103C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</w:t>
      </w:r>
      <w:r w:rsidRPr="00E37B74">
        <w:rPr>
          <w:rFonts w:ascii="Arial" w:eastAsia="Times New Roman" w:hAnsi="Arial" w:cs="Arial"/>
          <w:bCs/>
          <w:color w:val="222222"/>
          <w:sz w:val="22"/>
          <w:szCs w:val="22"/>
        </w:rPr>
        <w:t>Michaela Defrancesco</w:t>
      </w:r>
      <w:r w:rsidR="00F10A3E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7</w:t>
      </w:r>
      <w:r w:rsidR="00074C22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, </w:t>
      </w:r>
      <w:r w:rsidRPr="00E37B74">
        <w:rPr>
          <w:rFonts w:ascii="Arial" w:eastAsia="Times New Roman" w:hAnsi="Arial" w:cs="Arial"/>
          <w:bCs/>
          <w:color w:val="222222"/>
          <w:sz w:val="22"/>
          <w:szCs w:val="22"/>
        </w:rPr>
        <w:t>Jerome Mertens</w:t>
      </w:r>
      <w:r w:rsidR="00074C22" w:rsidRPr="00F9103C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1,2,3,4</w:t>
      </w:r>
      <w:r w:rsidR="00E30E63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#</w:t>
      </w:r>
    </w:p>
    <w:p w14:paraId="14ED4E28" w14:textId="77777777" w:rsidR="00802888" w:rsidRPr="00E30E63" w:rsidRDefault="00802888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</w:pPr>
    </w:p>
    <w:p w14:paraId="2E62E5EA" w14:textId="6D9A7C28" w:rsidR="00E37B74" w:rsidRPr="00E37B74" w:rsidRDefault="00E37B74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 w:rsidRPr="00E37B74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 xml:space="preserve">1 </w:t>
      </w:r>
      <w:r w:rsidRPr="00E37B74">
        <w:rPr>
          <w:rFonts w:ascii="Arial" w:eastAsia="Times New Roman" w:hAnsi="Arial" w:cs="Arial"/>
          <w:bCs/>
          <w:color w:val="222222"/>
          <w:sz w:val="22"/>
          <w:szCs w:val="22"/>
        </w:rPr>
        <w:t>Department of Neurosciences, University of California San Diego, La Jolla, CA, USA.</w:t>
      </w:r>
    </w:p>
    <w:p w14:paraId="40DE6B28" w14:textId="61AAA419" w:rsidR="00E37B74" w:rsidRDefault="00074C22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2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 xml:space="preserve"> </w:t>
      </w:r>
      <w:r w:rsidR="00E37B74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Sanford Consortium for Regenerative Medicine, 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</w:rPr>
        <w:t>University of California San Diego, La Jolla, CA, USA.</w:t>
      </w:r>
    </w:p>
    <w:p w14:paraId="784F46D6" w14:textId="7222EE5D" w:rsidR="00E37B74" w:rsidRPr="00E37B74" w:rsidRDefault="00074C22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3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 xml:space="preserve"> 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</w:rPr>
        <w:t>Institute for Molecular Biology, University of Innsbruck</w:t>
      </w:r>
      <w:r w:rsidR="00E37B74">
        <w:rPr>
          <w:rFonts w:ascii="Arial" w:eastAsia="Times New Roman" w:hAnsi="Arial" w:cs="Arial"/>
          <w:bCs/>
          <w:color w:val="222222"/>
          <w:sz w:val="22"/>
          <w:szCs w:val="22"/>
        </w:rPr>
        <w:t>, Austria</w:t>
      </w:r>
    </w:p>
    <w:p w14:paraId="283ADBCD" w14:textId="49B65BD7" w:rsidR="00E30E63" w:rsidRDefault="00074C22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4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 xml:space="preserve"> 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</w:rPr>
        <w:t>Laboratory of Genetics, The Salk Institute for Biological Studies, La Jolla, CA, USA.</w:t>
      </w:r>
    </w:p>
    <w:p w14:paraId="01DB9794" w14:textId="7791F904" w:rsidR="00B22ACB" w:rsidRDefault="00B22ACB" w:rsidP="00B22ACB">
      <w:pPr>
        <w:adjustRightInd/>
        <w:spacing w:after="60" w:line="360" w:lineRule="auto"/>
        <w:ind w:left="0"/>
        <w:jc w:val="left"/>
        <w:rPr>
          <w:rFonts w:ascii="Arial" w:eastAsia="Times New Roman" w:hAnsi="Arial" w:cs="Arial"/>
          <w:bCs/>
          <w:color w:val="222222"/>
          <w:sz w:val="22"/>
          <w:szCs w:val="22"/>
        </w:rPr>
      </w:pPr>
      <w:r w:rsidRPr="00B22ACB"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5</w:t>
      </w:r>
      <w:r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 xml:space="preserve"> </w:t>
      </w:r>
      <w:r>
        <w:rPr>
          <w:rFonts w:ascii="Arial" w:eastAsia="Times New Roman" w:hAnsi="Arial" w:cs="Arial"/>
          <w:bCs/>
          <w:color w:val="222222"/>
          <w:sz w:val="22"/>
          <w:szCs w:val="22"/>
        </w:rPr>
        <w:t>Department of Dermatology, V</w:t>
      </w:r>
      <w:r w:rsidRPr="00B22ACB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enereology and Allergology, Medical University of Innsbruck, Innsbruck, </w:t>
      </w:r>
      <w:r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Tyrol, </w:t>
      </w:r>
      <w:r w:rsidRPr="00B22ACB">
        <w:rPr>
          <w:rFonts w:ascii="Arial" w:eastAsia="Times New Roman" w:hAnsi="Arial" w:cs="Arial"/>
          <w:bCs/>
          <w:color w:val="222222"/>
          <w:sz w:val="22"/>
          <w:szCs w:val="22"/>
        </w:rPr>
        <w:t>Austria</w:t>
      </w:r>
    </w:p>
    <w:p w14:paraId="7DDFD45D" w14:textId="2C5CC0B1" w:rsidR="00074C22" w:rsidRDefault="00B22ACB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6</w:t>
      </w:r>
      <w:r w:rsidR="00074C22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Department of Biochemistry and Genetics of Aging, Research Institute for Biomedical Aging Research, University of Innsbruck, Innsbruck, </w:t>
      </w:r>
      <w:r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Tyrol, </w:t>
      </w:r>
      <w:r w:rsidR="00074C22">
        <w:rPr>
          <w:rFonts w:ascii="Arial" w:eastAsia="Times New Roman" w:hAnsi="Arial" w:cs="Arial"/>
          <w:bCs/>
          <w:color w:val="222222"/>
          <w:sz w:val="22"/>
          <w:szCs w:val="22"/>
        </w:rPr>
        <w:t>Austria</w:t>
      </w:r>
    </w:p>
    <w:p w14:paraId="5FD54C8A" w14:textId="336D263D" w:rsidR="00074C22" w:rsidRDefault="00B22ACB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  <w:vertAlign w:val="superscript"/>
        </w:rPr>
        <w:t>7</w:t>
      </w:r>
      <w:r w:rsidR="00074C22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Division of Psychiatry I, Department of Psychiatry and Psychotherapy, Medical University of Innsbruck, Innsbruck, Tyrol, Austria.</w:t>
      </w:r>
    </w:p>
    <w:p w14:paraId="6C269043" w14:textId="45725331" w:rsidR="00E30E63" w:rsidRDefault="00E30E63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color w:val="222222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</w:rPr>
        <w:t>* equal contribution</w:t>
      </w:r>
    </w:p>
    <w:p w14:paraId="22E36101" w14:textId="7A65C357" w:rsidR="00E37B74" w:rsidRPr="00502DE9" w:rsidRDefault="00E30E63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i/>
          <w:iCs/>
          <w:color w:val="000000" w:themeColor="text1"/>
          <w:sz w:val="22"/>
          <w:szCs w:val="22"/>
        </w:rPr>
      </w:pPr>
      <w:r>
        <w:rPr>
          <w:rFonts w:ascii="Arial" w:eastAsia="Times New Roman" w:hAnsi="Arial" w:cs="Arial"/>
          <w:bCs/>
          <w:color w:val="222222"/>
          <w:sz w:val="22"/>
          <w:szCs w:val="22"/>
        </w:rPr>
        <w:t>#</w:t>
      </w:r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Correspondence to: </w:t>
      </w:r>
      <w:hyperlink r:id="rId8" w:history="1">
        <w:r w:rsidR="00F73792" w:rsidRPr="00546740">
          <w:rPr>
            <w:rStyle w:val="Hyperlink"/>
            <w:rFonts w:ascii="Arial" w:eastAsia="Times New Roman" w:hAnsi="Arial" w:cs="Arial"/>
            <w:bCs/>
            <w:sz w:val="22"/>
            <w:szCs w:val="22"/>
          </w:rPr>
          <w:t>jmertens@health.ucsd.edu</w:t>
        </w:r>
      </w:hyperlink>
      <w:r w:rsidR="00E37B74" w:rsidRPr="00E37B74"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</w:t>
      </w:r>
      <w:r w:rsidR="00F73792">
        <w:rPr>
          <w:rFonts w:ascii="Arial" w:eastAsia="Times New Roman" w:hAnsi="Arial" w:cs="Arial"/>
          <w:bCs/>
          <w:color w:val="222222"/>
          <w:sz w:val="22"/>
          <w:szCs w:val="22"/>
        </w:rPr>
        <w:tab/>
      </w:r>
      <w:r w:rsidR="00F73792">
        <w:rPr>
          <w:rFonts w:ascii="Arial" w:eastAsia="Times New Roman" w:hAnsi="Arial" w:cs="Arial"/>
          <w:bCs/>
          <w:color w:val="222222"/>
          <w:sz w:val="22"/>
          <w:szCs w:val="22"/>
        </w:rPr>
        <w:tab/>
      </w:r>
      <w:r w:rsidR="00F73792">
        <w:rPr>
          <w:rFonts w:ascii="Arial" w:eastAsia="Times New Roman" w:hAnsi="Arial" w:cs="Arial"/>
          <w:bCs/>
          <w:color w:val="222222"/>
          <w:sz w:val="22"/>
          <w:szCs w:val="22"/>
        </w:rPr>
        <w:tab/>
      </w:r>
      <w:r w:rsidR="00F73792">
        <w:rPr>
          <w:rFonts w:ascii="Arial" w:eastAsia="Times New Roman" w:hAnsi="Arial" w:cs="Arial"/>
          <w:bCs/>
          <w:color w:val="222222"/>
          <w:sz w:val="22"/>
          <w:szCs w:val="22"/>
        </w:rPr>
        <w:tab/>
      </w:r>
      <w:r w:rsidR="00F73792" w:rsidRPr="00502DE9">
        <w:rPr>
          <w:rFonts w:ascii="Arial" w:eastAsia="Times New Roman" w:hAnsi="Arial" w:cs="Arial"/>
          <w:bCs/>
          <w:i/>
          <w:iCs/>
          <w:color w:val="000000" w:themeColor="text1"/>
          <w:sz w:val="22"/>
          <w:szCs w:val="22"/>
        </w:rPr>
        <w:t xml:space="preserve"> </w:t>
      </w:r>
    </w:p>
    <w:p w14:paraId="2148A4FE" w14:textId="77777777" w:rsidR="00F73792" w:rsidRDefault="00F73792" w:rsidP="00E37B74">
      <w:pPr>
        <w:adjustRightInd/>
        <w:spacing w:after="60" w:line="360" w:lineRule="auto"/>
        <w:ind w:left="0"/>
        <w:rPr>
          <w:rFonts w:ascii="Arial" w:eastAsia="Times New Roman" w:hAnsi="Arial" w:cs="Arial"/>
          <w:bCs/>
          <w:i/>
          <w:iCs/>
          <w:color w:val="FF0000"/>
          <w:sz w:val="22"/>
          <w:szCs w:val="22"/>
        </w:rPr>
      </w:pPr>
    </w:p>
    <w:p w14:paraId="15D60555" w14:textId="73694198" w:rsidR="004D3C94" w:rsidRPr="00991597" w:rsidRDefault="00802888" w:rsidP="00991597">
      <w:pPr>
        <w:adjustRightInd/>
        <w:spacing w:after="60" w:line="360" w:lineRule="auto"/>
        <w:ind w:left="0"/>
        <w:rPr>
          <w:rFonts w:ascii="Arial" w:eastAsia="Times New Roman" w:hAnsi="Arial" w:cs="Arial"/>
          <w:b/>
          <w:bCs/>
          <w:color w:val="000000" w:themeColor="text1"/>
        </w:rPr>
      </w:pPr>
      <w:r>
        <w:rPr>
          <w:rFonts w:ascii="Arial" w:eastAsia="Times New Roman" w:hAnsi="Arial" w:cs="Arial"/>
          <w:b/>
          <w:i/>
          <w:iCs/>
          <w:color w:val="000000" w:themeColor="text1"/>
          <w:sz w:val="22"/>
          <w:szCs w:val="22"/>
        </w:rPr>
        <w:br w:type="column"/>
      </w:r>
      <w:r w:rsidR="001F4C07">
        <w:rPr>
          <w:rFonts w:ascii="Arial" w:eastAsia="Times New Roman" w:hAnsi="Arial" w:cs="Arial"/>
          <w:b/>
          <w:bCs/>
          <w:color w:val="000000" w:themeColor="text1"/>
        </w:rPr>
        <w:lastRenderedPageBreak/>
        <w:t>SUPPLEMENTAL FIGURES</w:t>
      </w:r>
    </w:p>
    <w:p w14:paraId="604E746F" w14:textId="77777777" w:rsidR="001441E4" w:rsidRDefault="001441E4">
      <w:pPr>
        <w:adjustRightInd/>
        <w:ind w:left="0"/>
        <w:jc w:val="left"/>
        <w:rPr>
          <w:rFonts w:ascii="Arial" w:hAnsi="Arial" w:cs="Arial"/>
          <w:noProof/>
          <w:sz w:val="22"/>
          <w:szCs w:val="22"/>
        </w:rPr>
      </w:pPr>
    </w:p>
    <w:p w14:paraId="1FF8E99C" w14:textId="6CE7CC86" w:rsidR="001441E4" w:rsidRDefault="00E16945" w:rsidP="00F24BD8">
      <w:pPr>
        <w:adjustRightInd/>
        <w:spacing w:line="360" w:lineRule="auto"/>
        <w:ind w:left="0"/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eastAsia="Times New Roman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139E2EF0" wp14:editId="6557A14F">
            <wp:extent cx="5759986" cy="4598504"/>
            <wp:effectExtent l="0" t="0" r="0" b="0"/>
            <wp:docPr id="834270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70111" name="Picture 83427011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7" b="41384"/>
                    <a:stretch/>
                  </pic:blipFill>
                  <pic:spPr bwMode="auto">
                    <a:xfrm>
                      <a:off x="0" y="0"/>
                      <a:ext cx="5760085" cy="4598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4855A" w14:textId="5495909B" w:rsidR="004D3C94" w:rsidRPr="001F4C07" w:rsidRDefault="001F4C07" w:rsidP="00F24BD8">
      <w:pPr>
        <w:adjustRightInd/>
        <w:spacing w:line="360" w:lineRule="auto"/>
        <w:ind w:left="0"/>
        <w:rPr>
          <w:rFonts w:ascii="Arial" w:eastAsia="Times New Roman" w:hAnsi="Arial" w:cs="Arial"/>
          <w:color w:val="000000" w:themeColor="text1"/>
          <w:sz w:val="22"/>
          <w:szCs w:val="22"/>
        </w:rPr>
      </w:pPr>
      <w:r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Figure </w:t>
      </w:r>
      <w:r w:rsidR="004D3C94" w:rsidRPr="00F24BD8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 </w:t>
      </w:r>
      <w:r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>S</w:t>
      </w:r>
      <w:r w:rsidR="004D3C94" w:rsidRPr="00F24BD8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1. Aging clocks in-vitro and in-vivo. </w:t>
      </w:r>
      <w:r w:rsidR="005A2B3D" w:rsidRPr="005A2B3D">
        <w:rPr>
          <w:rFonts w:ascii="Arial" w:eastAsia="Times New Roman" w:hAnsi="Arial" w:cs="Arial"/>
          <w:color w:val="000000" w:themeColor="text1"/>
          <w:sz w:val="22"/>
          <w:szCs w:val="22"/>
        </w:rPr>
        <w:t>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a</w:t>
      </w:r>
      <w:r w:rsidR="005A2B3D" w:rsidRPr="005A2B3D">
        <w:rPr>
          <w:rFonts w:ascii="Arial" w:eastAsia="Times New Roman" w:hAnsi="Arial" w:cs="Arial"/>
          <w:color w:val="000000" w:themeColor="text1"/>
          <w:sz w:val="22"/>
          <w:szCs w:val="22"/>
        </w:rPr>
        <w:t>) Overview of starting fibroblasts.</w:t>
      </w:r>
      <w:r w:rsidR="005A2B3D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 </w:t>
      </w:r>
      <w:r w:rsidR="004D3C94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b-d</w:t>
      </w:r>
      <w:r w:rsidR="004D3C94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)</w:t>
      </w:r>
      <w:r w:rsidR="004D3C94" w:rsidRPr="00F24BD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="005515CB" w:rsidRPr="00F24BD8">
        <w:rPr>
          <w:rFonts w:ascii="Arial" w:hAnsi="Arial" w:cs="Arial"/>
          <w:color w:val="000000" w:themeColor="text1"/>
          <w:sz w:val="22"/>
          <w:szCs w:val="22"/>
        </w:rPr>
        <w:t>DNAm</w:t>
      </w:r>
      <w:proofErr w:type="spellEnd"/>
      <w:r w:rsidR="005515CB" w:rsidRPr="00F24BD8">
        <w:rPr>
          <w:rFonts w:ascii="Arial" w:hAnsi="Arial" w:cs="Arial"/>
          <w:color w:val="000000" w:themeColor="text1"/>
          <w:sz w:val="22"/>
          <w:szCs w:val="22"/>
        </w:rPr>
        <w:t xml:space="preserve"> age calculated using </w:t>
      </w:r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Hannum clock and </w:t>
      </w:r>
      <w:proofErr w:type="spellStart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PhenoAge</w:t>
      </w:r>
      <w:proofErr w:type="spellEnd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calculator, as well as transcriptomic age using the RNA Age Calculator – Fibroblast on donors between </w:t>
      </w:r>
      <w:r w:rsidR="00394DAD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0 and 92 years of age (n=22). </w:t>
      </w:r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e</w:t>
      </w:r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) Clock accuracy defined as the difference between estimated age and chronological age for </w:t>
      </w:r>
      <w:proofErr w:type="spellStart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DNAm</w:t>
      </w:r>
      <w:proofErr w:type="spellEnd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and RNA clocks.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f</w:t>
      </w:r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) </w:t>
      </w:r>
      <w:proofErr w:type="spellStart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Blood&amp;Skin</w:t>
      </w:r>
      <w:proofErr w:type="spellEnd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>DNAm</w:t>
      </w:r>
      <w:proofErr w:type="spellEnd"/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Age and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g</w:t>
      </w:r>
      <w:r w:rsidR="005515CB" w:rsidRPr="00F24BD8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) RNA Age Calculator – no tissue for each donor individually of in-vitro aging. Simple Linear Regression was performed to assess slope. </w:t>
      </w:r>
      <w:r w:rsidR="004D3C94" w:rsidRPr="00F24BD8">
        <w:rPr>
          <w:rFonts w:ascii="Arial" w:hAnsi="Arial" w:cs="Arial"/>
          <w:sz w:val="22"/>
          <w:szCs w:val="22"/>
        </w:rPr>
        <w:br w:type="page"/>
      </w:r>
    </w:p>
    <w:p w14:paraId="203B90C7" w14:textId="4A21E9C3" w:rsidR="00094889" w:rsidRDefault="00E16945" w:rsidP="00E37B74">
      <w:pPr>
        <w:spacing w:after="60" w:line="360" w:lineRule="auto"/>
        <w:ind w:left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211B343" wp14:editId="437B1EC1">
            <wp:extent cx="5759966" cy="6076122"/>
            <wp:effectExtent l="0" t="0" r="6350" b="0"/>
            <wp:docPr id="1046241554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241554" name="Picture 3" descr="A screenshot of a computer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4" b="23992"/>
                    <a:stretch/>
                  </pic:blipFill>
                  <pic:spPr bwMode="auto">
                    <a:xfrm>
                      <a:off x="0" y="0"/>
                      <a:ext cx="5760085" cy="6076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86A5D" w14:textId="2CDC66F2" w:rsidR="00D86CE2" w:rsidRPr="00D86CE2" w:rsidRDefault="00D86CE2" w:rsidP="00E37B74">
      <w:pPr>
        <w:spacing w:after="60" w:line="360" w:lineRule="auto"/>
        <w:ind w:left="0"/>
        <w:rPr>
          <w:rFonts w:ascii="Arial" w:hAnsi="Arial" w:cs="Arial"/>
          <w:sz w:val="22"/>
          <w:szCs w:val="22"/>
        </w:rPr>
      </w:pPr>
      <w:r w:rsidRPr="007F7166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>Fig</w:t>
      </w:r>
      <w:r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ure </w:t>
      </w:r>
      <w:r w:rsidR="001F4C07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>S</w:t>
      </w:r>
      <w:r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2. Transcriptomic changes during in-vitro aging. </w:t>
      </w:r>
      <w:r w:rsidRPr="001F4C07">
        <w:rPr>
          <w:rFonts w:ascii="Arial" w:eastAsia="Times New Roman" w:hAnsi="Arial" w:cs="Arial"/>
          <w:color w:val="000000" w:themeColor="text1"/>
          <w:sz w:val="22"/>
          <w:szCs w:val="22"/>
        </w:rPr>
        <w:t>(</w:t>
      </w:r>
      <w:proofErr w:type="spellStart"/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a,b</w:t>
      </w:r>
      <w:proofErr w:type="spellEnd"/>
      <w:r w:rsidRPr="001F4C07">
        <w:rPr>
          <w:rFonts w:ascii="Arial" w:eastAsia="Times New Roman" w:hAnsi="Arial" w:cs="Arial"/>
          <w:color w:val="000000" w:themeColor="text1"/>
          <w:sz w:val="22"/>
          <w:szCs w:val="22"/>
        </w:rPr>
        <w:t>)</w:t>
      </w:r>
      <w:r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 </w:t>
      </w:r>
      <w:r w:rsidRPr="00D86CE2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Comparison of </w:t>
      </w:r>
      <w:r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influence of time on </w:t>
      </w:r>
      <w:r>
        <w:rPr>
          <w:rFonts w:ascii="Arial" w:eastAsia="Times New Roman" w:hAnsi="Arial" w:cs="Arial"/>
          <w:color w:val="222222"/>
          <w:sz w:val="22"/>
          <w:szCs w:val="22"/>
        </w:rPr>
        <w:t>s</w:t>
      </w:r>
      <w:r w:rsidRPr="00D86CE2">
        <w:rPr>
          <w:rFonts w:ascii="Arial" w:eastAsia="Times New Roman" w:hAnsi="Arial" w:cs="Arial"/>
          <w:color w:val="222222"/>
          <w:sz w:val="22"/>
          <w:szCs w:val="22"/>
        </w:rPr>
        <w:t>ignificant and common up- and down-regulated aging genes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 </w:t>
      </w:r>
      <w:r>
        <w:rPr>
          <w:rFonts w:ascii="Arial" w:eastAsia="Times New Roman" w:hAnsi="Arial" w:cs="Arial"/>
          <w:color w:val="000000" w:themeColor="text1"/>
          <w:sz w:val="22"/>
          <w:szCs w:val="22"/>
        </w:rPr>
        <w:t>in in-vitro aging (green, dots, 6 months) and in-vivo aging (grey, regression, 73 years). Simple linear regression was performed to assess slope.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c</w:t>
      </w:r>
      <w:r>
        <w:rPr>
          <w:rFonts w:ascii="Arial" w:eastAsia="Times New Roman" w:hAnsi="Arial" w:cs="Arial"/>
          <w:color w:val="000000" w:themeColor="text1"/>
          <w:sz w:val="22"/>
          <w:szCs w:val="22"/>
        </w:rPr>
        <w:t>) Overlap of significantly correlated genes to in-vitro aging (green) and in-vivo aging (blue).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d</w:t>
      </w:r>
      <w:r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) Average correlation values of gene expression and their promoter methylation contributing to selected overlapping pathways. </w:t>
      </w:r>
    </w:p>
    <w:p w14:paraId="4A433A35" w14:textId="192A59B3" w:rsidR="00F24BD8" w:rsidRPr="00E16945" w:rsidRDefault="00E16945" w:rsidP="00E37B74">
      <w:pPr>
        <w:spacing w:after="60" w:line="360" w:lineRule="auto"/>
        <w:ind w:left="0"/>
        <w:rPr>
          <w:rFonts w:ascii="Arial" w:eastAsia="Times New Roman" w:hAnsi="Arial" w:cs="Arial"/>
          <w:color w:val="000000" w:themeColor="text1"/>
          <w:sz w:val="22"/>
          <w:szCs w:val="22"/>
        </w:rPr>
      </w:pPr>
      <w:r>
        <w:rPr>
          <w:rFonts w:ascii="Arial" w:eastAsia="Times New Roman" w:hAnsi="Arial" w:cs="Arial"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718E280D" wp14:editId="4A47E724">
            <wp:extent cx="5759984" cy="5499652"/>
            <wp:effectExtent l="0" t="0" r="0" b="0"/>
            <wp:docPr id="2004126417" name="Picture 4" descr="A screenshot of a screenshot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126417" name="Picture 4" descr="A screenshot of a screenshot of a chart&#10;&#10;AI-generated content may be incorrect.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9" b="28582"/>
                    <a:stretch/>
                  </pic:blipFill>
                  <pic:spPr bwMode="auto">
                    <a:xfrm>
                      <a:off x="0" y="0"/>
                      <a:ext cx="5760085" cy="5499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F4F16" w14:textId="4E279AD6" w:rsidR="00D86CE2" w:rsidRPr="00D70CBF" w:rsidRDefault="00F24BD8" w:rsidP="00E37B74">
      <w:pPr>
        <w:spacing w:after="60" w:line="360" w:lineRule="auto"/>
        <w:ind w:left="0"/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</w:pPr>
      <w:r w:rsidRPr="00F24BD8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 </w:t>
      </w:r>
      <w:r w:rsidR="00D86CE2" w:rsidRPr="007F7166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>Fig</w:t>
      </w:r>
      <w:r w:rsidR="00D86CE2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ure </w:t>
      </w:r>
      <w:r w:rsidR="001F4C07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>S</w:t>
      </w:r>
      <w:r w:rsidR="00D86CE2"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  <w:t xml:space="preserve">3. Single cell RNA sequencing of in-vitro aging. </w:t>
      </w:r>
      <w:r w:rsidR="00D86CE2" w:rsidRPr="00D86CE2">
        <w:rPr>
          <w:rFonts w:ascii="Arial" w:eastAsia="Times New Roman" w:hAnsi="Arial" w:cs="Arial"/>
          <w:color w:val="000000" w:themeColor="text1"/>
          <w:sz w:val="22"/>
          <w:szCs w:val="22"/>
        </w:rPr>
        <w:t>(</w:t>
      </w:r>
      <w:proofErr w:type="spellStart"/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a,b</w:t>
      </w:r>
      <w:proofErr w:type="spellEnd"/>
      <w:r w:rsidR="00104269">
        <w:rPr>
          <w:rFonts w:ascii="Arial" w:eastAsia="Times New Roman" w:hAnsi="Arial" w:cs="Arial"/>
          <w:color w:val="000000" w:themeColor="text1"/>
          <w:sz w:val="22"/>
          <w:szCs w:val="22"/>
        </w:rPr>
        <w:t>) Cell number and reads per cell for each donor (n=2) at Month 0 and Month 5.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c</w:t>
      </w:r>
      <w:r w:rsidR="00104269">
        <w:rPr>
          <w:rFonts w:ascii="Arial" w:eastAsia="Times New Roman" w:hAnsi="Arial" w:cs="Arial"/>
          <w:color w:val="000000" w:themeColor="text1"/>
          <w:sz w:val="22"/>
          <w:szCs w:val="22"/>
        </w:rPr>
        <w:t>) Proportion of cells contributing to each cluster, showing a clear annotation of each donor at each time-point. Each donor shows a minimal and comparable number of cells in G2M phase.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d-g</w:t>
      </w:r>
      <w:r w:rsidR="00104269">
        <w:rPr>
          <w:rFonts w:ascii="Arial" w:eastAsia="Times New Roman" w:hAnsi="Arial" w:cs="Arial"/>
          <w:color w:val="000000" w:themeColor="text1"/>
          <w:sz w:val="22"/>
          <w:szCs w:val="22"/>
        </w:rPr>
        <w:t>) Score based on genes contributing to RNA Age Calculator – no tissue</w:t>
      </w:r>
      <w:r w:rsidR="00577CA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for each donor. Quartiles were calculated and cells in the lower 50 % were considered young (purple), and cells contributing to the upper 50 % were considered old (green). Pie charts show a quantification of the number of cells contributing to each quartile. </w:t>
      </w:r>
      <w:r w:rsidR="001A5BA5">
        <w:rPr>
          <w:rFonts w:ascii="Arial" w:eastAsia="Times New Roman" w:hAnsi="Arial" w:cs="Arial"/>
          <w:color w:val="000000" w:themeColor="text1"/>
          <w:sz w:val="22"/>
          <w:szCs w:val="22"/>
        </w:rPr>
        <w:t>(</w:t>
      </w:r>
      <w:proofErr w:type="spellStart"/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h,i</w:t>
      </w:r>
      <w:proofErr w:type="spellEnd"/>
      <w:r w:rsidR="001A5BA5">
        <w:rPr>
          <w:rFonts w:ascii="Arial" w:eastAsia="Times New Roman" w:hAnsi="Arial" w:cs="Arial"/>
          <w:color w:val="000000" w:themeColor="text1"/>
          <w:sz w:val="22"/>
          <w:szCs w:val="22"/>
        </w:rPr>
        <w:t>) Heterogeneity of RNA Age Calc and LTA score. Unpaired t-test. (</w:t>
      </w:r>
      <w:r w:rsidR="00E16945">
        <w:rPr>
          <w:rFonts w:ascii="Arial" w:eastAsia="Times New Roman" w:hAnsi="Arial" w:cs="Arial"/>
          <w:color w:val="000000" w:themeColor="text1"/>
          <w:sz w:val="22"/>
          <w:szCs w:val="22"/>
        </w:rPr>
        <w:t>j</w:t>
      </w:r>
      <w:r w:rsidR="001A5BA5">
        <w:rPr>
          <w:rFonts w:ascii="Arial" w:eastAsia="Times New Roman" w:hAnsi="Arial" w:cs="Arial"/>
          <w:color w:val="000000" w:themeColor="text1"/>
          <w:sz w:val="22"/>
          <w:szCs w:val="22"/>
        </w:rPr>
        <w:t>) Changes in Standard Deviation at Month 0 (dark-green/brown, left) and Month 5 (light green/brown, right). Month 0 was normalized to 0.</w:t>
      </w:r>
    </w:p>
    <w:p w14:paraId="658410DB" w14:textId="37DE96FA" w:rsidR="001A5BA5" w:rsidRDefault="00E16945" w:rsidP="00E37B74">
      <w:pPr>
        <w:spacing w:after="60" w:line="360" w:lineRule="auto"/>
        <w:ind w:left="0"/>
        <w:rPr>
          <w:rFonts w:ascii="Arial" w:eastAsia="Times New Roman" w:hAnsi="Arial" w:cs="Arial"/>
          <w:color w:val="000000" w:themeColor="text1"/>
          <w:sz w:val="22"/>
          <w:szCs w:val="22"/>
        </w:rPr>
      </w:pPr>
      <w:r>
        <w:rPr>
          <w:rFonts w:ascii="Arial" w:eastAsia="Times New Roman" w:hAnsi="Arial" w:cs="Arial"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7152B3AF" wp14:editId="571E8E5A">
            <wp:extent cx="5759907" cy="6778487"/>
            <wp:effectExtent l="0" t="0" r="6350" b="3810"/>
            <wp:docPr id="521410746" name="Picture 5" descr="A close-up of a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10746" name="Picture 5" descr="A close-up of a chart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1" b="15780"/>
                    <a:stretch/>
                  </pic:blipFill>
                  <pic:spPr bwMode="auto">
                    <a:xfrm>
                      <a:off x="0" y="0"/>
                      <a:ext cx="5760085" cy="6778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31187" w14:textId="430F52B1" w:rsidR="001A5BA5" w:rsidRPr="00D1450F" w:rsidRDefault="001A5BA5" w:rsidP="001A5BA5">
      <w:pPr>
        <w:adjustRightInd/>
        <w:spacing w:after="60" w:line="360" w:lineRule="auto"/>
        <w:ind w:left="0"/>
        <w:rPr>
          <w:rFonts w:ascii="Arial" w:eastAsia="Times New Roman" w:hAnsi="Arial" w:cs="Arial"/>
          <w:b/>
          <w:color w:val="222222"/>
          <w:sz w:val="22"/>
          <w:szCs w:val="22"/>
        </w:rPr>
      </w:pPr>
      <w:r w:rsidRPr="00A80289">
        <w:rPr>
          <w:rFonts w:ascii="Arial" w:eastAsia="Times New Roman" w:hAnsi="Arial" w:cs="Arial"/>
          <w:b/>
          <w:color w:val="222222"/>
          <w:sz w:val="22"/>
          <w:szCs w:val="22"/>
        </w:rPr>
        <w:t xml:space="preserve">Figure </w:t>
      </w:r>
      <w:r w:rsidR="001F4C07">
        <w:rPr>
          <w:rFonts w:ascii="Arial" w:eastAsia="Times New Roman" w:hAnsi="Arial" w:cs="Arial"/>
          <w:b/>
          <w:color w:val="222222"/>
          <w:sz w:val="22"/>
          <w:szCs w:val="22"/>
        </w:rPr>
        <w:t>S</w:t>
      </w:r>
      <w:r w:rsidRPr="00A80289">
        <w:rPr>
          <w:rFonts w:ascii="Arial" w:eastAsia="Times New Roman" w:hAnsi="Arial" w:cs="Arial"/>
          <w:b/>
          <w:color w:val="222222"/>
          <w:sz w:val="22"/>
          <w:szCs w:val="22"/>
        </w:rPr>
        <w:t>4.</w:t>
      </w:r>
      <w:r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</w:t>
      </w:r>
      <w:r w:rsidRPr="00A80289">
        <w:rPr>
          <w:rFonts w:ascii="Arial" w:eastAsia="Times New Roman" w:hAnsi="Arial" w:cs="Arial"/>
          <w:b/>
          <w:color w:val="222222"/>
          <w:sz w:val="22"/>
          <w:szCs w:val="22"/>
        </w:rPr>
        <w:t>Anti-aging drug Rapamycin showing limited effects on human cell aging</w:t>
      </w:r>
      <w:r>
        <w:rPr>
          <w:rFonts w:ascii="Arial" w:eastAsia="Times New Roman" w:hAnsi="Arial" w:cs="Arial"/>
          <w:bCs/>
          <w:color w:val="222222"/>
          <w:sz w:val="22"/>
          <w:szCs w:val="22"/>
        </w:rPr>
        <w:t xml:space="preserve"> </w:t>
      </w:r>
      <w:r>
        <w:rPr>
          <w:rFonts w:ascii="Arial" w:eastAsia="Times New Roman" w:hAnsi="Arial" w:cs="Arial"/>
          <w:color w:val="222222"/>
          <w:sz w:val="22"/>
          <w:szCs w:val="22"/>
        </w:rPr>
        <w:t>(</w:t>
      </w:r>
      <w:r w:rsidR="00E16945">
        <w:rPr>
          <w:rFonts w:ascii="Arial" w:eastAsia="Times New Roman" w:hAnsi="Arial" w:cs="Arial"/>
          <w:color w:val="222222"/>
          <w:sz w:val="22"/>
          <w:szCs w:val="22"/>
        </w:rPr>
        <w:t>a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) </w:t>
      </w:r>
      <w:proofErr w:type="spellStart"/>
      <w:r>
        <w:rPr>
          <w:rFonts w:ascii="Arial" w:eastAsia="Times New Roman" w:hAnsi="Arial" w:cs="Arial"/>
          <w:color w:val="222222"/>
          <w:sz w:val="22"/>
          <w:szCs w:val="22"/>
        </w:rPr>
        <w:t>DNAm</w:t>
      </w:r>
      <w:proofErr w:type="spellEnd"/>
      <w:r>
        <w:rPr>
          <w:rFonts w:ascii="Arial" w:eastAsia="Times New Roman" w:hAnsi="Arial" w:cs="Arial"/>
          <w:color w:val="222222"/>
          <w:sz w:val="22"/>
          <w:szCs w:val="22"/>
        </w:rPr>
        <w:t xml:space="preserve"> </w:t>
      </w:r>
      <w:proofErr w:type="spellStart"/>
      <w:r>
        <w:rPr>
          <w:rFonts w:ascii="Arial" w:eastAsia="Times New Roman" w:hAnsi="Arial" w:cs="Arial"/>
          <w:color w:val="222222"/>
          <w:sz w:val="22"/>
          <w:szCs w:val="22"/>
        </w:rPr>
        <w:t>Blood&amp;Skin</w:t>
      </w:r>
      <w:proofErr w:type="spellEnd"/>
      <w:r>
        <w:rPr>
          <w:rFonts w:ascii="Arial" w:eastAsia="Times New Roman" w:hAnsi="Arial" w:cs="Arial"/>
          <w:color w:val="222222"/>
          <w:sz w:val="22"/>
          <w:szCs w:val="22"/>
        </w:rPr>
        <w:t xml:space="preserve"> clock in Control (grey), Metformin-treated (red) and Rapamycin-treated (yellow) cultures. Simple linear regression, comparing slopes. (</w:t>
      </w:r>
      <w:r w:rsidR="00E16945">
        <w:rPr>
          <w:rFonts w:ascii="Arial" w:eastAsia="Times New Roman" w:hAnsi="Arial" w:cs="Arial"/>
          <w:color w:val="222222"/>
          <w:sz w:val="22"/>
          <w:szCs w:val="22"/>
        </w:rPr>
        <w:t>b</w:t>
      </w:r>
      <w:r>
        <w:rPr>
          <w:rFonts w:ascii="Arial" w:eastAsia="Times New Roman" w:hAnsi="Arial" w:cs="Arial"/>
          <w:color w:val="222222"/>
          <w:sz w:val="22"/>
          <w:szCs w:val="22"/>
        </w:rPr>
        <w:t>) Slopes and Years aged in-vitro calculated by subtracting the age of Month 0 from Month 6 in Control (grey) and Rapamycin-treated cultures (yellow). (</w:t>
      </w:r>
      <w:r w:rsidR="00E16945">
        <w:rPr>
          <w:rFonts w:ascii="Arial" w:eastAsia="Times New Roman" w:hAnsi="Arial" w:cs="Arial"/>
          <w:color w:val="222222"/>
          <w:sz w:val="22"/>
          <w:szCs w:val="22"/>
        </w:rPr>
        <w:t>c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) RNA Age Calc on Control (grey), Metformin- (red) and Rapamycin- </w:t>
      </w:r>
      <w:r>
        <w:rPr>
          <w:rFonts w:ascii="Arial" w:eastAsia="Times New Roman" w:hAnsi="Arial" w:cs="Arial"/>
          <w:color w:val="222222"/>
          <w:sz w:val="22"/>
          <w:szCs w:val="22"/>
        </w:rPr>
        <w:lastRenderedPageBreak/>
        <w:t>(yellow) treated cultures. Simple linear regression was performed to determine difference of slopes.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 xml:space="preserve"> Violin plots of slopes and Years aged in-vitro, one-way ANOVA.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 (</w:t>
      </w:r>
      <w:r w:rsidR="00E16945">
        <w:rPr>
          <w:rFonts w:ascii="Arial" w:eastAsia="Times New Roman" w:hAnsi="Arial" w:cs="Arial"/>
          <w:color w:val="222222"/>
          <w:sz w:val="22"/>
          <w:szCs w:val="22"/>
        </w:rPr>
        <w:t>d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) Differential expression analysis comparing 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Rapamycin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 and untreated control cultures at Month 6. P-adjusted &lt; 0.05. (</w:t>
      </w:r>
      <w:r w:rsidR="00E16945">
        <w:rPr>
          <w:rFonts w:ascii="Arial" w:eastAsia="Times New Roman" w:hAnsi="Arial" w:cs="Arial"/>
          <w:color w:val="222222"/>
          <w:sz w:val="22"/>
          <w:szCs w:val="22"/>
        </w:rPr>
        <w:t>e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) KEGG pathway analysis of DEGs comparing 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Rapamycin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 and untreated cultures, overlapping with aging pathways from (Fig. 2). Dark-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yellow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 = 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overlapping aging pathways</w:t>
      </w:r>
      <w:r>
        <w:rPr>
          <w:rFonts w:ascii="Arial" w:eastAsia="Times New Roman" w:hAnsi="Arial" w:cs="Arial"/>
          <w:color w:val="222222"/>
          <w:sz w:val="22"/>
          <w:szCs w:val="22"/>
        </w:rPr>
        <w:t>, light-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yellow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 = 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Rapamycin</w:t>
      </w:r>
      <w:r>
        <w:rPr>
          <w:rFonts w:ascii="Arial" w:eastAsia="Times New Roman" w:hAnsi="Arial" w:cs="Arial"/>
          <w:color w:val="222222"/>
          <w:sz w:val="22"/>
          <w:szCs w:val="22"/>
        </w:rPr>
        <w:t>-specific pathways. (</w:t>
      </w:r>
      <w:r w:rsidR="00E16945">
        <w:rPr>
          <w:rFonts w:ascii="Arial" w:eastAsia="Times New Roman" w:hAnsi="Arial" w:cs="Arial"/>
          <w:color w:val="222222"/>
          <w:sz w:val="22"/>
          <w:szCs w:val="22"/>
        </w:rPr>
        <w:t>f</w:t>
      </w:r>
      <w:r>
        <w:rPr>
          <w:rFonts w:ascii="Arial" w:eastAsia="Times New Roman" w:hAnsi="Arial" w:cs="Arial"/>
          <w:color w:val="222222"/>
          <w:sz w:val="22"/>
          <w:szCs w:val="22"/>
        </w:rPr>
        <w:t xml:space="preserve">) Correlation of gene expression changes to the aging process in-vitro in untreated and </w:t>
      </w:r>
      <w:r w:rsidR="008E3D20">
        <w:rPr>
          <w:rFonts w:ascii="Arial" w:eastAsia="Times New Roman" w:hAnsi="Arial" w:cs="Arial"/>
          <w:color w:val="222222"/>
          <w:sz w:val="22"/>
          <w:szCs w:val="22"/>
        </w:rPr>
        <w:t>Rapamycin</w:t>
      </w:r>
      <w:r>
        <w:rPr>
          <w:rFonts w:ascii="Arial" w:eastAsia="Times New Roman" w:hAnsi="Arial" w:cs="Arial"/>
          <w:color w:val="222222"/>
          <w:sz w:val="22"/>
          <w:szCs w:val="22"/>
        </w:rPr>
        <w:t>-treated cultures showing anti-aging effects.</w:t>
      </w:r>
    </w:p>
    <w:p w14:paraId="482251AD" w14:textId="77777777" w:rsidR="001A5BA5" w:rsidRPr="00F24BD8" w:rsidRDefault="001A5BA5" w:rsidP="00E37B74">
      <w:pPr>
        <w:spacing w:after="60" w:line="360" w:lineRule="auto"/>
        <w:ind w:left="0"/>
        <w:rPr>
          <w:rFonts w:ascii="Arial" w:eastAsia="Times New Roman" w:hAnsi="Arial" w:cs="Arial"/>
          <w:b/>
          <w:bCs/>
          <w:color w:val="000000" w:themeColor="text1"/>
          <w:sz w:val="22"/>
          <w:szCs w:val="22"/>
        </w:rPr>
      </w:pPr>
    </w:p>
    <w:sectPr w:rsidR="001A5BA5" w:rsidRPr="00F24BD8" w:rsidSect="00D64C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A98E45" w14:textId="77777777" w:rsidR="00AA3745" w:rsidRDefault="00AA3745" w:rsidP="00E3750B">
      <w:r>
        <w:separator/>
      </w:r>
    </w:p>
  </w:endnote>
  <w:endnote w:type="continuationSeparator" w:id="0">
    <w:p w14:paraId="5A6DB291" w14:textId="77777777" w:rsidR="00AA3745" w:rsidRDefault="00AA3745" w:rsidP="00E375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48D45E" w14:textId="77777777" w:rsidR="00AA3745" w:rsidRDefault="00AA3745" w:rsidP="00E3750B">
      <w:r>
        <w:separator/>
      </w:r>
    </w:p>
  </w:footnote>
  <w:footnote w:type="continuationSeparator" w:id="0">
    <w:p w14:paraId="268DFA23" w14:textId="77777777" w:rsidR="00AA3745" w:rsidRDefault="00AA3745" w:rsidP="00E375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D80C6E"/>
    <w:multiLevelType w:val="hybridMultilevel"/>
    <w:tmpl w:val="1DF0FE8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184A36"/>
    <w:multiLevelType w:val="multilevel"/>
    <w:tmpl w:val="77848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6488876">
    <w:abstractNumId w:val="1"/>
  </w:num>
  <w:num w:numId="2" w16cid:durableId="9486631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2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4604"/>
    <w:rsid w:val="0000158A"/>
    <w:rsid w:val="00007515"/>
    <w:rsid w:val="00013A7E"/>
    <w:rsid w:val="00020D23"/>
    <w:rsid w:val="000222B1"/>
    <w:rsid w:val="00026802"/>
    <w:rsid w:val="000352F2"/>
    <w:rsid w:val="00035ED3"/>
    <w:rsid w:val="00041DE7"/>
    <w:rsid w:val="000437B9"/>
    <w:rsid w:val="00055D58"/>
    <w:rsid w:val="000560BC"/>
    <w:rsid w:val="00066B93"/>
    <w:rsid w:val="00071586"/>
    <w:rsid w:val="00073221"/>
    <w:rsid w:val="00074C22"/>
    <w:rsid w:val="000763B8"/>
    <w:rsid w:val="00087E7C"/>
    <w:rsid w:val="00090700"/>
    <w:rsid w:val="00093346"/>
    <w:rsid w:val="00094889"/>
    <w:rsid w:val="00094FF7"/>
    <w:rsid w:val="000A4800"/>
    <w:rsid w:val="000A7D48"/>
    <w:rsid w:val="000B3724"/>
    <w:rsid w:val="000B6D09"/>
    <w:rsid w:val="000C49CD"/>
    <w:rsid w:val="000C6DDB"/>
    <w:rsid w:val="000D032E"/>
    <w:rsid w:val="000D093B"/>
    <w:rsid w:val="000D1C57"/>
    <w:rsid w:val="000E244D"/>
    <w:rsid w:val="000E27B8"/>
    <w:rsid w:val="000E707B"/>
    <w:rsid w:val="000F109B"/>
    <w:rsid w:val="00101CAE"/>
    <w:rsid w:val="00104269"/>
    <w:rsid w:val="001057C5"/>
    <w:rsid w:val="00107348"/>
    <w:rsid w:val="00107737"/>
    <w:rsid w:val="00113A90"/>
    <w:rsid w:val="001156FB"/>
    <w:rsid w:val="00120267"/>
    <w:rsid w:val="0012339B"/>
    <w:rsid w:val="00123ADE"/>
    <w:rsid w:val="001315F4"/>
    <w:rsid w:val="00131651"/>
    <w:rsid w:val="00135724"/>
    <w:rsid w:val="001441E4"/>
    <w:rsid w:val="001476BF"/>
    <w:rsid w:val="00151052"/>
    <w:rsid w:val="001702AA"/>
    <w:rsid w:val="00173DC5"/>
    <w:rsid w:val="00175061"/>
    <w:rsid w:val="0018356E"/>
    <w:rsid w:val="00191E74"/>
    <w:rsid w:val="00194604"/>
    <w:rsid w:val="00194EC3"/>
    <w:rsid w:val="00195379"/>
    <w:rsid w:val="00196722"/>
    <w:rsid w:val="001A5BA5"/>
    <w:rsid w:val="001B4013"/>
    <w:rsid w:val="001B6F00"/>
    <w:rsid w:val="001C2564"/>
    <w:rsid w:val="001C37C7"/>
    <w:rsid w:val="001C6386"/>
    <w:rsid w:val="001E11B0"/>
    <w:rsid w:val="001E5B60"/>
    <w:rsid w:val="001F1BDD"/>
    <w:rsid w:val="001F4C07"/>
    <w:rsid w:val="001F4C8A"/>
    <w:rsid w:val="001F58A8"/>
    <w:rsid w:val="001F6F61"/>
    <w:rsid w:val="00201FD4"/>
    <w:rsid w:val="00210930"/>
    <w:rsid w:val="00212D97"/>
    <w:rsid w:val="00221B2C"/>
    <w:rsid w:val="002225E0"/>
    <w:rsid w:val="00225E30"/>
    <w:rsid w:val="002327F7"/>
    <w:rsid w:val="002431C2"/>
    <w:rsid w:val="0024612A"/>
    <w:rsid w:val="002465E2"/>
    <w:rsid w:val="00253C85"/>
    <w:rsid w:val="002603D1"/>
    <w:rsid w:val="00261753"/>
    <w:rsid w:val="00262184"/>
    <w:rsid w:val="00264BFB"/>
    <w:rsid w:val="00270EC7"/>
    <w:rsid w:val="00273C7C"/>
    <w:rsid w:val="00275E42"/>
    <w:rsid w:val="00296C3E"/>
    <w:rsid w:val="002A1F89"/>
    <w:rsid w:val="002A2760"/>
    <w:rsid w:val="002A4C62"/>
    <w:rsid w:val="002A6C0F"/>
    <w:rsid w:val="002A6D5E"/>
    <w:rsid w:val="002B263D"/>
    <w:rsid w:val="002B6D5D"/>
    <w:rsid w:val="002C049B"/>
    <w:rsid w:val="002C1BA6"/>
    <w:rsid w:val="002C2177"/>
    <w:rsid w:val="002E0A62"/>
    <w:rsid w:val="002E0C6A"/>
    <w:rsid w:val="002E3281"/>
    <w:rsid w:val="002E6302"/>
    <w:rsid w:val="002F0427"/>
    <w:rsid w:val="002F3626"/>
    <w:rsid w:val="002F5FD2"/>
    <w:rsid w:val="002F6BA8"/>
    <w:rsid w:val="00302ACF"/>
    <w:rsid w:val="0031106A"/>
    <w:rsid w:val="0031221A"/>
    <w:rsid w:val="00324E9E"/>
    <w:rsid w:val="003263B9"/>
    <w:rsid w:val="0033105E"/>
    <w:rsid w:val="00331163"/>
    <w:rsid w:val="003424C8"/>
    <w:rsid w:val="00344455"/>
    <w:rsid w:val="00347128"/>
    <w:rsid w:val="00347660"/>
    <w:rsid w:val="00350E5A"/>
    <w:rsid w:val="003526EC"/>
    <w:rsid w:val="00352BE4"/>
    <w:rsid w:val="00362ED7"/>
    <w:rsid w:val="00363FFA"/>
    <w:rsid w:val="00367347"/>
    <w:rsid w:val="0037072F"/>
    <w:rsid w:val="00373127"/>
    <w:rsid w:val="003734A3"/>
    <w:rsid w:val="00382817"/>
    <w:rsid w:val="00384C8E"/>
    <w:rsid w:val="00391533"/>
    <w:rsid w:val="00391AF3"/>
    <w:rsid w:val="00394964"/>
    <w:rsid w:val="00394DAD"/>
    <w:rsid w:val="003B31CE"/>
    <w:rsid w:val="003B3EF3"/>
    <w:rsid w:val="003B6A68"/>
    <w:rsid w:val="003B794D"/>
    <w:rsid w:val="003B7D72"/>
    <w:rsid w:val="003C0F76"/>
    <w:rsid w:val="003C78ED"/>
    <w:rsid w:val="003D40E5"/>
    <w:rsid w:val="003D45BE"/>
    <w:rsid w:val="003E4549"/>
    <w:rsid w:val="003E6F2D"/>
    <w:rsid w:val="003F22E4"/>
    <w:rsid w:val="003F3041"/>
    <w:rsid w:val="003F561C"/>
    <w:rsid w:val="00400F13"/>
    <w:rsid w:val="0041063F"/>
    <w:rsid w:val="004135FE"/>
    <w:rsid w:val="004158B5"/>
    <w:rsid w:val="00416A8A"/>
    <w:rsid w:val="004262A9"/>
    <w:rsid w:val="004311B5"/>
    <w:rsid w:val="00432854"/>
    <w:rsid w:val="0043746C"/>
    <w:rsid w:val="00444608"/>
    <w:rsid w:val="004452AF"/>
    <w:rsid w:val="00456203"/>
    <w:rsid w:val="00462B26"/>
    <w:rsid w:val="00470AC0"/>
    <w:rsid w:val="004721A8"/>
    <w:rsid w:val="00477ECB"/>
    <w:rsid w:val="00484D61"/>
    <w:rsid w:val="00486C5E"/>
    <w:rsid w:val="00495679"/>
    <w:rsid w:val="00497E56"/>
    <w:rsid w:val="004A0528"/>
    <w:rsid w:val="004A3C59"/>
    <w:rsid w:val="004A69EC"/>
    <w:rsid w:val="004B63AE"/>
    <w:rsid w:val="004C09E5"/>
    <w:rsid w:val="004C4B23"/>
    <w:rsid w:val="004D3C94"/>
    <w:rsid w:val="004D40A8"/>
    <w:rsid w:val="004E3673"/>
    <w:rsid w:val="004F1D35"/>
    <w:rsid w:val="00500B9E"/>
    <w:rsid w:val="00502AC2"/>
    <w:rsid w:val="00502DE9"/>
    <w:rsid w:val="0050568C"/>
    <w:rsid w:val="00505791"/>
    <w:rsid w:val="00506802"/>
    <w:rsid w:val="00506EC4"/>
    <w:rsid w:val="00511701"/>
    <w:rsid w:val="00513DDF"/>
    <w:rsid w:val="005145BF"/>
    <w:rsid w:val="005351C6"/>
    <w:rsid w:val="00535A53"/>
    <w:rsid w:val="0053629A"/>
    <w:rsid w:val="00542CCF"/>
    <w:rsid w:val="005515CB"/>
    <w:rsid w:val="00552BFF"/>
    <w:rsid w:val="005546F0"/>
    <w:rsid w:val="00570E36"/>
    <w:rsid w:val="0057348B"/>
    <w:rsid w:val="0057564F"/>
    <w:rsid w:val="00577CAD"/>
    <w:rsid w:val="0058754D"/>
    <w:rsid w:val="00592FA1"/>
    <w:rsid w:val="005A2B3D"/>
    <w:rsid w:val="005A56AB"/>
    <w:rsid w:val="005A7B12"/>
    <w:rsid w:val="005B524D"/>
    <w:rsid w:val="005C1C54"/>
    <w:rsid w:val="005E0538"/>
    <w:rsid w:val="005F082C"/>
    <w:rsid w:val="005F1896"/>
    <w:rsid w:val="00600309"/>
    <w:rsid w:val="006005DB"/>
    <w:rsid w:val="00601264"/>
    <w:rsid w:val="00603A3B"/>
    <w:rsid w:val="00614E27"/>
    <w:rsid w:val="0062217A"/>
    <w:rsid w:val="006225B4"/>
    <w:rsid w:val="006248D3"/>
    <w:rsid w:val="00627A71"/>
    <w:rsid w:val="006323A4"/>
    <w:rsid w:val="006353BF"/>
    <w:rsid w:val="006377F7"/>
    <w:rsid w:val="00643B2F"/>
    <w:rsid w:val="00644F77"/>
    <w:rsid w:val="00650AA6"/>
    <w:rsid w:val="0065241B"/>
    <w:rsid w:val="00655842"/>
    <w:rsid w:val="00655E1A"/>
    <w:rsid w:val="006658D9"/>
    <w:rsid w:val="006702E3"/>
    <w:rsid w:val="00673489"/>
    <w:rsid w:val="006940EA"/>
    <w:rsid w:val="006A36B2"/>
    <w:rsid w:val="006A3B26"/>
    <w:rsid w:val="006A5615"/>
    <w:rsid w:val="006A6D60"/>
    <w:rsid w:val="006B0431"/>
    <w:rsid w:val="006B4E2B"/>
    <w:rsid w:val="006D053D"/>
    <w:rsid w:val="006D2E4B"/>
    <w:rsid w:val="006E1D41"/>
    <w:rsid w:val="006E521A"/>
    <w:rsid w:val="006E61D0"/>
    <w:rsid w:val="006F1F58"/>
    <w:rsid w:val="006F1FA4"/>
    <w:rsid w:val="006F4CBF"/>
    <w:rsid w:val="006F5CE8"/>
    <w:rsid w:val="006F71B4"/>
    <w:rsid w:val="007007E2"/>
    <w:rsid w:val="00712517"/>
    <w:rsid w:val="0071284F"/>
    <w:rsid w:val="00717C9E"/>
    <w:rsid w:val="00720BC4"/>
    <w:rsid w:val="007308C3"/>
    <w:rsid w:val="00735B3F"/>
    <w:rsid w:val="007373BD"/>
    <w:rsid w:val="00737EA3"/>
    <w:rsid w:val="007437F7"/>
    <w:rsid w:val="0074427D"/>
    <w:rsid w:val="00745FBC"/>
    <w:rsid w:val="00747367"/>
    <w:rsid w:val="007473E4"/>
    <w:rsid w:val="007516F2"/>
    <w:rsid w:val="00753994"/>
    <w:rsid w:val="00755383"/>
    <w:rsid w:val="007567F1"/>
    <w:rsid w:val="00774291"/>
    <w:rsid w:val="007832E0"/>
    <w:rsid w:val="0079056F"/>
    <w:rsid w:val="007B3E7D"/>
    <w:rsid w:val="007B6EC5"/>
    <w:rsid w:val="007D663F"/>
    <w:rsid w:val="007E0038"/>
    <w:rsid w:val="007E0DEC"/>
    <w:rsid w:val="007E2814"/>
    <w:rsid w:val="007F05AC"/>
    <w:rsid w:val="007F122B"/>
    <w:rsid w:val="007F2EED"/>
    <w:rsid w:val="007F7166"/>
    <w:rsid w:val="007F78D7"/>
    <w:rsid w:val="008011C0"/>
    <w:rsid w:val="00801A16"/>
    <w:rsid w:val="00802888"/>
    <w:rsid w:val="00804B3E"/>
    <w:rsid w:val="00823274"/>
    <w:rsid w:val="00823C3B"/>
    <w:rsid w:val="008265FC"/>
    <w:rsid w:val="00826F84"/>
    <w:rsid w:val="008304A5"/>
    <w:rsid w:val="00830F0C"/>
    <w:rsid w:val="0083154E"/>
    <w:rsid w:val="00833899"/>
    <w:rsid w:val="00840516"/>
    <w:rsid w:val="00847B1D"/>
    <w:rsid w:val="008519C6"/>
    <w:rsid w:val="00853BCC"/>
    <w:rsid w:val="008570AC"/>
    <w:rsid w:val="008640AA"/>
    <w:rsid w:val="00867D1D"/>
    <w:rsid w:val="008702B8"/>
    <w:rsid w:val="00873C0A"/>
    <w:rsid w:val="008772FB"/>
    <w:rsid w:val="00882FAD"/>
    <w:rsid w:val="00885F0E"/>
    <w:rsid w:val="0088606B"/>
    <w:rsid w:val="008906A7"/>
    <w:rsid w:val="00892923"/>
    <w:rsid w:val="008930AD"/>
    <w:rsid w:val="008A2BF8"/>
    <w:rsid w:val="008A6AC1"/>
    <w:rsid w:val="008C0488"/>
    <w:rsid w:val="008D0AE4"/>
    <w:rsid w:val="008D2E13"/>
    <w:rsid w:val="008D31EE"/>
    <w:rsid w:val="008D5F7D"/>
    <w:rsid w:val="008D6FFB"/>
    <w:rsid w:val="008E0B41"/>
    <w:rsid w:val="008E3D20"/>
    <w:rsid w:val="00905F75"/>
    <w:rsid w:val="0091521A"/>
    <w:rsid w:val="0091529C"/>
    <w:rsid w:val="00915655"/>
    <w:rsid w:val="00924FB7"/>
    <w:rsid w:val="00925657"/>
    <w:rsid w:val="00933177"/>
    <w:rsid w:val="00933261"/>
    <w:rsid w:val="00933924"/>
    <w:rsid w:val="00934AB2"/>
    <w:rsid w:val="0093516B"/>
    <w:rsid w:val="00940613"/>
    <w:rsid w:val="00945145"/>
    <w:rsid w:val="00951D96"/>
    <w:rsid w:val="00953BEA"/>
    <w:rsid w:val="00953FA2"/>
    <w:rsid w:val="00954107"/>
    <w:rsid w:val="009666C0"/>
    <w:rsid w:val="00966E10"/>
    <w:rsid w:val="009770B6"/>
    <w:rsid w:val="009800BF"/>
    <w:rsid w:val="00981168"/>
    <w:rsid w:val="00983A1F"/>
    <w:rsid w:val="0098521D"/>
    <w:rsid w:val="00986E0B"/>
    <w:rsid w:val="009908D4"/>
    <w:rsid w:val="00991597"/>
    <w:rsid w:val="00991DA2"/>
    <w:rsid w:val="009A1C1A"/>
    <w:rsid w:val="009A2294"/>
    <w:rsid w:val="009A5AAC"/>
    <w:rsid w:val="009B1C7B"/>
    <w:rsid w:val="009B3B87"/>
    <w:rsid w:val="009B67C9"/>
    <w:rsid w:val="009C04ED"/>
    <w:rsid w:val="009C7309"/>
    <w:rsid w:val="009C7461"/>
    <w:rsid w:val="009D0C68"/>
    <w:rsid w:val="009D10F8"/>
    <w:rsid w:val="009D4AD7"/>
    <w:rsid w:val="009D5552"/>
    <w:rsid w:val="009E0927"/>
    <w:rsid w:val="009E48D3"/>
    <w:rsid w:val="009E5D32"/>
    <w:rsid w:val="009F19EC"/>
    <w:rsid w:val="009F1A68"/>
    <w:rsid w:val="00A05F22"/>
    <w:rsid w:val="00A12B24"/>
    <w:rsid w:val="00A24878"/>
    <w:rsid w:val="00A36028"/>
    <w:rsid w:val="00A369D6"/>
    <w:rsid w:val="00A41E72"/>
    <w:rsid w:val="00A42DDD"/>
    <w:rsid w:val="00A43189"/>
    <w:rsid w:val="00A50170"/>
    <w:rsid w:val="00A71AE3"/>
    <w:rsid w:val="00A80289"/>
    <w:rsid w:val="00A8188C"/>
    <w:rsid w:val="00A8746A"/>
    <w:rsid w:val="00A87534"/>
    <w:rsid w:val="00A90525"/>
    <w:rsid w:val="00A91506"/>
    <w:rsid w:val="00A96561"/>
    <w:rsid w:val="00AA1B7D"/>
    <w:rsid w:val="00AA2E9E"/>
    <w:rsid w:val="00AA3745"/>
    <w:rsid w:val="00AA5A32"/>
    <w:rsid w:val="00AB0C5E"/>
    <w:rsid w:val="00AB6291"/>
    <w:rsid w:val="00AB6D78"/>
    <w:rsid w:val="00AC051F"/>
    <w:rsid w:val="00AC26CA"/>
    <w:rsid w:val="00AC3FB5"/>
    <w:rsid w:val="00AC5A95"/>
    <w:rsid w:val="00AD0CE2"/>
    <w:rsid w:val="00AF019F"/>
    <w:rsid w:val="00AF0F49"/>
    <w:rsid w:val="00B1089C"/>
    <w:rsid w:val="00B12352"/>
    <w:rsid w:val="00B14819"/>
    <w:rsid w:val="00B15E2E"/>
    <w:rsid w:val="00B160AF"/>
    <w:rsid w:val="00B166F8"/>
    <w:rsid w:val="00B22ACB"/>
    <w:rsid w:val="00B406ED"/>
    <w:rsid w:val="00B422C2"/>
    <w:rsid w:val="00B4613C"/>
    <w:rsid w:val="00B516D0"/>
    <w:rsid w:val="00B5765A"/>
    <w:rsid w:val="00B577AF"/>
    <w:rsid w:val="00B6098E"/>
    <w:rsid w:val="00B63CCC"/>
    <w:rsid w:val="00B64BB5"/>
    <w:rsid w:val="00B72284"/>
    <w:rsid w:val="00B75296"/>
    <w:rsid w:val="00B811ED"/>
    <w:rsid w:val="00B87972"/>
    <w:rsid w:val="00B97B0D"/>
    <w:rsid w:val="00BA17FF"/>
    <w:rsid w:val="00BB1BEE"/>
    <w:rsid w:val="00BB3206"/>
    <w:rsid w:val="00BB33F8"/>
    <w:rsid w:val="00BC5867"/>
    <w:rsid w:val="00BC7A72"/>
    <w:rsid w:val="00BD1D53"/>
    <w:rsid w:val="00BD3E74"/>
    <w:rsid w:val="00BD7A64"/>
    <w:rsid w:val="00BE16A1"/>
    <w:rsid w:val="00BE1837"/>
    <w:rsid w:val="00BE471E"/>
    <w:rsid w:val="00BE5385"/>
    <w:rsid w:val="00BE7145"/>
    <w:rsid w:val="00BF18D6"/>
    <w:rsid w:val="00C02156"/>
    <w:rsid w:val="00C14E77"/>
    <w:rsid w:val="00C16DDB"/>
    <w:rsid w:val="00C26CC0"/>
    <w:rsid w:val="00C34CF7"/>
    <w:rsid w:val="00C40ED2"/>
    <w:rsid w:val="00C429A9"/>
    <w:rsid w:val="00C46D4F"/>
    <w:rsid w:val="00C54B2E"/>
    <w:rsid w:val="00C564DC"/>
    <w:rsid w:val="00C70A24"/>
    <w:rsid w:val="00C7684E"/>
    <w:rsid w:val="00C76A29"/>
    <w:rsid w:val="00C7701C"/>
    <w:rsid w:val="00C7745E"/>
    <w:rsid w:val="00C8031D"/>
    <w:rsid w:val="00CA5A23"/>
    <w:rsid w:val="00CA7618"/>
    <w:rsid w:val="00CB19D6"/>
    <w:rsid w:val="00CB1F93"/>
    <w:rsid w:val="00CC38AD"/>
    <w:rsid w:val="00CC4250"/>
    <w:rsid w:val="00CC55E3"/>
    <w:rsid w:val="00CC736B"/>
    <w:rsid w:val="00CC77AD"/>
    <w:rsid w:val="00CD0694"/>
    <w:rsid w:val="00CD2918"/>
    <w:rsid w:val="00CE2173"/>
    <w:rsid w:val="00CE444E"/>
    <w:rsid w:val="00CF14EB"/>
    <w:rsid w:val="00CF1D76"/>
    <w:rsid w:val="00CF5474"/>
    <w:rsid w:val="00D03ABF"/>
    <w:rsid w:val="00D077B5"/>
    <w:rsid w:val="00D105C8"/>
    <w:rsid w:val="00D1450F"/>
    <w:rsid w:val="00D25650"/>
    <w:rsid w:val="00D27E9F"/>
    <w:rsid w:val="00D314FC"/>
    <w:rsid w:val="00D33556"/>
    <w:rsid w:val="00D3593A"/>
    <w:rsid w:val="00D3627F"/>
    <w:rsid w:val="00D37B9E"/>
    <w:rsid w:val="00D46265"/>
    <w:rsid w:val="00D506A4"/>
    <w:rsid w:val="00D5110E"/>
    <w:rsid w:val="00D51B7F"/>
    <w:rsid w:val="00D6359B"/>
    <w:rsid w:val="00D63A54"/>
    <w:rsid w:val="00D63FC6"/>
    <w:rsid w:val="00D64C7F"/>
    <w:rsid w:val="00D65F11"/>
    <w:rsid w:val="00D67F8E"/>
    <w:rsid w:val="00D70CBF"/>
    <w:rsid w:val="00D726E1"/>
    <w:rsid w:val="00D74E84"/>
    <w:rsid w:val="00D75C2D"/>
    <w:rsid w:val="00D80A31"/>
    <w:rsid w:val="00D84CD2"/>
    <w:rsid w:val="00D86CE2"/>
    <w:rsid w:val="00D9699B"/>
    <w:rsid w:val="00DA2413"/>
    <w:rsid w:val="00DA3D27"/>
    <w:rsid w:val="00DB4EBC"/>
    <w:rsid w:val="00DB5F04"/>
    <w:rsid w:val="00DB7795"/>
    <w:rsid w:val="00DC121F"/>
    <w:rsid w:val="00DC57ED"/>
    <w:rsid w:val="00DC6C1D"/>
    <w:rsid w:val="00DD13A9"/>
    <w:rsid w:val="00DD2E21"/>
    <w:rsid w:val="00DD4B5B"/>
    <w:rsid w:val="00DD5B72"/>
    <w:rsid w:val="00DD7B1B"/>
    <w:rsid w:val="00DE10AB"/>
    <w:rsid w:val="00DE6B64"/>
    <w:rsid w:val="00DF12F7"/>
    <w:rsid w:val="00E025FF"/>
    <w:rsid w:val="00E02BB1"/>
    <w:rsid w:val="00E05D32"/>
    <w:rsid w:val="00E1409C"/>
    <w:rsid w:val="00E16945"/>
    <w:rsid w:val="00E21638"/>
    <w:rsid w:val="00E22AD6"/>
    <w:rsid w:val="00E30E63"/>
    <w:rsid w:val="00E316F4"/>
    <w:rsid w:val="00E3750B"/>
    <w:rsid w:val="00E37B74"/>
    <w:rsid w:val="00E404CF"/>
    <w:rsid w:val="00E47817"/>
    <w:rsid w:val="00E55CE0"/>
    <w:rsid w:val="00E569CE"/>
    <w:rsid w:val="00E62CDF"/>
    <w:rsid w:val="00E665DC"/>
    <w:rsid w:val="00E71922"/>
    <w:rsid w:val="00E736DD"/>
    <w:rsid w:val="00E83786"/>
    <w:rsid w:val="00E84EC8"/>
    <w:rsid w:val="00EA0D97"/>
    <w:rsid w:val="00EB6F17"/>
    <w:rsid w:val="00EC4631"/>
    <w:rsid w:val="00ED04FA"/>
    <w:rsid w:val="00ED5D70"/>
    <w:rsid w:val="00EE6477"/>
    <w:rsid w:val="00EE6ADB"/>
    <w:rsid w:val="00EF2423"/>
    <w:rsid w:val="00EF4591"/>
    <w:rsid w:val="00EF7D85"/>
    <w:rsid w:val="00F00E31"/>
    <w:rsid w:val="00F01126"/>
    <w:rsid w:val="00F07269"/>
    <w:rsid w:val="00F10A3E"/>
    <w:rsid w:val="00F11219"/>
    <w:rsid w:val="00F20A5F"/>
    <w:rsid w:val="00F24540"/>
    <w:rsid w:val="00F24BD8"/>
    <w:rsid w:val="00F33404"/>
    <w:rsid w:val="00F42934"/>
    <w:rsid w:val="00F4623A"/>
    <w:rsid w:val="00F46D85"/>
    <w:rsid w:val="00F52248"/>
    <w:rsid w:val="00F52AF3"/>
    <w:rsid w:val="00F5445E"/>
    <w:rsid w:val="00F60D5D"/>
    <w:rsid w:val="00F60DF9"/>
    <w:rsid w:val="00F61548"/>
    <w:rsid w:val="00F66BC3"/>
    <w:rsid w:val="00F70070"/>
    <w:rsid w:val="00F73792"/>
    <w:rsid w:val="00F81B65"/>
    <w:rsid w:val="00F82AA8"/>
    <w:rsid w:val="00F9103C"/>
    <w:rsid w:val="00F95270"/>
    <w:rsid w:val="00FA3571"/>
    <w:rsid w:val="00FA5EEB"/>
    <w:rsid w:val="00FA6DCE"/>
    <w:rsid w:val="00FB0285"/>
    <w:rsid w:val="00FB1EAC"/>
    <w:rsid w:val="00FB5148"/>
    <w:rsid w:val="00FC10ED"/>
    <w:rsid w:val="00FC41D6"/>
    <w:rsid w:val="00FD4EE8"/>
    <w:rsid w:val="00FE26D6"/>
    <w:rsid w:val="00FF026C"/>
    <w:rsid w:val="00FF2F6B"/>
    <w:rsid w:val="00FF4118"/>
    <w:rsid w:val="00FF4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C7007D2"/>
  <w15:chartTrackingRefBased/>
  <w15:docId w15:val="{1AC065DF-7E1C-A049-89F1-A18835A5A8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66F8"/>
    <w:pPr>
      <w:adjustRightInd w:val="0"/>
      <w:ind w:left="11520"/>
      <w:jc w:val="both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94604"/>
    <w:pPr>
      <w:adjustRightInd/>
      <w:spacing w:before="100" w:beforeAutospacing="1" w:after="100" w:afterAutospacing="1"/>
      <w:ind w:left="0"/>
      <w:jc w:val="left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94604"/>
    <w:rPr>
      <w:b/>
      <w:bCs/>
    </w:rPr>
  </w:style>
  <w:style w:type="paragraph" w:styleId="ListParagraph">
    <w:name w:val="List Paragraph"/>
    <w:basedOn w:val="Normal"/>
    <w:uiPriority w:val="34"/>
    <w:qFormat/>
    <w:rsid w:val="0019460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1476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476B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476BF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76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76BF"/>
    <w:rPr>
      <w:rFonts w:eastAsiaTheme="minorEastAsia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E3750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750B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E3750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750B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F7379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73792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E025FF"/>
    <w:rPr>
      <w:i/>
      <w:iCs/>
    </w:rPr>
  </w:style>
  <w:style w:type="character" w:customStyle="1" w:styleId="apple-converted-space">
    <w:name w:val="apple-converted-space"/>
    <w:basedOn w:val="DefaultParagraphFont"/>
    <w:rsid w:val="00643B2F"/>
  </w:style>
  <w:style w:type="paragraph" w:styleId="Revision">
    <w:name w:val="Revision"/>
    <w:hidden/>
    <w:uiPriority w:val="99"/>
    <w:semiHidden/>
    <w:rsid w:val="00F9103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35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69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58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09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32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150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227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588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4517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3286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0346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92742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47694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402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0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0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1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mertens@health.ucsd.edu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0" Type="http://schemas.openxmlformats.org/officeDocument/2006/relationships/image" Target="media/image2.tiff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5CE402B-4A0D-374F-93E1-155B729EA4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6</Pages>
  <Words>637</Words>
  <Characters>3634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Larissa</dc:creator>
  <cp:keywords/>
  <dc:description/>
  <cp:lastModifiedBy>Traxler, Larissa</cp:lastModifiedBy>
  <cp:revision>31</cp:revision>
  <dcterms:created xsi:type="dcterms:W3CDTF">2024-12-06T17:54:00Z</dcterms:created>
  <dcterms:modified xsi:type="dcterms:W3CDTF">2025-03-06T18:54:00Z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43742b15-a6d1-37fa-8717-6b649880e86d</vt:lpwstr>
  </property>
  <property fmtid="{D5CDD505-2E9C-101B-9397-08002B2CF9AE}" pid="4" name="Mendeley Citation Style_1">
    <vt:lpwstr>http://www.zotero.org/styles/nature</vt:lpwstr>
  </property>
  <property fmtid="{D5CDD505-2E9C-101B-9397-08002B2CF9AE}" pid="5" name="Mendeley Recent Style Id 0_1">
    <vt:lpwstr>http://www.zotero.org/styles/chicago-no-et-al</vt:lpwstr>
  </property>
  <property fmtid="{D5CDD505-2E9C-101B-9397-08002B2CF9AE}" pid="6" name="Mendeley Recent Style Name 0_1">
    <vt:lpwstr>Chicago Manual of Style 16th edition (author-date, no et al)</vt:lpwstr>
  </property>
  <property fmtid="{D5CDD505-2E9C-101B-9397-08002B2CF9AE}" pid="7" name="Mendeley Recent Style Id 1_1">
    <vt:lpwstr>http://www.zotero.org/styles/harvard-cite-them-right</vt:lpwstr>
  </property>
  <property fmtid="{D5CDD505-2E9C-101B-9397-08002B2CF9AE}" pid="8" name="Mendeley Recent Style Name 1_1">
    <vt:lpwstr>Cite Them Right 10th edition - Harvard</vt:lpwstr>
  </property>
  <property fmtid="{D5CDD505-2E9C-101B-9397-08002B2CF9AE}" pid="9" name="Mendeley Recent Style Id 2_1">
    <vt:lpwstr>http://www.zotero.org/styles/harvard-educational-review</vt:lpwstr>
  </property>
  <property fmtid="{D5CDD505-2E9C-101B-9397-08002B2CF9AE}" pid="10" name="Mendeley Recent Style Name 2_1">
    <vt:lpwstr>Harvard Educational Review</vt:lpwstr>
  </property>
  <property fmtid="{D5CDD505-2E9C-101B-9397-08002B2CF9AE}" pid="11" name="Mendeley Recent Style Id 3_1">
    <vt:lpwstr>http://www.zotero.org/styles/ieee</vt:lpwstr>
  </property>
  <property fmtid="{D5CDD505-2E9C-101B-9397-08002B2CF9AE}" pid="12" name="Mendeley Recent Style Name 3_1">
    <vt:lpwstr>IEEE</vt:lpwstr>
  </property>
  <property fmtid="{D5CDD505-2E9C-101B-9397-08002B2CF9AE}" pid="13" name="Mendeley Recent Style Id 4_1">
    <vt:lpwstr>http://www.zotero.org/styles/modern-language-association</vt:lpwstr>
  </property>
  <property fmtid="{D5CDD505-2E9C-101B-9397-08002B2CF9AE}" pid="14" name="Mendeley Recent Style Name 4_1">
    <vt:lpwstr>Modern Language Association 8th edition</vt:lpwstr>
  </property>
  <property fmtid="{D5CDD505-2E9C-101B-9397-08002B2CF9AE}" pid="15" name="Mendeley Recent Style Id 5_1">
    <vt:lpwstr>http://www.zotero.org/styles/national-library-of-medicine</vt:lpwstr>
  </property>
  <property fmtid="{D5CDD505-2E9C-101B-9397-08002B2CF9AE}" pid="16" name="Mendeley Recent Style Name 5_1">
    <vt:lpwstr>National Library of Medicine</vt:lpwstr>
  </property>
  <property fmtid="{D5CDD505-2E9C-101B-9397-08002B2CF9AE}" pid="17" name="Mendeley Recent Style Id 6_1">
    <vt:lpwstr>http://www.zotero.org/styles/nature</vt:lpwstr>
  </property>
  <property fmtid="{D5CDD505-2E9C-101B-9397-08002B2CF9AE}" pid="18" name="Mendeley Recent Style Name 6_1">
    <vt:lpwstr>Nature</vt:lpwstr>
  </property>
  <property fmtid="{D5CDD505-2E9C-101B-9397-08002B2CF9AE}" pid="19" name="Mendeley Recent Style Id 7_1">
    <vt:lpwstr>http://www.zotero.org/styles/nature-reviews-neurology</vt:lpwstr>
  </property>
  <property fmtid="{D5CDD505-2E9C-101B-9397-08002B2CF9AE}" pid="20" name="Mendeley Recent Style Name 7_1">
    <vt:lpwstr>Nature Reviews Neurology</vt:lpwstr>
  </property>
  <property fmtid="{D5CDD505-2E9C-101B-9397-08002B2CF9AE}" pid="21" name="Mendeley Recent Style Id 8_1">
    <vt:lpwstr>http://www.zotero.org/styles/vancouver</vt:lpwstr>
  </property>
  <property fmtid="{D5CDD505-2E9C-101B-9397-08002B2CF9AE}" pid="22" name="Mendeley Recent Style Name 8_1">
    <vt:lpwstr>Vancouver</vt:lpwstr>
  </property>
  <property fmtid="{D5CDD505-2E9C-101B-9397-08002B2CF9AE}" pid="23" name="Mendeley Recent Style Id 9_1">
    <vt:lpwstr>http://www.zotero.org/styles/vancouver-superscript</vt:lpwstr>
  </property>
  <property fmtid="{D5CDD505-2E9C-101B-9397-08002B2CF9AE}" pid="24" name="Mendeley Recent Style Name 9_1">
    <vt:lpwstr>Vancouver (superscript)</vt:lpwstr>
  </property>
</Properties>
</file>