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C90147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  <w:b/>
          <w:bCs/>
        </w:rPr>
      </w:pPr>
      <w:r w:rsidRPr="009D09C8">
        <w:rPr>
          <w:rFonts w:ascii="Times New Roman" w:hAnsi="Times New Roman" w:cs="Times New Roman"/>
          <w:b/>
          <w:bCs/>
        </w:rPr>
        <w:t>Supplementary Data</w:t>
      </w:r>
    </w:p>
    <w:p w14:paraId="1142D10B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F905F3" wp14:editId="1766126C">
            <wp:extent cx="5387975" cy="2235200"/>
            <wp:effectExtent l="0" t="0" r="0" b="0"/>
            <wp:docPr id="295121446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21446" name="Picture 3" descr="A screenshot of a graph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39"/>
                    <a:stretch/>
                  </pic:blipFill>
                  <pic:spPr bwMode="auto">
                    <a:xfrm>
                      <a:off x="0" y="0"/>
                      <a:ext cx="5387975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5B14" w14:textId="77777777" w:rsidR="00BC3FA7" w:rsidRPr="00D50CAC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  <w:r w:rsidRPr="002F2B9B">
        <w:rPr>
          <w:rFonts w:ascii="Times New Roman" w:hAnsi="Times New Roman" w:cs="Times New Roman"/>
          <w:b/>
          <w:bCs/>
        </w:rPr>
        <w:t>Supplementary Data</w:t>
      </w:r>
      <w:r>
        <w:rPr>
          <w:rFonts w:ascii="Times New Roman" w:hAnsi="Times New Roman" w:cs="Times New Roman"/>
          <w:b/>
          <w:bCs/>
        </w:rPr>
        <w:t xml:space="preserve"> 1</w:t>
      </w:r>
      <w:r w:rsidRPr="002F2B9B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t-SNE visualization of ground truth and SBU colon cancer detection model predictions. Comparing ground truth (left) and model-predicted (right) histological categories in the SBU colon cancer detection model. Clusters for epithelium, stroma, tumor, necrosis, and dysplasia are distinct and consistent, reflecting the model’s high accuracy.</w:t>
      </w:r>
    </w:p>
    <w:p w14:paraId="6464DE10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  <w:b/>
          <w:bCs/>
        </w:rPr>
      </w:pPr>
    </w:p>
    <w:p w14:paraId="0CA7F6D0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1DD763A" wp14:editId="680D635D">
            <wp:extent cx="4864100" cy="7429433"/>
            <wp:effectExtent l="0" t="0" r="0" b="635"/>
            <wp:docPr id="1675878242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78242" name="Picture 2" descr="A screenshot of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804" cy="74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4BBA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Data 2.</w:t>
      </w:r>
      <w:r>
        <w:rPr>
          <w:rFonts w:ascii="Times New Roman" w:hAnsi="Times New Roman" w:cs="Times New Roman"/>
        </w:rPr>
        <w:t xml:space="preserve"> TILs% distribution in TCGA COAD dataset across clinical and pathological subgroups. Boxplots (a-h) display the distribution of TILs% across various subgroups in the TCGA COAD dataset, comparing samples with high and low TILs% with each subgroup. </w:t>
      </w:r>
    </w:p>
    <w:p w14:paraId="79C9E0F4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4A9CDE2" wp14:editId="614C54E8">
            <wp:extent cx="4704462" cy="7185600"/>
            <wp:effectExtent l="0" t="0" r="0" b="3175"/>
            <wp:docPr id="1976185268" name="Picture 1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85268" name="Picture 16" descr="A screenshot of a grap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15" cy="726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EE4B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Data 3. </w:t>
      </w:r>
      <w:r>
        <w:rPr>
          <w:rFonts w:ascii="Times New Roman" w:hAnsi="Times New Roman" w:cs="Times New Roman"/>
        </w:rPr>
        <w:t xml:space="preserve">Comparison of high and low TILs% distribution in UKentucky dataset. Boxplots (a-j) illustrate the distribution of Tils% across AJCC stages, tumor size, tumor content, tumor budding score, and MSI status subgroups. </w:t>
      </w:r>
    </w:p>
    <w:p w14:paraId="210DA49D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8622125" wp14:editId="779E729D">
            <wp:extent cx="5226535" cy="6998235"/>
            <wp:effectExtent l="0" t="0" r="6350" b="0"/>
            <wp:docPr id="149429905" name="Picture 1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9905" name="Picture 17" descr="A screenshot of a graph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6"/>
                    <a:stretch/>
                  </pic:blipFill>
                  <pic:spPr bwMode="auto">
                    <a:xfrm>
                      <a:off x="0" y="0"/>
                      <a:ext cx="5237468" cy="701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0EE0F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Data 4. </w:t>
      </w:r>
      <w:r>
        <w:rPr>
          <w:rFonts w:ascii="Times New Roman" w:hAnsi="Times New Roman" w:cs="Times New Roman"/>
        </w:rPr>
        <w:t xml:space="preserve">Kaplan-Meier curves for OS and PFI by AJCC stages and TILs% in TCGA COAD. a) Kaplan-Meier curves illustrate OS and PFI for individual AJCC stages (I, II, III, and IV), providing a detailed view of survival outcomes by each cancer stage. b) localized stages (I-II) versus metastatic stages (III-IV). c-f) TILs% analyses within individual AJCC stages: OS and PFI stratified by TILs% in each stage. </w:t>
      </w:r>
    </w:p>
    <w:p w14:paraId="3E6972D1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</w:p>
    <w:tbl>
      <w:tblPr>
        <w:tblW w:w="539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3302"/>
        <w:gridCol w:w="2042"/>
        <w:gridCol w:w="23"/>
      </w:tblGrid>
      <w:tr w:rsidR="00BC3FA7" w14:paraId="34AC3FD7" w14:textId="77777777" w:rsidTr="001E621E">
        <w:trPr>
          <w:trHeight w:val="316"/>
          <w:jc w:val="center"/>
        </w:trPr>
        <w:tc>
          <w:tcPr>
            <w:tcW w:w="23" w:type="dxa"/>
            <w:tcBorders>
              <w:top w:val="single" w:sz="2" w:space="0" w:color="auto"/>
              <w:left w:val="single" w:sz="2" w:space="0" w:color="auto"/>
              <w:bottom w:val="nil"/>
            </w:tcBorders>
          </w:tcPr>
          <w:p w14:paraId="6E668CB2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344" w:type="dxa"/>
            <w:gridSpan w:val="2"/>
            <w:tcBorders>
              <w:top w:val="single" w:sz="2" w:space="0" w:color="000000"/>
              <w:bottom w:val="single" w:sz="1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308185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Table 1.   Patient characteristics</w:t>
            </w:r>
          </w:p>
        </w:tc>
        <w:tc>
          <w:tcPr>
            <w:tcW w:w="23" w:type="dxa"/>
            <w:tcBorders>
              <w:top w:val="single" w:sz="2" w:space="0" w:color="auto"/>
              <w:bottom w:val="nil"/>
              <w:right w:val="single" w:sz="2" w:space="0" w:color="auto"/>
            </w:tcBorders>
          </w:tcPr>
          <w:p w14:paraId="32E5CB12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BC3FA7" w14:paraId="38CE9CEF" w14:textId="77777777" w:rsidTr="001E621E">
        <w:trPr>
          <w:trHeight w:val="507"/>
          <w:jc w:val="center"/>
        </w:trPr>
        <w:tc>
          <w:tcPr>
            <w:tcW w:w="23" w:type="dxa"/>
            <w:tcBorders>
              <w:top w:val="nil"/>
              <w:left w:val="single" w:sz="2" w:space="0" w:color="auto"/>
              <w:bottom w:val="nil"/>
            </w:tcBorders>
          </w:tcPr>
          <w:p w14:paraId="4F19EDD3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302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C5A5E0" w14:textId="77777777" w:rsidR="00BC3FA7" w:rsidRDefault="00BC3FA7" w:rsidP="001E621E">
            <w:pPr>
              <w:tabs>
                <w:tab w:val="left" w:pos="1226"/>
              </w:tabs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Characteristics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ab/>
            </w:r>
          </w:p>
        </w:tc>
        <w:tc>
          <w:tcPr>
            <w:tcW w:w="2042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793D45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TCGA COAD </w:t>
            </w:r>
          </w:p>
          <w:p w14:paraId="2B305111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N=347</w:t>
            </w:r>
          </w:p>
        </w:tc>
        <w:tc>
          <w:tcPr>
            <w:tcW w:w="23" w:type="dxa"/>
            <w:tcBorders>
              <w:top w:val="nil"/>
              <w:bottom w:val="nil"/>
              <w:right w:val="single" w:sz="2" w:space="0" w:color="auto"/>
            </w:tcBorders>
          </w:tcPr>
          <w:p w14:paraId="77A2BA36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BC3FA7" w14:paraId="5A0D47E1" w14:textId="77777777" w:rsidTr="001E621E">
        <w:trPr>
          <w:trHeight w:hRule="exact" w:val="382"/>
          <w:jc w:val="center"/>
        </w:trPr>
        <w:tc>
          <w:tcPr>
            <w:tcW w:w="23" w:type="dxa"/>
            <w:tcBorders>
              <w:top w:val="nil"/>
              <w:left w:val="single" w:sz="2" w:space="0" w:color="auto"/>
              <w:bottom w:val="nil"/>
            </w:tcBorders>
          </w:tcPr>
          <w:p w14:paraId="69674547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302" w:type="dxa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D9A76F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Immune subtypes</w:t>
            </w:r>
          </w:p>
        </w:tc>
        <w:tc>
          <w:tcPr>
            <w:tcW w:w="2042" w:type="dxa"/>
            <w:tcBorders>
              <w:top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F923B7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3" w:type="dxa"/>
            <w:tcBorders>
              <w:top w:val="nil"/>
              <w:bottom w:val="nil"/>
              <w:right w:val="single" w:sz="2" w:space="0" w:color="auto"/>
            </w:tcBorders>
          </w:tcPr>
          <w:p w14:paraId="09DC0DE2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C3FA7" w14:paraId="14A54777" w14:textId="77777777" w:rsidTr="001E621E">
        <w:trPr>
          <w:trHeight w:hRule="exact" w:val="288"/>
          <w:jc w:val="center"/>
        </w:trPr>
        <w:tc>
          <w:tcPr>
            <w:tcW w:w="23" w:type="dxa"/>
            <w:tcBorders>
              <w:top w:val="nil"/>
              <w:left w:val="single" w:sz="2" w:space="0" w:color="auto"/>
              <w:bottom w:val="nil"/>
            </w:tcBorders>
          </w:tcPr>
          <w:p w14:paraId="4A8B6618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3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D87B03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    C1</w:t>
            </w:r>
          </w:p>
        </w:tc>
        <w:tc>
          <w:tcPr>
            <w:tcW w:w="20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F40930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249 (71.8%)</w:t>
            </w:r>
          </w:p>
        </w:tc>
        <w:tc>
          <w:tcPr>
            <w:tcW w:w="23" w:type="dxa"/>
            <w:tcBorders>
              <w:top w:val="nil"/>
              <w:bottom w:val="nil"/>
              <w:right w:val="single" w:sz="2" w:space="0" w:color="auto"/>
            </w:tcBorders>
          </w:tcPr>
          <w:p w14:paraId="0C11743F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C3FA7" w14:paraId="42EF1C3A" w14:textId="77777777" w:rsidTr="001E621E">
        <w:trPr>
          <w:trHeight w:hRule="exact" w:val="288"/>
          <w:jc w:val="center"/>
        </w:trPr>
        <w:tc>
          <w:tcPr>
            <w:tcW w:w="23" w:type="dxa"/>
            <w:tcBorders>
              <w:top w:val="nil"/>
              <w:left w:val="single" w:sz="2" w:space="0" w:color="auto"/>
              <w:bottom w:val="nil"/>
            </w:tcBorders>
          </w:tcPr>
          <w:p w14:paraId="23B36B03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3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1D1035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    C2</w:t>
            </w:r>
          </w:p>
        </w:tc>
        <w:tc>
          <w:tcPr>
            <w:tcW w:w="20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038AFC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69 (19.9%)</w:t>
            </w:r>
          </w:p>
        </w:tc>
        <w:tc>
          <w:tcPr>
            <w:tcW w:w="23" w:type="dxa"/>
            <w:tcBorders>
              <w:top w:val="nil"/>
              <w:bottom w:val="nil"/>
              <w:right w:val="single" w:sz="2" w:space="0" w:color="auto"/>
            </w:tcBorders>
          </w:tcPr>
          <w:p w14:paraId="1DF7B533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C3FA7" w14:paraId="53EE13E8" w14:textId="77777777" w:rsidTr="001E621E">
        <w:trPr>
          <w:trHeight w:hRule="exact" w:val="288"/>
          <w:jc w:val="center"/>
        </w:trPr>
        <w:tc>
          <w:tcPr>
            <w:tcW w:w="23" w:type="dxa"/>
            <w:tcBorders>
              <w:top w:val="nil"/>
              <w:left w:val="single" w:sz="2" w:space="0" w:color="auto"/>
              <w:bottom w:val="nil"/>
            </w:tcBorders>
          </w:tcPr>
          <w:p w14:paraId="6A1AA779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3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97B4F6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    C3</w:t>
            </w:r>
          </w:p>
        </w:tc>
        <w:tc>
          <w:tcPr>
            <w:tcW w:w="20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05F957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(2.3%)</w:t>
            </w:r>
          </w:p>
        </w:tc>
        <w:tc>
          <w:tcPr>
            <w:tcW w:w="23" w:type="dxa"/>
            <w:tcBorders>
              <w:top w:val="nil"/>
              <w:bottom w:val="nil"/>
              <w:right w:val="single" w:sz="2" w:space="0" w:color="auto"/>
            </w:tcBorders>
          </w:tcPr>
          <w:p w14:paraId="4E3B4C61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C3FA7" w14:paraId="58EEDC66" w14:textId="77777777" w:rsidTr="001E621E">
        <w:trPr>
          <w:trHeight w:hRule="exact" w:val="288"/>
          <w:jc w:val="center"/>
        </w:trPr>
        <w:tc>
          <w:tcPr>
            <w:tcW w:w="23" w:type="dxa"/>
            <w:tcBorders>
              <w:top w:val="nil"/>
              <w:left w:val="single" w:sz="2" w:space="0" w:color="auto"/>
              <w:bottom w:val="nil"/>
            </w:tcBorders>
          </w:tcPr>
          <w:p w14:paraId="6F7E8FFB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3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66952E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    C4</w:t>
            </w:r>
          </w:p>
        </w:tc>
        <w:tc>
          <w:tcPr>
            <w:tcW w:w="20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75EF70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 (2.0%)</w:t>
            </w:r>
          </w:p>
        </w:tc>
        <w:tc>
          <w:tcPr>
            <w:tcW w:w="23" w:type="dxa"/>
            <w:tcBorders>
              <w:top w:val="nil"/>
              <w:bottom w:val="nil"/>
              <w:right w:val="single" w:sz="2" w:space="0" w:color="auto"/>
            </w:tcBorders>
          </w:tcPr>
          <w:p w14:paraId="666F5A7A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C3FA7" w14:paraId="4F133AAB" w14:textId="77777777" w:rsidTr="001E621E">
        <w:trPr>
          <w:trHeight w:hRule="exact" w:val="288"/>
          <w:jc w:val="center"/>
        </w:trPr>
        <w:tc>
          <w:tcPr>
            <w:tcW w:w="23" w:type="dxa"/>
            <w:tcBorders>
              <w:top w:val="nil"/>
              <w:left w:val="single" w:sz="2" w:space="0" w:color="auto"/>
              <w:bottom w:val="nil"/>
            </w:tcBorders>
          </w:tcPr>
          <w:p w14:paraId="5E8A2C57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3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D3E609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    C5</w:t>
            </w:r>
          </w:p>
        </w:tc>
        <w:tc>
          <w:tcPr>
            <w:tcW w:w="20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2CDEB4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</w:t>
            </w:r>
          </w:p>
        </w:tc>
        <w:tc>
          <w:tcPr>
            <w:tcW w:w="23" w:type="dxa"/>
            <w:tcBorders>
              <w:top w:val="nil"/>
              <w:bottom w:val="nil"/>
              <w:right w:val="single" w:sz="2" w:space="0" w:color="auto"/>
            </w:tcBorders>
          </w:tcPr>
          <w:p w14:paraId="1D688DC3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C3FA7" w14:paraId="29637955" w14:textId="77777777" w:rsidTr="001E621E">
        <w:trPr>
          <w:trHeight w:hRule="exact" w:val="288"/>
          <w:jc w:val="center"/>
        </w:trPr>
        <w:tc>
          <w:tcPr>
            <w:tcW w:w="23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14:paraId="2FBEA13E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3C8950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    C6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6C87F9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 (0.6%)</w:t>
            </w:r>
          </w:p>
        </w:tc>
        <w:tc>
          <w:tcPr>
            <w:tcW w:w="23" w:type="dxa"/>
            <w:tcBorders>
              <w:top w:val="nil"/>
              <w:bottom w:val="single" w:sz="4" w:space="0" w:color="auto"/>
              <w:right w:val="single" w:sz="2" w:space="0" w:color="auto"/>
            </w:tcBorders>
          </w:tcPr>
          <w:p w14:paraId="2EA920FE" w14:textId="77777777" w:rsidR="00BC3FA7" w:rsidRDefault="00BC3FA7" w:rsidP="001E621E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14:paraId="6832692D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Data 5.</w:t>
      </w:r>
      <w:r w:rsidRPr="004201F1">
        <w:rPr>
          <w:rFonts w:ascii="Times New Roman" w:hAnsi="Times New Roman" w:cs="Times New Roman"/>
        </w:rPr>
        <w:t xml:space="preserve"> Demographics and clinicopathologic features of TCGA COAD dataset. </w:t>
      </w:r>
      <w:r w:rsidRPr="00885520">
        <w:rPr>
          <w:rFonts w:ascii="Times New Roman" w:hAnsi="Times New Roman" w:cs="Times New Roman"/>
        </w:rPr>
        <w:t>C1 is characterized by a wound-healing phenotype, C2 exhibits an IFN-γ dominant profile, C3 represents an inflammatory subtype, C4 is defined by lymphocyte depletion, C5 is classified as immunologically quiet, and C6 is dominated by TGF-β signaling.</w:t>
      </w:r>
    </w:p>
    <w:p w14:paraId="01198024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</w:p>
    <w:p w14:paraId="50E15039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</w:p>
    <w:p w14:paraId="2A2C7436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</w:p>
    <w:p w14:paraId="04F75E9D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</w:p>
    <w:p w14:paraId="348D48B8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</w:p>
    <w:p w14:paraId="2B2B92D0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</w:p>
    <w:p w14:paraId="41ABF27B" w14:textId="77777777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5A79EB">
        <w:rPr>
          <w:noProof/>
        </w:rPr>
        <w:lastRenderedPageBreak/>
        <w:t xml:space="preserve"> </w:t>
      </w:r>
      <w:r w:rsidRPr="005A79EB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961B336" wp14:editId="5424E9EB">
            <wp:extent cx="5386705" cy="6031149"/>
            <wp:effectExtent l="0" t="0" r="0" b="1905"/>
            <wp:docPr id="86343336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33366" name="Picture 1" descr="A screenshot of a graph&#10;&#10;Description automatically generated"/>
                    <pic:cNvPicPr/>
                  </pic:nvPicPr>
                  <pic:blipFill rotWithShape="1">
                    <a:blip r:embed="rId8"/>
                    <a:srcRect b="26714"/>
                    <a:stretch/>
                  </pic:blipFill>
                  <pic:spPr bwMode="auto">
                    <a:xfrm>
                      <a:off x="0" y="0"/>
                      <a:ext cx="5386705" cy="603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22602" w14:textId="40D5ED69" w:rsidR="00BC3FA7" w:rsidRDefault="00BC3FA7" w:rsidP="00BC3FA7">
      <w:pPr>
        <w:adjustRightInd w:val="0"/>
        <w:snapToGrid w:val="0"/>
        <w:spacing w:before="100" w:beforeAutospacing="1" w:after="0" w:line="240" w:lineRule="auto"/>
        <w:contextualSpacing/>
        <w:rPr>
          <w:rFonts w:ascii="Times New Roman" w:hAnsi="Times New Roman" w:cs="Times New Roman"/>
        </w:rPr>
      </w:pPr>
      <w:r w:rsidRPr="00BC3FA7">
        <w:rPr>
          <w:rFonts w:ascii="Times New Roman" w:hAnsi="Times New Roman" w:cs="Times New Roman"/>
          <w:b/>
          <w:bCs/>
        </w:rPr>
        <w:t xml:space="preserve">Supplementary Data </w:t>
      </w:r>
      <w:r w:rsidR="00864C8C">
        <w:rPr>
          <w:rFonts w:ascii="Times New Roman" w:hAnsi="Times New Roman" w:cs="Times New Roman"/>
          <w:b/>
          <w:bCs/>
        </w:rPr>
        <w:t>6</w:t>
      </w:r>
      <w:r w:rsidRPr="00BC3FA7">
        <w:rPr>
          <w:rFonts w:ascii="Times New Roman" w:hAnsi="Times New Roman" w:cs="Times New Roman"/>
          <w:b/>
          <w:bCs/>
        </w:rPr>
        <w:t xml:space="preserve">. </w:t>
      </w:r>
      <w:r w:rsidRPr="00BC3FA7">
        <w:rPr>
          <w:rFonts w:ascii="Times New Roman" w:hAnsi="Times New Roman" w:cs="Times New Roman"/>
        </w:rPr>
        <w:t>Kaplan-Meier survival curves showing survival probability by AJCC stages and TILs% across stages in UK dataset. a) OS by AJCC stages I, II, III, and IV. b) OS grouped as stages I-II versus III-IV. c-f) OS within each AJCC stage (I-IV) based on high vs. low TILs%.</w:t>
      </w:r>
    </w:p>
    <w:p w14:paraId="4E6AB83B" w14:textId="77777777" w:rsidR="00FD673A" w:rsidRDefault="00FD673A"/>
    <w:sectPr w:rsidR="00FD6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FA7"/>
    <w:rsid w:val="00055E91"/>
    <w:rsid w:val="00225F0B"/>
    <w:rsid w:val="002323A9"/>
    <w:rsid w:val="00232509"/>
    <w:rsid w:val="004238DF"/>
    <w:rsid w:val="005A4193"/>
    <w:rsid w:val="006274DE"/>
    <w:rsid w:val="00654B97"/>
    <w:rsid w:val="00702B54"/>
    <w:rsid w:val="00724857"/>
    <w:rsid w:val="007D5F5A"/>
    <w:rsid w:val="008068B6"/>
    <w:rsid w:val="00864C8C"/>
    <w:rsid w:val="008E574D"/>
    <w:rsid w:val="00926AA1"/>
    <w:rsid w:val="00973DA8"/>
    <w:rsid w:val="009A6207"/>
    <w:rsid w:val="00A81510"/>
    <w:rsid w:val="00B600FA"/>
    <w:rsid w:val="00BB778A"/>
    <w:rsid w:val="00BC122B"/>
    <w:rsid w:val="00BC3FA7"/>
    <w:rsid w:val="00BD0AEF"/>
    <w:rsid w:val="00CC6CEB"/>
    <w:rsid w:val="00D033DC"/>
    <w:rsid w:val="00D76E9C"/>
    <w:rsid w:val="00DE1C29"/>
    <w:rsid w:val="00E50CDD"/>
    <w:rsid w:val="00F80F1E"/>
    <w:rsid w:val="00FD673A"/>
    <w:rsid w:val="00F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EDC2E5"/>
  <w15:chartTrackingRefBased/>
  <w15:docId w15:val="{FF531247-7D53-6B49-839D-179A710B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FA7"/>
  </w:style>
  <w:style w:type="paragraph" w:styleId="Heading1">
    <w:name w:val="heading 1"/>
    <w:basedOn w:val="Normal"/>
    <w:next w:val="Normal"/>
    <w:link w:val="Heading1Char"/>
    <w:uiPriority w:val="9"/>
    <w:qFormat/>
    <w:rsid w:val="00BC3F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3F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3F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3F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3F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3F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3F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3F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3F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3F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3F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3F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3F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3F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3F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3F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3F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3F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3F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3F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3F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3F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3F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3F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3F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3F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3F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3F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3F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Yuwei Zhang</dc:creator>
  <cp:keywords/>
  <dc:description/>
  <cp:lastModifiedBy>Yuwei Zhang</cp:lastModifiedBy>
  <cp:revision>2</cp:revision>
  <dcterms:created xsi:type="dcterms:W3CDTF">2025-03-06T03:52:00Z</dcterms:created>
  <dcterms:modified xsi:type="dcterms:W3CDTF">2025-03-06T17:23:00Z</dcterms:modified>
</cp:coreProperties>
</file>