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0465" w:rsidRPr="00AF0465" w:rsidRDefault="00AF0465" w:rsidP="00AF0465">
      <w:pPr>
        <w:spacing w:after="0" w:line="360" w:lineRule="auto"/>
        <w:jc w:val="both"/>
        <w:rPr>
          <w:rFonts w:ascii="Arial" w:eastAsia="Arial" w:hAnsi="Arial" w:cs="Arial"/>
          <w:b/>
          <w:sz w:val="20"/>
          <w:szCs w:val="20"/>
        </w:rPr>
      </w:pPr>
      <w:r w:rsidRPr="00AF0465">
        <w:rPr>
          <w:rFonts w:ascii="Arial" w:eastAsia="Arial" w:hAnsi="Arial" w:cs="Arial"/>
          <w:b/>
          <w:sz w:val="20"/>
          <w:szCs w:val="20"/>
        </w:rPr>
        <w:t>Supplementary Table</w:t>
      </w:r>
      <w:r w:rsidR="000452B7">
        <w:rPr>
          <w:rFonts w:ascii="Arial" w:eastAsia="Arial" w:hAnsi="Arial" w:cs="Arial"/>
          <w:b/>
          <w:sz w:val="20"/>
          <w:szCs w:val="20"/>
        </w:rPr>
        <w:t xml:space="preserve"> 3</w:t>
      </w:r>
      <w:r w:rsidRPr="00AF0465">
        <w:rPr>
          <w:rFonts w:ascii="Arial" w:eastAsia="Arial" w:hAnsi="Arial" w:cs="Arial"/>
          <w:b/>
          <w:sz w:val="20"/>
          <w:szCs w:val="20"/>
        </w:rPr>
        <w:t xml:space="preserve"> </w:t>
      </w:r>
      <w:r w:rsidRPr="00AF0465">
        <w:rPr>
          <w:rFonts w:ascii="Arial" w:eastAsia="Arial" w:hAnsi="Arial" w:cs="Arial"/>
          <w:sz w:val="20"/>
          <w:szCs w:val="20"/>
        </w:rPr>
        <w:t xml:space="preserve">– Summary of the results collectively obtained with Illumina’s panels sequencing (RPIP </w:t>
      </w:r>
      <w:r w:rsidR="006413CE">
        <w:rPr>
          <w:rFonts w:ascii="Arial" w:eastAsia="Arial" w:hAnsi="Arial" w:cs="Arial"/>
          <w:sz w:val="20"/>
          <w:szCs w:val="20"/>
        </w:rPr>
        <w:t xml:space="preserve">and UPIP) analysed with </w:t>
      </w:r>
      <w:proofErr w:type="spellStart"/>
      <w:r w:rsidR="006413CE">
        <w:rPr>
          <w:rFonts w:ascii="Arial" w:eastAsia="Arial" w:hAnsi="Arial" w:cs="Arial"/>
          <w:sz w:val="20"/>
          <w:szCs w:val="20"/>
        </w:rPr>
        <w:t>Explify</w:t>
      </w:r>
      <w:proofErr w:type="spellEnd"/>
      <w:r w:rsidRPr="00AF0465">
        <w:rPr>
          <w:rFonts w:ascii="Arial" w:eastAsia="Arial" w:hAnsi="Arial" w:cs="Arial"/>
          <w:sz w:val="20"/>
          <w:szCs w:val="20"/>
        </w:rPr>
        <w:t xml:space="preserve"> applications (all pathogen groups) and </w:t>
      </w:r>
      <w:proofErr w:type="spellStart"/>
      <w:r w:rsidRPr="00AF0465">
        <w:rPr>
          <w:rFonts w:ascii="Arial" w:eastAsia="Arial" w:hAnsi="Arial" w:cs="Arial"/>
          <w:sz w:val="20"/>
          <w:szCs w:val="20"/>
        </w:rPr>
        <w:t>INSaFLU</w:t>
      </w:r>
      <w:proofErr w:type="spellEnd"/>
      <w:r w:rsidRPr="00AF0465">
        <w:rPr>
          <w:rFonts w:ascii="Arial" w:eastAsia="Arial" w:hAnsi="Arial" w:cs="Arial"/>
          <w:sz w:val="20"/>
          <w:szCs w:val="20"/>
        </w:rPr>
        <w:t xml:space="preserve">-TELEVIR(+) taxonomic classification step (only bacteria and virus). The table shows the number of samples distributed by their nature and the number of pathogens present in each of those categories. The table also indicates their detection, in both absolute counts (“Counts”) and frequency estimate (“%”). In addition, the same detection parameters </w:t>
      </w:r>
      <w:proofErr w:type="gramStart"/>
      <w:r w:rsidRPr="00AF0465">
        <w:rPr>
          <w:rFonts w:ascii="Arial" w:eastAsia="Arial" w:hAnsi="Arial" w:cs="Arial"/>
          <w:sz w:val="20"/>
          <w:szCs w:val="20"/>
        </w:rPr>
        <w:t>are also shown</w:t>
      </w:r>
      <w:proofErr w:type="gramEnd"/>
      <w:r w:rsidRPr="00AF0465">
        <w:rPr>
          <w:rFonts w:ascii="Arial" w:eastAsia="Arial" w:hAnsi="Arial" w:cs="Arial"/>
          <w:sz w:val="20"/>
          <w:szCs w:val="20"/>
        </w:rPr>
        <w:t xml:space="preserve"> according to pathogenic class.</w:t>
      </w:r>
    </w:p>
    <w:p w:rsidR="00AF0465" w:rsidRDefault="00AF0465"/>
    <w:p w:rsidR="00AF0465" w:rsidRDefault="00694786">
      <w:r w:rsidRPr="00694786">
        <w:rPr>
          <w:noProof/>
          <w:lang w:eastAsia="en-GB"/>
        </w:rPr>
        <w:drawing>
          <wp:inline distT="0" distB="0" distL="0" distR="0" wp14:anchorId="397B7587" wp14:editId="195F0EF4">
            <wp:extent cx="8892540" cy="2706370"/>
            <wp:effectExtent l="0" t="0" r="381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8892540" cy="2706370"/>
                    </a:xfrm>
                    <a:prstGeom prst="rect">
                      <a:avLst/>
                    </a:prstGeom>
                  </pic:spPr>
                </pic:pic>
              </a:graphicData>
            </a:graphic>
          </wp:inline>
        </w:drawing>
      </w:r>
    </w:p>
    <w:p w:rsidR="00AF0465" w:rsidRPr="00AC767E" w:rsidRDefault="00AF0465" w:rsidP="00AF0465">
      <w:pPr>
        <w:rPr>
          <w:rFonts w:ascii="Arial" w:eastAsia="Arial" w:hAnsi="Arial" w:cs="Arial"/>
          <w:sz w:val="20"/>
          <w:szCs w:val="20"/>
        </w:rPr>
      </w:pPr>
      <w:r w:rsidRPr="00AC767E">
        <w:rPr>
          <w:rFonts w:ascii="Arial" w:eastAsia="Arial" w:hAnsi="Arial" w:cs="Arial"/>
          <w:sz w:val="20"/>
          <w:szCs w:val="20"/>
          <w:vertAlign w:val="superscript"/>
        </w:rPr>
        <w:t>a</w:t>
      </w:r>
      <w:r w:rsidRPr="00AC767E">
        <w:rPr>
          <w:rFonts w:ascii="Arial" w:eastAsia="Arial" w:hAnsi="Arial" w:cs="Arial"/>
          <w:sz w:val="20"/>
          <w:szCs w:val="20"/>
        </w:rPr>
        <w:t xml:space="preserve"> </w:t>
      </w:r>
      <w:r w:rsidR="00E5144C" w:rsidRPr="00AC767E">
        <w:rPr>
          <w:rFonts w:ascii="Arial" w:eastAsia="Arial" w:hAnsi="Arial" w:cs="Arial"/>
          <w:sz w:val="20"/>
          <w:szCs w:val="20"/>
        </w:rPr>
        <w:t xml:space="preserve">Detection data only acquired through </w:t>
      </w:r>
      <w:proofErr w:type="spellStart"/>
      <w:r w:rsidR="00E5144C" w:rsidRPr="00AF0465">
        <w:rPr>
          <w:rFonts w:ascii="Arial" w:eastAsia="Arial" w:hAnsi="Arial" w:cs="Arial"/>
          <w:sz w:val="20"/>
          <w:szCs w:val="20"/>
        </w:rPr>
        <w:t>Explify</w:t>
      </w:r>
      <w:bookmarkStart w:id="0" w:name="_GoBack"/>
      <w:bookmarkEnd w:id="0"/>
      <w:proofErr w:type="spellEnd"/>
      <w:r w:rsidR="00E5144C">
        <w:rPr>
          <w:rFonts w:ascii="Arial" w:eastAsia="Arial" w:hAnsi="Arial" w:cs="Arial"/>
          <w:sz w:val="20"/>
          <w:szCs w:val="20"/>
        </w:rPr>
        <w:t xml:space="preserve"> analyses</w:t>
      </w:r>
      <w:r w:rsidR="00AC767E">
        <w:rPr>
          <w:rFonts w:ascii="Arial" w:eastAsia="Arial" w:hAnsi="Arial" w:cs="Arial"/>
          <w:sz w:val="20"/>
          <w:szCs w:val="20"/>
        </w:rPr>
        <w:t xml:space="preserve"> and confirmatory mapping</w:t>
      </w:r>
      <w:r w:rsidR="00E5144C">
        <w:rPr>
          <w:rFonts w:ascii="Arial" w:eastAsia="Arial" w:hAnsi="Arial" w:cs="Arial"/>
          <w:sz w:val="20"/>
          <w:szCs w:val="20"/>
        </w:rPr>
        <w:t>.</w:t>
      </w:r>
    </w:p>
    <w:sectPr w:rsidR="00AF0465" w:rsidRPr="00AC767E" w:rsidSect="00AF0465">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465"/>
    <w:rsid w:val="000452B7"/>
    <w:rsid w:val="0018263D"/>
    <w:rsid w:val="002A2C6B"/>
    <w:rsid w:val="006413CE"/>
    <w:rsid w:val="00694786"/>
    <w:rsid w:val="00743B36"/>
    <w:rsid w:val="00AC767E"/>
    <w:rsid w:val="00AF0465"/>
    <w:rsid w:val="00DC679A"/>
    <w:rsid w:val="00E5144C"/>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3267E8-78C2-42BA-BF7C-2AC2D7CDC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F0465"/>
    <w:rPr>
      <w:rFonts w:ascii="Calibri" w:eastAsia="Calibri" w:hAnsi="Calibri" w:cs="Calibri"/>
      <w:lang w:val="en-GB"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arter"/>
    <w:uiPriority w:val="99"/>
    <w:unhideWhenUsed/>
    <w:rsid w:val="00AF0465"/>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rsid w:val="00AF0465"/>
    <w:rPr>
      <w:rFonts w:ascii="Calibri" w:eastAsia="Calibri" w:hAnsi="Calibri" w:cs="Calibri"/>
      <w:sz w:val="20"/>
      <w:szCs w:val="20"/>
      <w:lang w:val="en-GB" w:eastAsia="pt-PT"/>
    </w:rPr>
  </w:style>
  <w:style w:type="character" w:styleId="Refdecomentrio">
    <w:name w:val="annotation reference"/>
    <w:basedOn w:val="Tipodeletrapredefinidodopargrafo"/>
    <w:uiPriority w:val="99"/>
    <w:semiHidden/>
    <w:unhideWhenUsed/>
    <w:rsid w:val="00AF0465"/>
    <w:rPr>
      <w:sz w:val="16"/>
      <w:szCs w:val="16"/>
    </w:rPr>
  </w:style>
  <w:style w:type="paragraph" w:styleId="Textodebalo">
    <w:name w:val="Balloon Text"/>
    <w:basedOn w:val="Normal"/>
    <w:link w:val="TextodebaloCarter"/>
    <w:uiPriority w:val="99"/>
    <w:semiHidden/>
    <w:unhideWhenUsed/>
    <w:rsid w:val="00AF0465"/>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AF0465"/>
    <w:rPr>
      <w:rFonts w:ascii="Segoe UI" w:eastAsia="Calibri" w:hAnsi="Segoe UI" w:cs="Segoe UI"/>
      <w:sz w:val="18"/>
      <w:szCs w:val="18"/>
      <w:lang w:val="en-GB"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99</Words>
  <Characters>569</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INSA</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Ferreira</dc:creator>
  <cp:keywords/>
  <dc:description/>
  <cp:lastModifiedBy>Rita Ferreira</cp:lastModifiedBy>
  <cp:revision>8</cp:revision>
  <dcterms:created xsi:type="dcterms:W3CDTF">2024-12-06T10:25:00Z</dcterms:created>
  <dcterms:modified xsi:type="dcterms:W3CDTF">2025-03-06T16:16:00Z</dcterms:modified>
</cp:coreProperties>
</file>