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3D109"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hint="eastAsia"/>
          <w:b/>
          <w:bCs/>
          <w:sz w:val="24"/>
          <w:szCs w:val="24"/>
        </w:rPr>
        <w:t>SUPPLEMENTARY MATERIALS</w:t>
      </w:r>
    </w:p>
    <w:p w14:paraId="2986EB5C"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37FFFEE4"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hint="eastAsia"/>
          <w:b/>
          <w:bCs/>
          <w:noProof/>
          <w:sz w:val="24"/>
          <w:szCs w:val="24"/>
        </w:rPr>
        <w:drawing>
          <wp:inline distT="0" distB="0" distL="0" distR="0" wp14:anchorId="6BCC32D3" wp14:editId="13C6C51C">
            <wp:extent cx="6645910" cy="3322320"/>
            <wp:effectExtent l="0" t="0" r="2540" b="0"/>
            <wp:docPr id="171469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6942" name="图片 1714694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645910" cy="3322320"/>
                    </a:xfrm>
                    <a:prstGeom prst="rect">
                      <a:avLst/>
                    </a:prstGeom>
                  </pic:spPr>
                </pic:pic>
              </a:graphicData>
            </a:graphic>
          </wp:inline>
        </w:drawing>
      </w:r>
    </w:p>
    <w:p w14:paraId="72E23BD4"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6C1E2D66" w14:textId="77777777" w:rsidR="00EB1977" w:rsidRPr="00586B3D" w:rsidRDefault="00EB1977" w:rsidP="00EB1977">
      <w:pPr>
        <w:spacing w:line="480" w:lineRule="auto"/>
        <w:rPr>
          <w:rFonts w:ascii="Times New Roman" w:hAnsi="Times New Roman" w:cs="Times New Roman"/>
          <w:sz w:val="24"/>
          <w:szCs w:val="24"/>
        </w:rPr>
      </w:pPr>
      <w:r w:rsidRPr="00586B3D">
        <w:rPr>
          <w:rFonts w:ascii="Times New Roman" w:hAnsi="Times New Roman" w:cs="Times New Roman" w:hint="eastAsia"/>
          <w:b/>
          <w:bCs/>
          <w:sz w:val="24"/>
          <w:szCs w:val="24"/>
        </w:rPr>
        <w:t>Supplementary Figure 1</w:t>
      </w:r>
      <w:r w:rsidRPr="00586B3D">
        <w:rPr>
          <w:rFonts w:ascii="Times New Roman" w:hAnsi="Times New Roman" w:cs="Times New Roman" w:hint="eastAsia"/>
          <w:sz w:val="24"/>
          <w:szCs w:val="24"/>
        </w:rPr>
        <w:t>: T</w:t>
      </w:r>
      <w:r w:rsidRPr="00586B3D">
        <w:rPr>
          <w:rFonts w:ascii="Times New Roman" w:hAnsi="Times New Roman" w:cs="Times New Roman"/>
          <w:sz w:val="24"/>
          <w:szCs w:val="24"/>
        </w:rPr>
        <w:t>he</w:t>
      </w:r>
      <w:r w:rsidRPr="00586B3D">
        <w:rPr>
          <w:rFonts w:ascii="Times New Roman" w:hAnsi="Times New Roman" w:cs="Times New Roman" w:hint="eastAsia"/>
          <w:sz w:val="24"/>
          <w:szCs w:val="24"/>
        </w:rPr>
        <w:t xml:space="preserve"> Joinpoint analysis of the ASDR of male infertility from 1990 to 2021</w:t>
      </w:r>
      <w:r w:rsidRPr="00586B3D">
        <w:rPr>
          <w:rFonts w:ascii="Times New Roman" w:hAnsi="Times New Roman" w:cs="Times New Roman"/>
          <w:sz w:val="24"/>
          <w:szCs w:val="24"/>
        </w:rPr>
        <w:t xml:space="preserve"> for global and Asian regions</w:t>
      </w:r>
      <w:r w:rsidRPr="00586B3D">
        <w:rPr>
          <w:rFonts w:ascii="Times New Roman" w:hAnsi="Times New Roman" w:cs="Times New Roman" w:hint="eastAsia"/>
          <w:sz w:val="24"/>
          <w:szCs w:val="24"/>
        </w:rPr>
        <w:t>. (A) Globally. (B) East Asia. (C) Southeast Asia. (D) South Asia. (E) Central Asia. (F) High-income Asia Pacific.</w:t>
      </w:r>
    </w:p>
    <w:p w14:paraId="5CC085C8" w14:textId="77777777" w:rsidR="00EB1977" w:rsidRPr="00586B3D" w:rsidRDefault="00EB1977" w:rsidP="00EB1977">
      <w:pPr>
        <w:spacing w:line="480" w:lineRule="auto"/>
        <w:rPr>
          <w:rFonts w:ascii="Times New Roman" w:hAnsi="Times New Roman" w:cs="Times New Roman"/>
          <w:sz w:val="24"/>
          <w:szCs w:val="24"/>
        </w:rPr>
      </w:pPr>
    </w:p>
    <w:p w14:paraId="60D940DE"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b/>
          <w:bCs/>
          <w:sz w:val="24"/>
          <w:szCs w:val="24"/>
        </w:rPr>
        <w:br w:type="page"/>
      </w:r>
    </w:p>
    <w:p w14:paraId="099A5E1E"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hint="eastAsia"/>
          <w:b/>
          <w:bCs/>
          <w:noProof/>
          <w:sz w:val="24"/>
          <w:szCs w:val="24"/>
        </w:rPr>
        <w:lastRenderedPageBreak/>
        <w:drawing>
          <wp:inline distT="0" distB="0" distL="0" distR="0" wp14:anchorId="4B8491C5" wp14:editId="37D92129">
            <wp:extent cx="6645910" cy="4471035"/>
            <wp:effectExtent l="0" t="0" r="2540" b="5715"/>
            <wp:docPr id="125443147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431474" name="图片 1254431474"/>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45910" cy="4471035"/>
                    </a:xfrm>
                    <a:prstGeom prst="rect">
                      <a:avLst/>
                    </a:prstGeom>
                  </pic:spPr>
                </pic:pic>
              </a:graphicData>
            </a:graphic>
          </wp:inline>
        </w:drawing>
      </w:r>
    </w:p>
    <w:p w14:paraId="021953BC"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20ADF491" w14:textId="77777777" w:rsidR="00EB1977" w:rsidRPr="00586B3D" w:rsidRDefault="00EB1977" w:rsidP="00EB1977">
      <w:pPr>
        <w:spacing w:line="480" w:lineRule="auto"/>
        <w:rPr>
          <w:rFonts w:ascii="Times New Roman" w:hAnsi="Times New Roman" w:cs="Times New Roman"/>
          <w:sz w:val="24"/>
          <w:szCs w:val="24"/>
        </w:rPr>
      </w:pPr>
      <w:r w:rsidRPr="00586B3D">
        <w:rPr>
          <w:rFonts w:ascii="Times New Roman" w:hAnsi="Times New Roman" w:cs="Times New Roman" w:hint="eastAsia"/>
          <w:b/>
          <w:bCs/>
          <w:sz w:val="24"/>
          <w:szCs w:val="24"/>
        </w:rPr>
        <w:t>Supplementary Figure 2</w:t>
      </w:r>
      <w:r w:rsidRPr="00586B3D">
        <w:rPr>
          <w:rFonts w:ascii="Times New Roman" w:hAnsi="Times New Roman" w:cs="Times New Roman" w:hint="eastAsia"/>
          <w:sz w:val="24"/>
          <w:szCs w:val="24"/>
        </w:rPr>
        <w:t>: The association between ASPR and SDI across Asian countries in 2021.</w:t>
      </w:r>
      <w:r w:rsidRPr="00586B3D">
        <w:rPr>
          <w:rFonts w:ascii="Segoe UI" w:hAnsi="Segoe UI" w:cs="Segoe UI"/>
          <w:color w:val="000000"/>
          <w:sz w:val="24"/>
          <w:szCs w:val="24"/>
          <w:shd w:val="clear" w:color="auto" w:fill="F9FAFB"/>
        </w:rPr>
        <w:t xml:space="preserve"> </w:t>
      </w:r>
      <w:r w:rsidRPr="00586B3D">
        <w:rPr>
          <w:rFonts w:ascii="Times New Roman" w:hAnsi="Times New Roman" w:cs="Times New Roman"/>
          <w:sz w:val="24"/>
          <w:szCs w:val="24"/>
        </w:rPr>
        <w:t>The black line is an adaptive correlation curve based on all data points fitted with Loess regression.</w:t>
      </w:r>
    </w:p>
    <w:p w14:paraId="4C8C2B08" w14:textId="77777777" w:rsidR="00EB1977" w:rsidRPr="005421CC" w:rsidRDefault="00EB1977" w:rsidP="00EB1977">
      <w:pPr>
        <w:spacing w:line="480" w:lineRule="auto"/>
        <w:rPr>
          <w:rFonts w:ascii="Times New Roman" w:hAnsi="Times New Roman" w:cs="Times New Roman"/>
          <w:sz w:val="24"/>
          <w:szCs w:val="24"/>
        </w:rPr>
      </w:pPr>
    </w:p>
    <w:p w14:paraId="385B9FE8"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b/>
          <w:bCs/>
          <w:sz w:val="24"/>
          <w:szCs w:val="24"/>
        </w:rPr>
        <w:br w:type="page"/>
      </w:r>
    </w:p>
    <w:p w14:paraId="2E12647E"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12A60E1E"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b/>
          <w:bCs/>
          <w:noProof/>
          <w:sz w:val="24"/>
          <w:szCs w:val="24"/>
        </w:rPr>
        <w:drawing>
          <wp:inline distT="0" distB="0" distL="0" distR="0" wp14:anchorId="1FD9FFA2" wp14:editId="0930A63F">
            <wp:extent cx="6645910" cy="2578735"/>
            <wp:effectExtent l="0" t="0" r="2540" b="0"/>
            <wp:docPr id="1950731973" name="图片 1" descr="图形用户界面, 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731973" name="图片 1" descr="图形用户界面, 图表&#10;&#10;中度可信度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2578735"/>
                    </a:xfrm>
                    <a:prstGeom prst="rect">
                      <a:avLst/>
                    </a:prstGeom>
                  </pic:spPr>
                </pic:pic>
              </a:graphicData>
            </a:graphic>
          </wp:inline>
        </w:drawing>
      </w:r>
    </w:p>
    <w:p w14:paraId="07784E4C" w14:textId="77777777" w:rsidR="00EB1977" w:rsidRPr="00586B3D" w:rsidRDefault="00EB1977" w:rsidP="00EB1977">
      <w:pPr>
        <w:spacing w:line="480" w:lineRule="auto"/>
        <w:rPr>
          <w:rFonts w:ascii="Times New Roman" w:hAnsi="Times New Roman" w:cs="Times New Roman"/>
          <w:sz w:val="24"/>
          <w:szCs w:val="24"/>
        </w:rPr>
      </w:pPr>
    </w:p>
    <w:p w14:paraId="2D607255" w14:textId="77777777" w:rsidR="00EB1977" w:rsidRPr="00586B3D" w:rsidRDefault="00EB1977" w:rsidP="00EB1977">
      <w:pPr>
        <w:spacing w:line="480" w:lineRule="auto"/>
        <w:rPr>
          <w:rFonts w:ascii="Times New Roman" w:hAnsi="Times New Roman" w:cs="Times New Roman"/>
          <w:sz w:val="24"/>
          <w:szCs w:val="24"/>
        </w:rPr>
      </w:pPr>
      <w:r w:rsidRPr="00586B3D">
        <w:rPr>
          <w:rFonts w:ascii="Times New Roman" w:hAnsi="Times New Roman" w:cs="Times New Roman" w:hint="eastAsia"/>
          <w:b/>
          <w:bCs/>
          <w:sz w:val="24"/>
          <w:szCs w:val="24"/>
        </w:rPr>
        <w:t>Supplementary Figure 3</w:t>
      </w:r>
      <w:r w:rsidRPr="00586B3D">
        <w:rPr>
          <w:rFonts w:ascii="Times New Roman" w:hAnsi="Times New Roman" w:cs="Times New Roman" w:hint="eastAsia"/>
          <w:sz w:val="24"/>
          <w:szCs w:val="24"/>
        </w:rPr>
        <w:t>: Frontier analysis of ASDR of male infertility. (A) Frontier analysis based on SDI and ASDR of male infertility from 1990 to 2021. The solid black line represents the frontier, c</w:t>
      </w:r>
      <w:r w:rsidRPr="00586B3D">
        <w:rPr>
          <w:rFonts w:ascii="Times New Roman" w:hAnsi="Times New Roman" w:cs="Times New Roman"/>
          <w:sz w:val="24"/>
          <w:szCs w:val="24"/>
        </w:rPr>
        <w:t xml:space="preserve">ountries are represented by </w:t>
      </w:r>
      <w:r w:rsidRPr="00586B3D">
        <w:rPr>
          <w:rFonts w:ascii="Times New Roman" w:hAnsi="Times New Roman" w:cs="Times New Roman" w:hint="eastAsia"/>
          <w:sz w:val="24"/>
          <w:szCs w:val="24"/>
        </w:rPr>
        <w:t>dots</w:t>
      </w:r>
      <w:r w:rsidRPr="00586B3D">
        <w:rPr>
          <w:rFonts w:ascii="Times New Roman" w:hAnsi="Times New Roman" w:cs="Times New Roman"/>
          <w:sz w:val="24"/>
          <w:szCs w:val="24"/>
        </w:rPr>
        <w:t xml:space="preserve">, </w:t>
      </w:r>
      <w:r w:rsidRPr="00586B3D">
        <w:rPr>
          <w:rFonts w:ascii="Times New Roman" w:hAnsi="Times New Roman" w:cs="Times New Roman" w:hint="eastAsia"/>
          <w:sz w:val="24"/>
          <w:szCs w:val="24"/>
        </w:rPr>
        <w:t xml:space="preserve">the </w:t>
      </w:r>
      <w:r w:rsidRPr="00586B3D">
        <w:rPr>
          <w:rFonts w:ascii="Times New Roman" w:hAnsi="Times New Roman" w:cs="Times New Roman"/>
          <w:sz w:val="24"/>
          <w:szCs w:val="24"/>
        </w:rPr>
        <w:t xml:space="preserve">blue gradient </w:t>
      </w:r>
      <w:r w:rsidRPr="00586B3D">
        <w:rPr>
          <w:rFonts w:ascii="Times New Roman" w:hAnsi="Times New Roman" w:cs="Times New Roman" w:hint="eastAsia"/>
          <w:sz w:val="24"/>
          <w:szCs w:val="24"/>
        </w:rPr>
        <w:t>color represents</w:t>
      </w:r>
      <w:r w:rsidRPr="00586B3D">
        <w:rPr>
          <w:rFonts w:ascii="Times New Roman" w:hAnsi="Times New Roman" w:cs="Times New Roman"/>
          <w:sz w:val="24"/>
          <w:szCs w:val="24"/>
        </w:rPr>
        <w:t xml:space="preserve"> the changing trends from 1990 to 2021.</w:t>
      </w:r>
      <w:r w:rsidRPr="00586B3D">
        <w:rPr>
          <w:rFonts w:ascii="Times New Roman" w:hAnsi="Times New Roman" w:cs="Times New Roman" w:hint="eastAsia"/>
          <w:sz w:val="24"/>
          <w:szCs w:val="24"/>
        </w:rPr>
        <w:t xml:space="preserve"> (B) Frontier analysis based on SDI and ASDR of male infertility in 2021. The solid black line represents the frontier, and the dots represent the countries. The blue dots indicate the upward trend, while the red dots indicate the opposite. The blue font represents the low-SDI countries (SDI&lt;0.5)</w:t>
      </w:r>
      <w:r w:rsidRPr="00586B3D">
        <w:rPr>
          <w:rFonts w:ascii="Times New Roman" w:hAnsi="Times New Roman" w:cs="Times New Roman"/>
          <w:sz w:val="24"/>
          <w:szCs w:val="24"/>
        </w:rPr>
        <w:t xml:space="preserve"> </w:t>
      </w:r>
      <w:r w:rsidRPr="00586B3D">
        <w:rPr>
          <w:rFonts w:ascii="Times New Roman" w:hAnsi="Times New Roman" w:cs="Times New Roman" w:hint="eastAsia"/>
          <w:sz w:val="24"/>
          <w:szCs w:val="24"/>
        </w:rPr>
        <w:t>with</w:t>
      </w:r>
      <w:r w:rsidRPr="00586B3D">
        <w:rPr>
          <w:rFonts w:ascii="Times New Roman" w:hAnsi="Times New Roman" w:cs="Times New Roman"/>
          <w:sz w:val="24"/>
          <w:szCs w:val="24"/>
        </w:rPr>
        <w:t xml:space="preserve"> the smallest effective differences</w:t>
      </w:r>
      <w:r w:rsidRPr="00586B3D">
        <w:rPr>
          <w:rFonts w:ascii="Times New Roman" w:hAnsi="Times New Roman" w:cs="Times New Roman" w:hint="eastAsia"/>
          <w:sz w:val="24"/>
          <w:szCs w:val="24"/>
        </w:rPr>
        <w:t>. The red font represents the high-SDI countries (SDI&gt;0.8) with</w:t>
      </w:r>
      <w:r w:rsidRPr="00586B3D">
        <w:rPr>
          <w:rFonts w:ascii="Times New Roman" w:hAnsi="Times New Roman" w:cs="Times New Roman"/>
          <w:sz w:val="24"/>
          <w:szCs w:val="24"/>
        </w:rPr>
        <w:t xml:space="preserve"> the smallest effective differences</w:t>
      </w:r>
      <w:r w:rsidRPr="00586B3D">
        <w:rPr>
          <w:rFonts w:ascii="Times New Roman" w:hAnsi="Times New Roman" w:cs="Times New Roman" w:hint="eastAsia"/>
          <w:sz w:val="24"/>
          <w:szCs w:val="24"/>
        </w:rPr>
        <w:t>. The black font represents the countries with</w:t>
      </w:r>
      <w:r w:rsidRPr="00586B3D">
        <w:rPr>
          <w:rFonts w:ascii="Times New Roman" w:hAnsi="Times New Roman" w:cs="Times New Roman"/>
          <w:sz w:val="24"/>
          <w:szCs w:val="24"/>
        </w:rPr>
        <w:t xml:space="preserve"> the </w:t>
      </w:r>
      <w:r w:rsidRPr="00586B3D">
        <w:rPr>
          <w:rFonts w:ascii="Times New Roman" w:hAnsi="Times New Roman" w:cs="Times New Roman" w:hint="eastAsia"/>
          <w:sz w:val="24"/>
          <w:szCs w:val="24"/>
        </w:rPr>
        <w:t>larges</w:t>
      </w:r>
      <w:r w:rsidRPr="00586B3D">
        <w:rPr>
          <w:rFonts w:ascii="Times New Roman" w:hAnsi="Times New Roman" w:cs="Times New Roman"/>
          <w:sz w:val="24"/>
          <w:szCs w:val="24"/>
        </w:rPr>
        <w:t>t effective differences</w:t>
      </w:r>
      <w:r w:rsidRPr="00586B3D">
        <w:rPr>
          <w:rFonts w:ascii="Times New Roman" w:hAnsi="Times New Roman" w:cs="Times New Roman" w:hint="eastAsia"/>
          <w:sz w:val="24"/>
          <w:szCs w:val="24"/>
        </w:rPr>
        <w:t>.</w:t>
      </w:r>
    </w:p>
    <w:p w14:paraId="680EED9C" w14:textId="77777777" w:rsidR="00EB1977" w:rsidRPr="005421CC" w:rsidRDefault="00EB1977" w:rsidP="00EB1977">
      <w:pPr>
        <w:widowControl/>
        <w:spacing w:line="480" w:lineRule="auto"/>
        <w:jc w:val="left"/>
        <w:rPr>
          <w:rFonts w:ascii="Times New Roman" w:hAnsi="Times New Roman" w:cs="Times New Roman"/>
          <w:b/>
          <w:bCs/>
          <w:sz w:val="24"/>
          <w:szCs w:val="24"/>
        </w:rPr>
      </w:pPr>
    </w:p>
    <w:p w14:paraId="1FBE657F"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b/>
          <w:bCs/>
          <w:sz w:val="24"/>
          <w:szCs w:val="24"/>
        </w:rPr>
        <w:br w:type="page"/>
      </w:r>
    </w:p>
    <w:p w14:paraId="66487B39"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05AC1B7E" w14:textId="77777777" w:rsidR="00EB1977" w:rsidRPr="00586B3D" w:rsidRDefault="00EB1977" w:rsidP="00EB1977">
      <w:pPr>
        <w:widowControl/>
        <w:spacing w:line="480" w:lineRule="auto"/>
        <w:jc w:val="left"/>
        <w:rPr>
          <w:rFonts w:ascii="Times New Roman" w:hAnsi="Times New Roman" w:cs="Times New Roman"/>
          <w:b/>
          <w:bCs/>
          <w:sz w:val="24"/>
          <w:szCs w:val="24"/>
        </w:rPr>
      </w:pPr>
      <w:r w:rsidRPr="00586B3D">
        <w:rPr>
          <w:rFonts w:ascii="Times New Roman" w:hAnsi="Times New Roman" w:cs="Times New Roman"/>
          <w:b/>
          <w:bCs/>
          <w:noProof/>
          <w:sz w:val="24"/>
          <w:szCs w:val="24"/>
        </w:rPr>
        <w:drawing>
          <wp:inline distT="0" distB="0" distL="0" distR="0" wp14:anchorId="2A6681CD" wp14:editId="398E50D1">
            <wp:extent cx="6645910" cy="4505325"/>
            <wp:effectExtent l="0" t="0" r="2540" b="9525"/>
            <wp:docPr id="724661973" name="图片 2" descr="图形用户界面, 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661973" name="图片 2" descr="图形用户界面, 图表, 折线图&#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4505325"/>
                    </a:xfrm>
                    <a:prstGeom prst="rect">
                      <a:avLst/>
                    </a:prstGeom>
                  </pic:spPr>
                </pic:pic>
              </a:graphicData>
            </a:graphic>
          </wp:inline>
        </w:drawing>
      </w:r>
    </w:p>
    <w:p w14:paraId="36A765D3" w14:textId="77777777" w:rsidR="00EB1977" w:rsidRPr="00586B3D" w:rsidRDefault="00EB1977" w:rsidP="00EB1977">
      <w:pPr>
        <w:widowControl/>
        <w:spacing w:line="480" w:lineRule="auto"/>
        <w:jc w:val="left"/>
        <w:rPr>
          <w:rFonts w:ascii="Times New Roman" w:hAnsi="Times New Roman" w:cs="Times New Roman"/>
          <w:b/>
          <w:bCs/>
          <w:sz w:val="24"/>
          <w:szCs w:val="24"/>
        </w:rPr>
      </w:pPr>
    </w:p>
    <w:p w14:paraId="4EFA1A35" w14:textId="77777777" w:rsidR="00EB1977" w:rsidRPr="00586B3D" w:rsidRDefault="00EB1977" w:rsidP="00EB1977">
      <w:pPr>
        <w:spacing w:line="480" w:lineRule="auto"/>
        <w:rPr>
          <w:rFonts w:ascii="Times New Roman" w:hAnsi="Times New Roman" w:cs="Times New Roman"/>
          <w:sz w:val="24"/>
          <w:szCs w:val="24"/>
        </w:rPr>
      </w:pPr>
      <w:r w:rsidRPr="00586B3D">
        <w:rPr>
          <w:rFonts w:ascii="Times New Roman" w:hAnsi="Times New Roman" w:cs="Times New Roman" w:hint="eastAsia"/>
          <w:b/>
          <w:bCs/>
          <w:sz w:val="24"/>
          <w:szCs w:val="24"/>
        </w:rPr>
        <w:t>Supplementary Figure 4:</w:t>
      </w:r>
      <w:r w:rsidRPr="00586B3D">
        <w:rPr>
          <w:rFonts w:ascii="Times New Roman" w:hAnsi="Times New Roman" w:cs="Times New Roman" w:hint="eastAsia"/>
          <w:sz w:val="24"/>
          <w:szCs w:val="24"/>
        </w:rPr>
        <w:t xml:space="preserve"> Prediction of ASDR of male infertility to 2040. (A) Globally. (B) East Asia. (C) Southeast Asia. (D) South Asia. (E) Central Asia. (F) High-income Asia Pacific. Red lines represent the true trend of male infertility from 1990 to 2021. The yellow dots represent the predicted trend. The yellow shaded regions represent </w:t>
      </w:r>
      <w:r w:rsidRPr="00586B3D">
        <w:rPr>
          <w:rFonts w:ascii="Times New Roman" w:hAnsi="Times New Roman" w:cs="Times New Roman"/>
          <w:sz w:val="24"/>
          <w:szCs w:val="24"/>
        </w:rPr>
        <w:t>95</w:t>
      </w:r>
      <w:r w:rsidRPr="00586B3D">
        <w:rPr>
          <w:rFonts w:ascii="Times New Roman" w:hAnsi="Times New Roman" w:cs="Times New Roman" w:hint="eastAsia"/>
          <w:sz w:val="24"/>
          <w:szCs w:val="24"/>
        </w:rPr>
        <w:t>% CI of the prediction.</w:t>
      </w:r>
    </w:p>
    <w:p w14:paraId="24C2A4C7"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977"/>
    <w:rsid w:val="002978F5"/>
    <w:rsid w:val="003852CF"/>
    <w:rsid w:val="004E780C"/>
    <w:rsid w:val="00AB598A"/>
    <w:rsid w:val="00EB1977"/>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2CD43"/>
  <w15:chartTrackingRefBased/>
  <w15:docId w15:val="{90352A4E-0B41-4830-AB8E-AEC2C7545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977"/>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EB197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B197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B1977"/>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B1977"/>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EB1977"/>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EB1977"/>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EB1977"/>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EB1977"/>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EB1977"/>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19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19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19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19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19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19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19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19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1977"/>
    <w:rPr>
      <w:rFonts w:eastAsiaTheme="majorEastAsia" w:cstheme="majorBidi"/>
      <w:color w:val="272727" w:themeColor="text1" w:themeTint="D8"/>
    </w:rPr>
  </w:style>
  <w:style w:type="paragraph" w:styleId="Title">
    <w:name w:val="Title"/>
    <w:basedOn w:val="Normal"/>
    <w:next w:val="Normal"/>
    <w:link w:val="TitleChar"/>
    <w:uiPriority w:val="10"/>
    <w:qFormat/>
    <w:rsid w:val="00EB1977"/>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B19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1977"/>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EB19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1977"/>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EB1977"/>
    <w:rPr>
      <w:i/>
      <w:iCs/>
      <w:color w:val="404040" w:themeColor="text1" w:themeTint="BF"/>
    </w:rPr>
  </w:style>
  <w:style w:type="paragraph" w:styleId="ListParagraph">
    <w:name w:val="List Paragraph"/>
    <w:basedOn w:val="Normal"/>
    <w:uiPriority w:val="34"/>
    <w:qFormat/>
    <w:rsid w:val="00EB1977"/>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EB1977"/>
    <w:rPr>
      <w:i/>
      <w:iCs/>
      <w:color w:val="0F4761" w:themeColor="accent1" w:themeShade="BF"/>
    </w:rPr>
  </w:style>
  <w:style w:type="paragraph" w:styleId="IntenseQuote">
    <w:name w:val="Intense Quote"/>
    <w:basedOn w:val="Normal"/>
    <w:next w:val="Normal"/>
    <w:link w:val="IntenseQuoteChar"/>
    <w:uiPriority w:val="30"/>
    <w:qFormat/>
    <w:rsid w:val="00EB197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EB1977"/>
    <w:rPr>
      <w:i/>
      <w:iCs/>
      <w:color w:val="0F4761" w:themeColor="accent1" w:themeShade="BF"/>
    </w:rPr>
  </w:style>
  <w:style w:type="character" w:styleId="IntenseReference">
    <w:name w:val="Intense Reference"/>
    <w:basedOn w:val="DefaultParagraphFont"/>
    <w:uiPriority w:val="32"/>
    <w:qFormat/>
    <w:rsid w:val="00EB19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250</Words>
  <Characters>1428</Characters>
  <Application>Microsoft Office Word</Application>
  <DocSecurity>0</DocSecurity>
  <Lines>11</Lines>
  <Paragraphs>3</Paragraphs>
  <ScaleCrop>false</ScaleCrop>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2025-03-11T13:33:00Z</dcterms:created>
  <dcterms:modified xsi:type="dcterms:W3CDTF">2025-03-11T13:33:00Z</dcterms:modified>
</cp:coreProperties>
</file>