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0868F" w14:textId="12691CDE" w:rsidR="00E6588A" w:rsidRPr="00A37D30" w:rsidRDefault="00E6588A" w:rsidP="003413D5">
      <w:pPr>
        <w:spacing w:before="120" w:after="120" w:line="360" w:lineRule="auto"/>
        <w:jc w:val="both"/>
        <w:rPr>
          <w:rFonts w:asciiTheme="minorBidi" w:hAnsiTheme="minorBidi"/>
          <w:b/>
          <w:bCs/>
          <w:sz w:val="24"/>
          <w:szCs w:val="24"/>
          <w:highlight w:val="green"/>
        </w:rPr>
      </w:pPr>
    </w:p>
    <w:p w14:paraId="2BF54B87" w14:textId="25C50F36" w:rsidR="00A90024" w:rsidRPr="0007519B" w:rsidRDefault="00A90024" w:rsidP="00C0530A">
      <w:pPr>
        <w:spacing w:before="120" w:after="120" w:line="360" w:lineRule="auto"/>
        <w:jc w:val="both"/>
        <w:rPr>
          <w:rFonts w:asciiTheme="minorBidi" w:hAnsiTheme="minorBidi"/>
          <w:b/>
          <w:bCs/>
          <w:sz w:val="28"/>
          <w:szCs w:val="24"/>
        </w:rPr>
      </w:pPr>
      <w:r w:rsidRPr="0007519B">
        <w:rPr>
          <w:rFonts w:asciiTheme="minorBidi" w:hAnsiTheme="minorBidi"/>
          <w:b/>
          <w:bCs/>
          <w:sz w:val="28"/>
          <w:szCs w:val="24"/>
        </w:rPr>
        <w:t xml:space="preserve">SUPPLEMENTARY </w:t>
      </w:r>
      <w:r w:rsidR="00CB0FFC">
        <w:rPr>
          <w:rFonts w:asciiTheme="minorBidi" w:hAnsiTheme="minorBidi"/>
          <w:b/>
          <w:bCs/>
          <w:sz w:val="28"/>
          <w:szCs w:val="24"/>
        </w:rPr>
        <w:t>INFORMATION</w:t>
      </w:r>
    </w:p>
    <w:p w14:paraId="3ED77D83" w14:textId="77777777" w:rsidR="003413D5" w:rsidRDefault="003413D5" w:rsidP="003413D5">
      <w:pPr>
        <w:pStyle w:val="Normalcentr"/>
        <w:spacing w:before="120" w:after="120" w:line="360" w:lineRule="auto"/>
        <w:ind w:left="0" w:right="0"/>
        <w:jc w:val="center"/>
        <w:rPr>
          <w:rFonts w:asciiTheme="minorBidi" w:hAnsiTheme="minorBidi" w:cstheme="minorBidi"/>
          <w:b/>
          <w:sz w:val="28"/>
          <w:szCs w:val="24"/>
          <w:lang w:val="en-US"/>
        </w:rPr>
      </w:pPr>
    </w:p>
    <w:p w14:paraId="632E0C0D" w14:textId="1CDBFF22" w:rsidR="003413D5" w:rsidRDefault="003413D5" w:rsidP="003413D5">
      <w:pPr>
        <w:pStyle w:val="Normalcentr"/>
        <w:spacing w:before="120" w:after="120" w:line="360" w:lineRule="auto"/>
        <w:ind w:left="0" w:right="0"/>
        <w:jc w:val="center"/>
        <w:rPr>
          <w:rFonts w:asciiTheme="minorBidi" w:hAnsiTheme="minorBidi" w:cstheme="minorBidi"/>
          <w:b/>
          <w:sz w:val="28"/>
          <w:szCs w:val="24"/>
          <w:lang w:val="en-US"/>
        </w:rPr>
      </w:pPr>
      <w:r>
        <w:rPr>
          <w:rFonts w:asciiTheme="minorBidi" w:hAnsiTheme="minorBidi" w:cstheme="minorBidi"/>
          <w:b/>
          <w:sz w:val="28"/>
          <w:szCs w:val="24"/>
          <w:lang w:val="en-US"/>
        </w:rPr>
        <w:t>Adaptation of r</w:t>
      </w:r>
      <w:r w:rsidRPr="00A37D30">
        <w:rPr>
          <w:rFonts w:asciiTheme="minorBidi" w:hAnsiTheme="minorBidi" w:cstheme="minorBidi"/>
          <w:b/>
          <w:sz w:val="28"/>
          <w:szCs w:val="24"/>
          <w:lang w:val="en-US"/>
        </w:rPr>
        <w:t xml:space="preserve">edox metabolism </w:t>
      </w:r>
      <w:r>
        <w:rPr>
          <w:rFonts w:asciiTheme="minorBidi" w:hAnsiTheme="minorBidi" w:cstheme="minorBidi"/>
          <w:b/>
          <w:sz w:val="28"/>
          <w:szCs w:val="24"/>
          <w:lang w:val="en-US"/>
        </w:rPr>
        <w:t>in</w:t>
      </w:r>
      <w:r w:rsidRPr="00A37D30">
        <w:rPr>
          <w:rFonts w:asciiTheme="minorBidi" w:hAnsiTheme="minorBidi" w:cstheme="minorBidi"/>
          <w:b/>
          <w:sz w:val="28"/>
          <w:szCs w:val="24"/>
          <w:lang w:val="en-US"/>
        </w:rPr>
        <w:t xml:space="preserve"> </w:t>
      </w:r>
      <w:r>
        <w:rPr>
          <w:rFonts w:asciiTheme="minorBidi" w:hAnsiTheme="minorBidi" w:cstheme="minorBidi"/>
          <w:b/>
          <w:sz w:val="28"/>
          <w:szCs w:val="24"/>
          <w:lang w:val="en-US"/>
        </w:rPr>
        <w:t xml:space="preserve">drug-tolerant </w:t>
      </w:r>
      <w:proofErr w:type="spellStart"/>
      <w:r w:rsidRPr="00A37D30">
        <w:rPr>
          <w:rFonts w:asciiTheme="minorBidi" w:hAnsiTheme="minorBidi" w:cstheme="minorBidi"/>
          <w:b/>
          <w:sz w:val="28"/>
          <w:szCs w:val="24"/>
          <w:lang w:val="en-US"/>
        </w:rPr>
        <w:t>persister</w:t>
      </w:r>
      <w:proofErr w:type="spellEnd"/>
      <w:r w:rsidRPr="00A37D30">
        <w:rPr>
          <w:rFonts w:asciiTheme="minorBidi" w:hAnsiTheme="minorBidi" w:cstheme="minorBidi"/>
          <w:b/>
          <w:sz w:val="28"/>
          <w:szCs w:val="24"/>
          <w:lang w:val="en-US"/>
        </w:rPr>
        <w:t xml:space="preserve"> cells </w:t>
      </w:r>
    </w:p>
    <w:p w14:paraId="789134FF" w14:textId="5D646618" w:rsidR="003413D5" w:rsidRDefault="003413D5" w:rsidP="003413D5">
      <w:pPr>
        <w:pStyle w:val="Normalcentr"/>
        <w:spacing w:before="120" w:after="120" w:line="360" w:lineRule="auto"/>
        <w:ind w:left="0" w:right="0"/>
        <w:jc w:val="center"/>
        <w:rPr>
          <w:rFonts w:asciiTheme="minorBidi" w:hAnsiTheme="minorBidi" w:cstheme="minorBidi"/>
          <w:b/>
          <w:sz w:val="28"/>
          <w:szCs w:val="24"/>
          <w:lang w:val="en-US"/>
        </w:rPr>
      </w:pPr>
      <w:r w:rsidRPr="00A37D30">
        <w:rPr>
          <w:rFonts w:asciiTheme="minorBidi" w:hAnsiTheme="minorBidi" w:cstheme="minorBidi"/>
          <w:b/>
          <w:sz w:val="28"/>
          <w:szCs w:val="24"/>
          <w:lang w:val="en-US"/>
        </w:rPr>
        <w:t>is a vulnerability to prevent relapse in pancreatic cancer</w:t>
      </w:r>
    </w:p>
    <w:p w14:paraId="6FAD87C0" w14:textId="77777777" w:rsidR="00DB42DD" w:rsidRPr="003654B2" w:rsidRDefault="00DB42DD" w:rsidP="003413D5">
      <w:pPr>
        <w:pStyle w:val="Normalcentr"/>
        <w:spacing w:before="120" w:after="120" w:line="360" w:lineRule="auto"/>
        <w:ind w:left="0" w:right="0"/>
        <w:jc w:val="center"/>
        <w:rPr>
          <w:rFonts w:asciiTheme="minorBidi" w:hAnsiTheme="minorBidi" w:cstheme="minorBidi"/>
          <w:b/>
          <w:sz w:val="28"/>
          <w:szCs w:val="24"/>
          <w:lang w:val="en-US"/>
        </w:rPr>
      </w:pPr>
    </w:p>
    <w:p w14:paraId="711DBCAC" w14:textId="77777777" w:rsidR="003413D5" w:rsidRPr="00A37D30" w:rsidRDefault="003413D5" w:rsidP="003413D5">
      <w:pPr>
        <w:pStyle w:val="Normalcentr"/>
        <w:spacing w:before="120" w:after="120" w:line="360" w:lineRule="auto"/>
        <w:ind w:left="0" w:right="0"/>
        <w:rPr>
          <w:rFonts w:asciiTheme="minorBidi" w:hAnsiTheme="minorBidi" w:cstheme="minorBidi"/>
          <w:szCs w:val="24"/>
          <w:lang w:val="en-US"/>
        </w:rPr>
      </w:pPr>
      <w:r w:rsidRPr="00A37D30">
        <w:rPr>
          <w:rFonts w:asciiTheme="minorBidi" w:hAnsiTheme="minorBidi" w:cstheme="minorBidi"/>
          <w:szCs w:val="24"/>
          <w:lang w:val="en-US"/>
        </w:rPr>
        <w:t>Nadine Abdel Hadi</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Gabriela Reyes-Castellanos</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Tristan Gicquel</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Scarlett Gallardo-Arriaga</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Emeline Boet</w:t>
      </w:r>
      <w:r w:rsidRPr="00A37D30">
        <w:rPr>
          <w:rFonts w:asciiTheme="minorBidi" w:hAnsiTheme="minorBidi" w:cstheme="minorBidi"/>
          <w:szCs w:val="24"/>
          <w:vertAlign w:val="superscript"/>
          <w:lang w:val="en-US"/>
        </w:rPr>
        <w:t>2</w:t>
      </w:r>
      <w:r w:rsidRPr="00A37D30">
        <w:rPr>
          <w:rFonts w:asciiTheme="minorBidi" w:hAnsiTheme="minorBidi" w:cstheme="minorBidi"/>
          <w:szCs w:val="24"/>
          <w:lang w:val="en-US"/>
        </w:rPr>
        <w:t>, Jean-Emmanuel Sarry</w:t>
      </w:r>
      <w:r w:rsidRPr="00A37D30">
        <w:rPr>
          <w:rFonts w:asciiTheme="minorBidi" w:hAnsiTheme="minorBidi" w:cstheme="minorBidi"/>
          <w:szCs w:val="24"/>
          <w:vertAlign w:val="superscript"/>
          <w:lang w:val="en-US"/>
        </w:rPr>
        <w:t>2</w:t>
      </w:r>
      <w:r w:rsidRPr="00A37D30">
        <w:rPr>
          <w:rFonts w:asciiTheme="minorBidi" w:hAnsiTheme="minorBidi" w:cstheme="minorBidi"/>
          <w:szCs w:val="24"/>
          <w:lang w:val="en-US"/>
        </w:rPr>
        <w:t xml:space="preserve">, </w:t>
      </w:r>
      <w:proofErr w:type="spellStart"/>
      <w:r w:rsidRPr="00A37D30">
        <w:rPr>
          <w:rFonts w:asciiTheme="minorBidi" w:hAnsiTheme="minorBidi" w:cstheme="minorBidi"/>
          <w:szCs w:val="24"/>
          <w:lang w:val="en-US"/>
        </w:rPr>
        <w:t>Rawand</w:t>
      </w:r>
      <w:proofErr w:type="spellEnd"/>
      <w:r w:rsidRPr="00A37D30">
        <w:rPr>
          <w:rFonts w:asciiTheme="minorBidi" w:hAnsiTheme="minorBidi" w:cstheme="minorBidi"/>
          <w:szCs w:val="24"/>
          <w:lang w:val="en-US"/>
        </w:rPr>
        <w:t xml:space="preserve"> Masoud</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Juan Iovanna</w:t>
      </w:r>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 Alice</w:t>
      </w:r>
      <w:r w:rsidRPr="00A37D30">
        <w:rPr>
          <w:rFonts w:asciiTheme="minorBidi" w:hAnsiTheme="minorBidi" w:cstheme="minorBidi"/>
          <w:spacing w:val="-2"/>
          <w:szCs w:val="24"/>
          <w:lang w:val="en-US"/>
        </w:rPr>
        <w:t xml:space="preserve"> </w:t>
      </w:r>
      <w:r w:rsidRPr="00A37D30">
        <w:rPr>
          <w:rFonts w:asciiTheme="minorBidi" w:hAnsiTheme="minorBidi" w:cstheme="minorBidi"/>
          <w:szCs w:val="24"/>
          <w:lang w:val="en-US"/>
        </w:rPr>
        <w:t>Carrier</w:t>
      </w:r>
      <w:proofErr w:type="gramStart"/>
      <w:r w:rsidRPr="00A37D30">
        <w:rPr>
          <w:rFonts w:asciiTheme="minorBidi" w:hAnsiTheme="minorBidi" w:cstheme="minorBidi"/>
          <w:szCs w:val="24"/>
          <w:vertAlign w:val="superscript"/>
          <w:lang w:val="en-US"/>
        </w:rPr>
        <w:t>1,</w:t>
      </w:r>
      <w:r w:rsidRPr="00A37D30">
        <w:rPr>
          <w:rFonts w:asciiTheme="minorBidi" w:hAnsiTheme="minorBidi" w:cstheme="minorBidi"/>
          <w:szCs w:val="24"/>
          <w:lang w:val="en-US"/>
        </w:rPr>
        <w:t>*</w:t>
      </w:r>
      <w:proofErr w:type="gramEnd"/>
    </w:p>
    <w:p w14:paraId="5FF0116C" w14:textId="6F3DB334" w:rsidR="00916F9B" w:rsidRDefault="00916F9B" w:rsidP="00C0530A">
      <w:pPr>
        <w:spacing w:before="120" w:after="120" w:line="360" w:lineRule="auto"/>
        <w:jc w:val="both"/>
        <w:rPr>
          <w:rFonts w:asciiTheme="minorBidi" w:hAnsiTheme="minorBidi"/>
          <w:b/>
          <w:bCs/>
          <w:sz w:val="24"/>
          <w:szCs w:val="24"/>
        </w:rPr>
      </w:pPr>
    </w:p>
    <w:p w14:paraId="778149AC" w14:textId="77777777" w:rsidR="00DB42DD" w:rsidRPr="00721F72" w:rsidRDefault="00DB42DD" w:rsidP="00DB42DD">
      <w:pPr>
        <w:pStyle w:val="Normalcentr"/>
        <w:spacing w:before="120" w:after="120" w:line="360" w:lineRule="auto"/>
        <w:ind w:left="0" w:right="0"/>
        <w:rPr>
          <w:rFonts w:asciiTheme="minorBidi" w:hAnsiTheme="minorBidi" w:cstheme="minorBidi"/>
          <w:color w:val="000000" w:themeColor="text1"/>
          <w:szCs w:val="24"/>
          <w:lang w:val="fr-FR"/>
        </w:rPr>
      </w:pPr>
      <w:r w:rsidRPr="00721F72">
        <w:rPr>
          <w:rFonts w:asciiTheme="minorBidi" w:hAnsiTheme="minorBidi" w:cstheme="minorBidi"/>
          <w:color w:val="000000" w:themeColor="text1"/>
          <w:szCs w:val="24"/>
          <w:vertAlign w:val="superscript"/>
          <w:lang w:val="fr-FR"/>
        </w:rPr>
        <w:t>1</w:t>
      </w:r>
      <w:r w:rsidRPr="00721F72">
        <w:rPr>
          <w:rFonts w:asciiTheme="minorBidi" w:hAnsiTheme="minorBidi" w:cstheme="minorBidi"/>
          <w:color w:val="000000" w:themeColor="text1"/>
          <w:szCs w:val="24"/>
          <w:lang w:val="fr-FR"/>
        </w:rPr>
        <w:t>Aix Marseille Univ, Inserm, CNRS, Institut Paoli-</w:t>
      </w:r>
      <w:proofErr w:type="spellStart"/>
      <w:r w:rsidRPr="00721F72">
        <w:rPr>
          <w:rFonts w:asciiTheme="minorBidi" w:hAnsiTheme="minorBidi" w:cstheme="minorBidi"/>
          <w:color w:val="000000" w:themeColor="text1"/>
          <w:szCs w:val="24"/>
          <w:lang w:val="fr-FR"/>
        </w:rPr>
        <w:t>Calmettes</w:t>
      </w:r>
      <w:proofErr w:type="spellEnd"/>
      <w:r w:rsidRPr="00721F72">
        <w:rPr>
          <w:rFonts w:asciiTheme="minorBidi" w:hAnsiTheme="minorBidi" w:cstheme="minorBidi"/>
          <w:color w:val="000000" w:themeColor="text1"/>
          <w:szCs w:val="24"/>
          <w:lang w:val="fr-FR"/>
        </w:rPr>
        <w:t>, Centre de Recherche en Cancérologie de Marseille (CRCM), Marseille, France.</w:t>
      </w:r>
    </w:p>
    <w:p w14:paraId="35F44385" w14:textId="77777777" w:rsidR="00DB42DD" w:rsidRPr="00721F72" w:rsidRDefault="00DB42DD" w:rsidP="00DB42DD">
      <w:pPr>
        <w:pStyle w:val="Normalcentr"/>
        <w:spacing w:before="120" w:after="120" w:line="360" w:lineRule="auto"/>
        <w:ind w:left="0" w:right="0"/>
        <w:rPr>
          <w:rFonts w:asciiTheme="minorBidi" w:hAnsiTheme="minorBidi" w:cstheme="minorBidi"/>
          <w:color w:val="000000" w:themeColor="text1"/>
          <w:szCs w:val="24"/>
          <w:lang w:val="fr-FR"/>
        </w:rPr>
      </w:pPr>
      <w:r w:rsidRPr="00721F72">
        <w:rPr>
          <w:rFonts w:asciiTheme="minorBidi" w:hAnsiTheme="minorBidi" w:cstheme="minorBidi"/>
          <w:color w:val="000000" w:themeColor="text1"/>
          <w:szCs w:val="24"/>
          <w:vertAlign w:val="superscript"/>
          <w:lang w:val="fr-FR"/>
        </w:rPr>
        <w:t>2</w:t>
      </w:r>
      <w:r w:rsidRPr="00721F72">
        <w:rPr>
          <w:rFonts w:asciiTheme="minorBidi" w:hAnsiTheme="minorBidi" w:cstheme="minorBidi"/>
          <w:color w:val="000000" w:themeColor="text1"/>
          <w:szCs w:val="24"/>
          <w:lang w:val="fr-FR"/>
        </w:rPr>
        <w:t>Centre de Recherches en Cancérologie de Toulouse, Université de Toulouse, Inserm, CNRS, Toulouse, France.</w:t>
      </w:r>
    </w:p>
    <w:p w14:paraId="2D10C5CE" w14:textId="090427D5" w:rsidR="00DB42DD" w:rsidRPr="00616D25" w:rsidRDefault="00616D25" w:rsidP="00C0530A">
      <w:pPr>
        <w:spacing w:before="120" w:after="120" w:line="360" w:lineRule="auto"/>
        <w:jc w:val="both"/>
        <w:rPr>
          <w:rFonts w:asciiTheme="minorBidi" w:hAnsiTheme="minorBidi"/>
          <w:b/>
          <w:bCs/>
          <w:sz w:val="24"/>
          <w:szCs w:val="24"/>
        </w:rPr>
      </w:pPr>
      <w:r w:rsidRPr="00616D25">
        <w:rPr>
          <w:rFonts w:asciiTheme="minorBidi" w:hAnsiTheme="minorBidi"/>
          <w:color w:val="000000" w:themeColor="text1"/>
          <w:sz w:val="24"/>
          <w:szCs w:val="24"/>
        </w:rPr>
        <w:t>*</w:t>
      </w:r>
      <w:r w:rsidRPr="00616D25">
        <w:rPr>
          <w:rFonts w:asciiTheme="minorBidi" w:hAnsiTheme="minorBidi"/>
          <w:color w:val="000000" w:themeColor="text1"/>
          <w:sz w:val="24"/>
          <w:szCs w:val="24"/>
        </w:rPr>
        <w:t>C</w:t>
      </w:r>
      <w:r w:rsidRPr="00616D25">
        <w:rPr>
          <w:rFonts w:asciiTheme="minorBidi" w:hAnsiTheme="minorBidi"/>
          <w:color w:val="000000" w:themeColor="text1"/>
          <w:sz w:val="24"/>
          <w:szCs w:val="24"/>
        </w:rPr>
        <w:t>orrespond</w:t>
      </w:r>
      <w:r w:rsidRPr="00616D25">
        <w:rPr>
          <w:rFonts w:asciiTheme="minorBidi" w:hAnsiTheme="minorBidi"/>
          <w:color w:val="000000" w:themeColor="text1"/>
          <w:sz w:val="24"/>
          <w:szCs w:val="24"/>
        </w:rPr>
        <w:t>ing author,</w:t>
      </w:r>
      <w:r w:rsidRPr="00616D25">
        <w:rPr>
          <w:rFonts w:asciiTheme="minorBidi" w:hAnsiTheme="minorBidi"/>
          <w:color w:val="000000" w:themeColor="text1"/>
          <w:sz w:val="24"/>
          <w:szCs w:val="24"/>
        </w:rPr>
        <w:t xml:space="preserve"> </w:t>
      </w:r>
      <w:hyperlink r:id="rId8" w:history="1">
        <w:r w:rsidRPr="00616D25">
          <w:rPr>
            <w:rStyle w:val="Lienhypertexte"/>
            <w:rFonts w:asciiTheme="minorBidi" w:hAnsiTheme="minorBidi"/>
            <w:color w:val="000000" w:themeColor="text1"/>
            <w:sz w:val="24"/>
            <w:szCs w:val="24"/>
            <w:u w:val="none"/>
          </w:rPr>
          <w:t xml:space="preserve">alice.carrier@inserm.fr. </w:t>
        </w:r>
      </w:hyperlink>
    </w:p>
    <w:p w14:paraId="5E8019E3" w14:textId="736DFEB1" w:rsidR="00CB0FFC" w:rsidRPr="00616D25" w:rsidRDefault="00CB0FFC" w:rsidP="00C0530A">
      <w:pPr>
        <w:spacing w:before="120" w:after="120" w:line="360" w:lineRule="auto"/>
        <w:jc w:val="both"/>
        <w:rPr>
          <w:rFonts w:asciiTheme="minorBidi" w:hAnsiTheme="minorBidi"/>
          <w:b/>
          <w:bCs/>
          <w:sz w:val="24"/>
          <w:szCs w:val="24"/>
        </w:rPr>
      </w:pPr>
    </w:p>
    <w:p w14:paraId="2927D667" w14:textId="77777777" w:rsidR="00CB0FFC" w:rsidRPr="00616D25" w:rsidRDefault="00CB0FFC" w:rsidP="00C0530A">
      <w:pPr>
        <w:spacing w:before="120" w:after="120" w:line="360" w:lineRule="auto"/>
        <w:jc w:val="both"/>
        <w:rPr>
          <w:rFonts w:asciiTheme="minorBidi" w:hAnsiTheme="minorBidi"/>
          <w:b/>
          <w:bCs/>
          <w:sz w:val="24"/>
          <w:szCs w:val="24"/>
        </w:rPr>
      </w:pPr>
    </w:p>
    <w:p w14:paraId="0094227F" w14:textId="19988CFA" w:rsidR="00167FAD" w:rsidRPr="00616D25" w:rsidRDefault="00167FAD" w:rsidP="00C0530A">
      <w:pPr>
        <w:pStyle w:val="Normalcentr"/>
        <w:spacing w:before="120" w:after="120" w:line="360" w:lineRule="auto"/>
        <w:ind w:left="0" w:right="0"/>
        <w:rPr>
          <w:rFonts w:asciiTheme="minorBidi" w:hAnsiTheme="minorBidi" w:cstheme="minorBidi"/>
          <w:b/>
          <w:bCs/>
          <w:sz w:val="28"/>
          <w:szCs w:val="28"/>
          <w:lang w:val="fr-FR"/>
        </w:rPr>
      </w:pPr>
      <w:proofErr w:type="spellStart"/>
      <w:r w:rsidRPr="00616D25">
        <w:rPr>
          <w:rFonts w:asciiTheme="minorBidi" w:hAnsiTheme="minorBidi" w:cstheme="minorBidi"/>
          <w:b/>
          <w:bCs/>
          <w:sz w:val="28"/>
          <w:szCs w:val="28"/>
          <w:lang w:val="fr-FR"/>
        </w:rPr>
        <w:t>Supplementary</w:t>
      </w:r>
      <w:proofErr w:type="spellEnd"/>
      <w:r w:rsidRPr="00616D25">
        <w:rPr>
          <w:rFonts w:asciiTheme="minorBidi" w:hAnsiTheme="minorBidi" w:cstheme="minorBidi"/>
          <w:b/>
          <w:bCs/>
          <w:sz w:val="28"/>
          <w:szCs w:val="28"/>
          <w:lang w:val="fr-FR"/>
        </w:rPr>
        <w:t xml:space="preserve"> </w:t>
      </w:r>
      <w:proofErr w:type="gramStart"/>
      <w:r w:rsidRPr="00616D25">
        <w:rPr>
          <w:rFonts w:asciiTheme="minorBidi" w:hAnsiTheme="minorBidi" w:cstheme="minorBidi"/>
          <w:b/>
          <w:bCs/>
          <w:sz w:val="28"/>
          <w:szCs w:val="28"/>
          <w:lang w:val="fr-FR"/>
        </w:rPr>
        <w:t>Figures</w:t>
      </w:r>
      <w:r w:rsidR="00043036" w:rsidRPr="00616D25">
        <w:rPr>
          <w:rFonts w:asciiTheme="minorBidi" w:hAnsiTheme="minorBidi" w:cstheme="minorBidi"/>
          <w:b/>
          <w:bCs/>
          <w:sz w:val="28"/>
          <w:szCs w:val="28"/>
          <w:lang w:val="fr-FR"/>
        </w:rPr>
        <w:t>:</w:t>
      </w:r>
      <w:proofErr w:type="gramEnd"/>
      <w:r w:rsidR="00043036" w:rsidRPr="00616D25">
        <w:rPr>
          <w:rFonts w:asciiTheme="minorBidi" w:hAnsiTheme="minorBidi" w:cstheme="minorBidi"/>
          <w:b/>
          <w:bCs/>
          <w:sz w:val="28"/>
          <w:szCs w:val="28"/>
          <w:lang w:val="fr-FR"/>
        </w:rPr>
        <w:t xml:space="preserve"> </w:t>
      </w:r>
      <w:r w:rsidR="003B5AC3" w:rsidRPr="00616D25">
        <w:rPr>
          <w:rFonts w:asciiTheme="minorBidi" w:hAnsiTheme="minorBidi" w:cstheme="minorBidi"/>
          <w:b/>
          <w:bCs/>
          <w:sz w:val="28"/>
          <w:szCs w:val="28"/>
          <w:lang w:val="fr-FR"/>
        </w:rPr>
        <w:t>8</w:t>
      </w:r>
    </w:p>
    <w:p w14:paraId="6EF80DAC" w14:textId="5CBD3D4C" w:rsidR="003413D5" w:rsidRPr="00616D25" w:rsidRDefault="003413D5">
      <w:pPr>
        <w:rPr>
          <w:rFonts w:asciiTheme="minorBidi" w:eastAsia="Times New Roman" w:hAnsiTheme="minorBidi"/>
          <w:b/>
          <w:bCs/>
          <w:sz w:val="28"/>
          <w:szCs w:val="28"/>
          <w:lang w:val="fr-FR" w:eastAsia="es-ES"/>
        </w:rPr>
      </w:pPr>
      <w:r w:rsidRPr="00616D25">
        <w:rPr>
          <w:rFonts w:asciiTheme="minorBidi" w:hAnsiTheme="minorBidi"/>
          <w:b/>
          <w:bCs/>
          <w:sz w:val="28"/>
          <w:szCs w:val="28"/>
          <w:lang w:val="fr-FR"/>
        </w:rPr>
        <w:br w:type="page"/>
      </w:r>
    </w:p>
    <w:p w14:paraId="62E56267" w14:textId="3AB8F2A4" w:rsidR="00B46986" w:rsidRPr="00B46986" w:rsidRDefault="00410FA7" w:rsidP="00C0530A">
      <w:pPr>
        <w:pStyle w:val="Normalcentr"/>
        <w:spacing w:before="120" w:after="120" w:line="360" w:lineRule="auto"/>
        <w:ind w:left="0" w:right="0"/>
        <w:rPr>
          <w:rFonts w:asciiTheme="minorBidi" w:hAnsiTheme="minorBidi" w:cstheme="minorBidi"/>
          <w:b/>
          <w:bCs/>
          <w:sz w:val="28"/>
          <w:szCs w:val="28"/>
          <w:lang w:val="en-US"/>
        </w:rPr>
      </w:pPr>
      <w:r w:rsidRPr="00410FA7">
        <w:lastRenderedPageBreak/>
        <w:drawing>
          <wp:inline distT="0" distB="0" distL="0" distR="0" wp14:anchorId="2BD59FA2" wp14:editId="31861AD7">
            <wp:extent cx="5985163" cy="7274955"/>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8007" cy="7290567"/>
                    </a:xfrm>
                    <a:prstGeom prst="rect">
                      <a:avLst/>
                    </a:prstGeom>
                  </pic:spPr>
                </pic:pic>
              </a:graphicData>
            </a:graphic>
          </wp:inline>
        </w:drawing>
      </w:r>
    </w:p>
    <w:p w14:paraId="0D2BE264" w14:textId="11C592B2" w:rsidR="003413D5" w:rsidRDefault="00802104" w:rsidP="00802104">
      <w:pPr>
        <w:pStyle w:val="Normalcentr"/>
        <w:spacing w:before="0" w:line="240" w:lineRule="auto"/>
        <w:ind w:left="0" w:right="0"/>
        <w:rPr>
          <w:rFonts w:ascii="Arial" w:hAnsi="Arial" w:cs="Arial"/>
          <w:b/>
          <w:bCs/>
          <w:sz w:val="28"/>
          <w:szCs w:val="28"/>
        </w:rPr>
      </w:pPr>
      <w:r w:rsidRPr="00FE1759">
        <w:rPr>
          <w:rFonts w:ascii="Arial" w:hAnsi="Arial" w:cs="Arial"/>
          <w:b/>
          <w:color w:val="000000" w:themeColor="text1"/>
          <w:szCs w:val="24"/>
        </w:rPr>
        <w:t>Fig</w:t>
      </w:r>
      <w:r>
        <w:rPr>
          <w:rFonts w:ascii="Arial" w:hAnsi="Arial" w:cs="Arial"/>
          <w:b/>
          <w:color w:val="000000" w:themeColor="text1"/>
          <w:szCs w:val="24"/>
        </w:rPr>
        <w:t>ure</w:t>
      </w:r>
      <w:r w:rsidRPr="00FE1759">
        <w:rPr>
          <w:rFonts w:ascii="Arial" w:hAnsi="Arial" w:cs="Arial"/>
          <w:b/>
          <w:color w:val="000000" w:themeColor="text1"/>
          <w:szCs w:val="24"/>
        </w:rPr>
        <w:t xml:space="preserve"> S1. </w:t>
      </w:r>
      <w:r w:rsidRPr="00D011F2">
        <w:rPr>
          <w:rFonts w:ascii="Arial" w:hAnsi="Arial" w:cs="Arial"/>
          <w:b/>
          <w:bCs/>
          <w:szCs w:val="24"/>
        </w:rPr>
        <w:t xml:space="preserve">Representative flow cytometry plots of </w:t>
      </w:r>
      <w:proofErr w:type="spellStart"/>
      <w:r w:rsidRPr="00D011F2">
        <w:rPr>
          <w:rFonts w:ascii="Arial" w:hAnsi="Arial" w:cs="Arial"/>
          <w:b/>
          <w:bCs/>
          <w:szCs w:val="24"/>
        </w:rPr>
        <w:t>tumor</w:t>
      </w:r>
      <w:proofErr w:type="spellEnd"/>
      <w:r w:rsidRPr="00D011F2">
        <w:rPr>
          <w:rFonts w:ascii="Arial" w:hAnsi="Arial" w:cs="Arial"/>
          <w:b/>
          <w:bCs/>
          <w:szCs w:val="24"/>
        </w:rPr>
        <w:t xml:space="preserve"> cell populations from </w:t>
      </w:r>
      <w:r w:rsidRPr="00D011F2">
        <w:rPr>
          <w:rFonts w:ascii="Arial" w:hAnsi="Arial" w:cs="Arial"/>
          <w:b/>
          <w:szCs w:val="24"/>
        </w:rPr>
        <w:t xml:space="preserve">xenograft and allograft mouse models </w:t>
      </w:r>
      <w:r w:rsidRPr="00D011F2">
        <w:rPr>
          <w:rFonts w:ascii="Arial" w:hAnsi="Arial" w:cs="Arial"/>
          <w:b/>
          <w:bCs/>
          <w:szCs w:val="24"/>
        </w:rPr>
        <w:t>(related to Figures 1 and 2)</w:t>
      </w:r>
      <w:r w:rsidRPr="00D011F2">
        <w:rPr>
          <w:rFonts w:ascii="Arial" w:hAnsi="Arial" w:cs="Arial"/>
          <w:b/>
          <w:szCs w:val="24"/>
        </w:rPr>
        <w:t xml:space="preserve">. </w:t>
      </w:r>
      <w:r w:rsidRPr="00FE1759">
        <w:rPr>
          <w:rFonts w:ascii="Arial" w:hAnsi="Arial" w:cs="Arial"/>
          <w:b/>
          <w:szCs w:val="24"/>
        </w:rPr>
        <w:t>(A)</w:t>
      </w:r>
      <w:r>
        <w:rPr>
          <w:rFonts w:ascii="Arial" w:hAnsi="Arial" w:cs="Arial"/>
          <w:b/>
          <w:szCs w:val="24"/>
        </w:rPr>
        <w:t xml:space="preserve"> </w:t>
      </w:r>
      <w:r w:rsidRPr="00FE1759">
        <w:rPr>
          <w:rFonts w:ascii="Arial" w:hAnsi="Arial" w:cs="Arial"/>
          <w:szCs w:val="24"/>
        </w:rPr>
        <w:t>In xenograft model</w:t>
      </w:r>
      <w:r>
        <w:rPr>
          <w:rFonts w:ascii="Arial" w:hAnsi="Arial" w:cs="Arial"/>
          <w:szCs w:val="24"/>
        </w:rPr>
        <w:t xml:space="preserve">, </w:t>
      </w:r>
      <w:proofErr w:type="spellStart"/>
      <w:r>
        <w:rPr>
          <w:rFonts w:ascii="Arial" w:hAnsi="Arial" w:cs="Arial"/>
          <w:szCs w:val="24"/>
        </w:rPr>
        <w:t>t</w:t>
      </w:r>
      <w:r w:rsidRPr="00FE1759">
        <w:rPr>
          <w:rFonts w:ascii="Arial" w:hAnsi="Arial" w:cs="Arial"/>
          <w:szCs w:val="24"/>
        </w:rPr>
        <w:t>umor</w:t>
      </w:r>
      <w:proofErr w:type="spellEnd"/>
      <w:r w:rsidRPr="00FE1759">
        <w:rPr>
          <w:rFonts w:ascii="Arial" w:hAnsi="Arial" w:cs="Arial"/>
          <w:szCs w:val="24"/>
        </w:rPr>
        <w:t xml:space="preserve"> cells are separated from debris by Forward Scatter Area (FSC-A)/Side Scatter Area (SSC-A), and doublets are excluded by FSC-A and FSC-height (FSC-H) dot plots. </w:t>
      </w:r>
      <w:proofErr w:type="spellStart"/>
      <w:r w:rsidRPr="00FE1759">
        <w:rPr>
          <w:rFonts w:ascii="Arial" w:hAnsi="Arial" w:cs="Arial"/>
          <w:szCs w:val="24"/>
        </w:rPr>
        <w:t>Mitotracker</w:t>
      </w:r>
      <w:proofErr w:type="spellEnd"/>
      <w:r w:rsidRPr="00FE1759">
        <w:rPr>
          <w:rFonts w:ascii="Arial" w:hAnsi="Arial" w:cs="Arial"/>
          <w:szCs w:val="24"/>
        </w:rPr>
        <w:t xml:space="preserve"> </w:t>
      </w:r>
      <w:r>
        <w:rPr>
          <w:rFonts w:ascii="Arial" w:hAnsi="Arial" w:cs="Arial"/>
          <w:szCs w:val="24"/>
        </w:rPr>
        <w:t>D</w:t>
      </w:r>
      <w:r w:rsidRPr="00FE1759">
        <w:rPr>
          <w:rFonts w:ascii="Arial" w:hAnsi="Arial" w:cs="Arial"/>
          <w:szCs w:val="24"/>
        </w:rPr>
        <w:t xml:space="preserve">eep Red, </w:t>
      </w:r>
      <w:proofErr w:type="spellStart"/>
      <w:r w:rsidRPr="00FE1759">
        <w:rPr>
          <w:rFonts w:ascii="Arial" w:hAnsi="Arial" w:cs="Arial"/>
          <w:szCs w:val="24"/>
        </w:rPr>
        <w:t>MitoSOX</w:t>
      </w:r>
      <w:proofErr w:type="spellEnd"/>
      <w:r w:rsidRPr="00FE1759">
        <w:rPr>
          <w:rFonts w:ascii="Arial" w:hAnsi="Arial" w:cs="Arial"/>
          <w:szCs w:val="24"/>
        </w:rPr>
        <w:t xml:space="preserve"> Red, </w:t>
      </w:r>
      <w:proofErr w:type="spellStart"/>
      <w:r w:rsidRPr="00FE1759">
        <w:rPr>
          <w:rFonts w:ascii="Arial" w:hAnsi="Arial" w:cs="Arial"/>
          <w:szCs w:val="24"/>
        </w:rPr>
        <w:t>CellR</w:t>
      </w:r>
      <w:r>
        <w:rPr>
          <w:rFonts w:ascii="Arial" w:hAnsi="Arial" w:cs="Arial"/>
          <w:szCs w:val="24"/>
        </w:rPr>
        <w:t>OX</w:t>
      </w:r>
      <w:proofErr w:type="spellEnd"/>
      <w:r w:rsidRPr="00FE1759">
        <w:rPr>
          <w:rFonts w:ascii="Arial" w:hAnsi="Arial" w:cs="Arial"/>
          <w:szCs w:val="24"/>
        </w:rPr>
        <w:t xml:space="preserve"> Orange, and TMRM histograms are done by gating on single cells</w:t>
      </w:r>
      <w:r w:rsidRPr="00FE1759">
        <w:rPr>
          <w:rFonts w:ascii="Arial" w:hAnsi="Arial" w:cs="Arial"/>
          <w:b/>
          <w:szCs w:val="24"/>
        </w:rPr>
        <w:t>. (B)</w:t>
      </w:r>
      <w:r w:rsidRPr="008D128F">
        <w:rPr>
          <w:rFonts w:ascii="Arial" w:hAnsi="Arial" w:cs="Arial"/>
          <w:szCs w:val="24"/>
        </w:rPr>
        <w:t xml:space="preserve"> In</w:t>
      </w:r>
      <w:r w:rsidRPr="00FE1759">
        <w:rPr>
          <w:rFonts w:ascii="Arial" w:hAnsi="Arial" w:cs="Arial"/>
          <w:szCs w:val="24"/>
        </w:rPr>
        <w:t xml:space="preserve"> allograft model, the histograms are done by gating on GFP</w:t>
      </w:r>
      <w:r w:rsidRPr="00FE1759">
        <w:rPr>
          <w:rFonts w:ascii="Arial" w:hAnsi="Arial" w:cs="Arial"/>
          <w:szCs w:val="24"/>
          <w:vertAlign w:val="superscript"/>
        </w:rPr>
        <w:t>+</w:t>
      </w:r>
      <w:r w:rsidRPr="00FE1759">
        <w:rPr>
          <w:rFonts w:ascii="Arial" w:hAnsi="Arial" w:cs="Arial"/>
          <w:szCs w:val="24"/>
        </w:rPr>
        <w:t xml:space="preserve"> cells (KPCluc2 cancer cells) after gating on live cells (the negative fraction for </w:t>
      </w:r>
      <w:proofErr w:type="spellStart"/>
      <w:r w:rsidRPr="00FE1759">
        <w:rPr>
          <w:rFonts w:ascii="Arial" w:hAnsi="Arial" w:cs="Arial"/>
          <w:szCs w:val="24"/>
        </w:rPr>
        <w:t>VioBlue</w:t>
      </w:r>
      <w:proofErr w:type="spellEnd"/>
      <w:r w:rsidRPr="00FE1759">
        <w:rPr>
          <w:rFonts w:ascii="Arial" w:hAnsi="Arial" w:cs="Arial"/>
          <w:szCs w:val="24"/>
        </w:rPr>
        <w:t>-A staining)</w:t>
      </w:r>
      <w:r>
        <w:rPr>
          <w:rFonts w:ascii="Arial" w:hAnsi="Arial" w:cs="Arial"/>
          <w:szCs w:val="24"/>
        </w:rPr>
        <w:t>.</w:t>
      </w:r>
      <w:r w:rsidR="003413D5">
        <w:rPr>
          <w:rFonts w:ascii="Arial" w:hAnsi="Arial" w:cs="Arial"/>
          <w:b/>
          <w:bCs/>
          <w:sz w:val="28"/>
          <w:szCs w:val="28"/>
        </w:rPr>
        <w:br w:type="page"/>
      </w:r>
    </w:p>
    <w:p w14:paraId="44878E12" w14:textId="474A7903" w:rsidR="00B46986" w:rsidRPr="00A37D30" w:rsidRDefault="00D25B39" w:rsidP="00802104">
      <w:pPr>
        <w:pStyle w:val="Normalcentr"/>
        <w:spacing w:before="0" w:line="240" w:lineRule="auto"/>
        <w:ind w:left="0" w:right="0"/>
        <w:rPr>
          <w:rFonts w:ascii="Arial" w:hAnsi="Arial" w:cs="Arial"/>
          <w:b/>
          <w:bCs/>
          <w:sz w:val="28"/>
          <w:szCs w:val="28"/>
          <w:lang w:val="en-US"/>
        </w:rPr>
      </w:pPr>
      <w:r>
        <w:rPr>
          <w:rFonts w:ascii="Arial" w:hAnsi="Arial" w:cs="Arial"/>
          <w:b/>
          <w:bCs/>
          <w:noProof/>
          <w:sz w:val="28"/>
          <w:szCs w:val="28"/>
          <w:lang w:val="en-US"/>
        </w:rPr>
        <w:lastRenderedPageBreak/>
        <w:drawing>
          <wp:inline distT="0" distB="0" distL="0" distR="0" wp14:anchorId="1FC41D57" wp14:editId="130587BC">
            <wp:extent cx="5498275" cy="74607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9194" cy="7489123"/>
                    </a:xfrm>
                    <a:prstGeom prst="rect">
                      <a:avLst/>
                    </a:prstGeom>
                    <a:noFill/>
                  </pic:spPr>
                </pic:pic>
              </a:graphicData>
            </a:graphic>
          </wp:inline>
        </w:drawing>
      </w:r>
    </w:p>
    <w:p w14:paraId="4B7707C2" w14:textId="4DBDFD92" w:rsidR="003413D5" w:rsidRDefault="00802104" w:rsidP="00802104">
      <w:pPr>
        <w:pStyle w:val="Normalcentr"/>
        <w:spacing w:before="0" w:line="240" w:lineRule="auto"/>
        <w:ind w:left="0" w:right="0"/>
        <w:rPr>
          <w:rFonts w:asciiTheme="minorBidi" w:hAnsiTheme="minorBidi"/>
          <w:szCs w:val="24"/>
        </w:rPr>
      </w:pPr>
      <w:r w:rsidRPr="00FE1759">
        <w:rPr>
          <w:rFonts w:ascii="Arial" w:hAnsi="Arial" w:cs="Arial"/>
          <w:b/>
          <w:color w:val="000000" w:themeColor="text1"/>
          <w:szCs w:val="24"/>
        </w:rPr>
        <w:t>Fig</w:t>
      </w:r>
      <w:r>
        <w:rPr>
          <w:rFonts w:ascii="Arial" w:hAnsi="Arial" w:cs="Arial"/>
          <w:b/>
          <w:color w:val="000000" w:themeColor="text1"/>
          <w:szCs w:val="24"/>
        </w:rPr>
        <w:t>ure</w:t>
      </w:r>
      <w:r w:rsidRPr="00FE1759">
        <w:rPr>
          <w:rFonts w:ascii="Arial" w:hAnsi="Arial" w:cs="Arial"/>
          <w:b/>
          <w:color w:val="000000" w:themeColor="text1"/>
          <w:szCs w:val="24"/>
        </w:rPr>
        <w:t xml:space="preserve"> S2.</w:t>
      </w:r>
      <w:r w:rsidRPr="00D011F2">
        <w:rPr>
          <w:rFonts w:ascii="Arial" w:hAnsi="Arial" w:cs="Arial"/>
          <w:b/>
          <w:color w:val="000000" w:themeColor="text1"/>
          <w:szCs w:val="24"/>
        </w:rPr>
        <w:t xml:space="preserve"> </w:t>
      </w:r>
      <w:r w:rsidRPr="00D011F2">
        <w:rPr>
          <w:rFonts w:ascii="Arial" w:hAnsi="Arial" w:cs="Arial"/>
          <w:b/>
          <w:szCs w:val="24"/>
        </w:rPr>
        <w:t xml:space="preserve">Mitochondrial and redox metabolic reprogramming in relapsed PDAC xenografts and allografts </w:t>
      </w:r>
      <w:r w:rsidRPr="00D011F2">
        <w:rPr>
          <w:rFonts w:ascii="Arial" w:hAnsi="Arial" w:cs="Arial"/>
          <w:b/>
          <w:bCs/>
          <w:szCs w:val="24"/>
        </w:rPr>
        <w:t>(related to Figures 1 and 2)</w:t>
      </w:r>
      <w:r w:rsidRPr="00D011F2">
        <w:rPr>
          <w:rFonts w:ascii="Arial" w:hAnsi="Arial" w:cs="Arial"/>
          <w:b/>
          <w:szCs w:val="24"/>
        </w:rPr>
        <w:t>.</w:t>
      </w:r>
      <w:r w:rsidRPr="00D011F2">
        <w:rPr>
          <w:rFonts w:ascii="Arial" w:hAnsi="Arial" w:cs="Arial"/>
          <w:b/>
          <w:bCs/>
          <w:szCs w:val="24"/>
        </w:rPr>
        <w:t xml:space="preserve"> </w:t>
      </w:r>
      <w:r w:rsidRPr="00FE1759">
        <w:rPr>
          <w:rFonts w:ascii="Arial" w:hAnsi="Arial" w:cs="Arial"/>
          <w:bCs/>
          <w:szCs w:val="24"/>
        </w:rPr>
        <w:t xml:space="preserve">TMRM (measuring mitochondrial membrane potential) and </w:t>
      </w:r>
      <w:proofErr w:type="spellStart"/>
      <w:r w:rsidRPr="00FE1759">
        <w:rPr>
          <w:rFonts w:ascii="Arial" w:hAnsi="Arial" w:cs="Arial"/>
          <w:bCs/>
          <w:szCs w:val="24"/>
        </w:rPr>
        <w:t>MitoSOX</w:t>
      </w:r>
      <w:proofErr w:type="spellEnd"/>
      <w:r w:rsidRPr="00FE1759">
        <w:rPr>
          <w:rFonts w:ascii="Arial" w:hAnsi="Arial" w:cs="Arial"/>
          <w:bCs/>
          <w:szCs w:val="24"/>
        </w:rPr>
        <w:t xml:space="preserve"> (measuring mitochondrial superoxide anions) values </w:t>
      </w:r>
      <w:r w:rsidRPr="00FE1759">
        <w:rPr>
          <w:rFonts w:ascii="Arial" w:hAnsi="Arial" w:cs="Arial"/>
          <w:szCs w:val="24"/>
        </w:rPr>
        <w:t xml:space="preserve">were normalized by </w:t>
      </w:r>
      <w:proofErr w:type="spellStart"/>
      <w:r w:rsidRPr="00FE1759">
        <w:rPr>
          <w:rFonts w:ascii="Arial" w:hAnsi="Arial" w:cs="Arial"/>
          <w:szCs w:val="24"/>
        </w:rPr>
        <w:t>Mitotracker</w:t>
      </w:r>
      <w:proofErr w:type="spellEnd"/>
      <w:r w:rsidRPr="00FE1759">
        <w:rPr>
          <w:rFonts w:ascii="Arial" w:hAnsi="Arial" w:cs="Arial"/>
          <w:szCs w:val="24"/>
        </w:rPr>
        <w:t xml:space="preserve"> (measuring mitochondrial mass) values in relapsed xenografts (</w:t>
      </w:r>
      <w:r w:rsidRPr="00FE1759">
        <w:rPr>
          <w:rFonts w:ascii="Arial" w:hAnsi="Arial" w:cs="Arial"/>
          <w:b/>
          <w:szCs w:val="24"/>
        </w:rPr>
        <w:t>A</w:t>
      </w:r>
      <w:r w:rsidRPr="00FE1759">
        <w:rPr>
          <w:rFonts w:ascii="Arial" w:hAnsi="Arial" w:cs="Arial"/>
          <w:szCs w:val="24"/>
        </w:rPr>
        <w:t>), and relapsed allografts (</w:t>
      </w:r>
      <w:r w:rsidRPr="00FE1759">
        <w:rPr>
          <w:rFonts w:ascii="Arial" w:hAnsi="Arial" w:cs="Arial"/>
          <w:b/>
          <w:szCs w:val="24"/>
        </w:rPr>
        <w:t>C</w:t>
      </w:r>
      <w:r w:rsidRPr="00FE1759">
        <w:rPr>
          <w:rFonts w:ascii="Arial" w:hAnsi="Arial" w:cs="Arial"/>
          <w:szCs w:val="24"/>
        </w:rPr>
        <w:t xml:space="preserve">). </w:t>
      </w:r>
      <w:r w:rsidRPr="00FE1759">
        <w:rPr>
          <w:rFonts w:ascii="Arial" w:hAnsi="Arial" w:cs="Arial"/>
          <w:b/>
          <w:szCs w:val="24"/>
        </w:rPr>
        <w:t xml:space="preserve">(B) </w:t>
      </w:r>
      <w:r w:rsidRPr="00FE1759">
        <w:rPr>
          <w:rFonts w:ascii="Arial" w:hAnsi="Arial" w:cs="Arial"/>
          <w:szCs w:val="24"/>
        </w:rPr>
        <w:t xml:space="preserve">ATP production was measured in the presence of oligomycin (left) </w:t>
      </w:r>
      <w:r>
        <w:rPr>
          <w:rFonts w:ascii="Arial" w:hAnsi="Arial" w:cs="Arial"/>
          <w:szCs w:val="24"/>
        </w:rPr>
        <w:t>or</w:t>
      </w:r>
      <w:r w:rsidRPr="00FE1759">
        <w:rPr>
          <w:rFonts w:ascii="Arial" w:hAnsi="Arial" w:cs="Arial"/>
          <w:szCs w:val="24"/>
        </w:rPr>
        <w:t xml:space="preserve"> 2DG (right) </w:t>
      </w:r>
      <w:r w:rsidRPr="00FE1759">
        <w:rPr>
          <w:rFonts w:ascii="Arial" w:hAnsi="Arial" w:cs="Arial"/>
          <w:i/>
          <w:szCs w:val="24"/>
        </w:rPr>
        <w:t>in vitro</w:t>
      </w:r>
      <w:r w:rsidRPr="00FE1759">
        <w:rPr>
          <w:rFonts w:ascii="Arial" w:hAnsi="Arial" w:cs="Arial"/>
          <w:szCs w:val="24"/>
        </w:rPr>
        <w:t xml:space="preserve"> on dissociated relapsed xenografts, allowing to calculate mitochondrial and glycolytic ATP percentages shown in Figure 1D.</w:t>
      </w:r>
      <w:r w:rsidR="003413D5">
        <w:rPr>
          <w:rFonts w:asciiTheme="minorBidi" w:hAnsiTheme="minorBidi"/>
          <w:szCs w:val="24"/>
        </w:rPr>
        <w:br w:type="page"/>
      </w:r>
    </w:p>
    <w:p w14:paraId="13C7C9A9" w14:textId="4BD4C1EB" w:rsidR="00B46986" w:rsidRPr="00A37D30" w:rsidRDefault="00D25B39"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2B24A2A4" wp14:editId="0ABD55E2">
            <wp:extent cx="6026170" cy="656705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418" cy="6573863"/>
                    </a:xfrm>
                    <a:prstGeom prst="rect">
                      <a:avLst/>
                    </a:prstGeom>
                    <a:noFill/>
                  </pic:spPr>
                </pic:pic>
              </a:graphicData>
            </a:graphic>
          </wp:inline>
        </w:drawing>
      </w:r>
    </w:p>
    <w:p w14:paraId="07095BFF" w14:textId="77777777" w:rsidR="00D011F2" w:rsidRPr="00FE1759" w:rsidRDefault="00D011F2" w:rsidP="00D011F2">
      <w:pPr>
        <w:spacing w:after="0" w:line="240" w:lineRule="auto"/>
        <w:jc w:val="both"/>
        <w:rPr>
          <w:rFonts w:ascii="Arial" w:eastAsia="Times New Roman" w:hAnsi="Arial" w:cs="Arial"/>
          <w:b/>
          <w:color w:val="000000" w:themeColor="text1"/>
          <w:sz w:val="24"/>
          <w:szCs w:val="24"/>
          <w:lang w:eastAsia="es-ES"/>
        </w:rPr>
      </w:pPr>
      <w:r w:rsidRPr="00FE1759">
        <w:rPr>
          <w:rFonts w:ascii="Arial" w:eastAsia="Times New Roman" w:hAnsi="Arial" w:cs="Arial"/>
          <w:b/>
          <w:color w:val="000000" w:themeColor="text1"/>
          <w:sz w:val="24"/>
          <w:szCs w:val="24"/>
          <w:lang w:eastAsia="es-ES"/>
        </w:rPr>
        <w:t>Fig</w:t>
      </w:r>
      <w:r>
        <w:rPr>
          <w:rFonts w:ascii="Arial" w:eastAsia="Times New Roman" w:hAnsi="Arial" w:cs="Arial"/>
          <w:b/>
          <w:color w:val="000000" w:themeColor="text1"/>
          <w:sz w:val="24"/>
          <w:szCs w:val="24"/>
          <w:lang w:eastAsia="es-ES"/>
        </w:rPr>
        <w:t>ure</w:t>
      </w:r>
      <w:r w:rsidRPr="00FE1759">
        <w:rPr>
          <w:rFonts w:ascii="Arial" w:eastAsia="Times New Roman" w:hAnsi="Arial" w:cs="Arial"/>
          <w:b/>
          <w:color w:val="000000" w:themeColor="text1"/>
          <w:sz w:val="24"/>
          <w:szCs w:val="24"/>
          <w:lang w:eastAsia="es-ES"/>
        </w:rPr>
        <w:t xml:space="preserve"> S3. </w:t>
      </w:r>
      <w:bookmarkStart w:id="0" w:name="_Hlk164455991"/>
      <w:r w:rsidRPr="00D011F2">
        <w:rPr>
          <w:rFonts w:ascii="Arial" w:hAnsi="Arial" w:cs="Arial"/>
          <w:b/>
          <w:sz w:val="24"/>
          <w:szCs w:val="24"/>
        </w:rPr>
        <w:t xml:space="preserve">Gene set enrichment analysis (GSEA) on RNA-seq data </w:t>
      </w:r>
      <w:bookmarkEnd w:id="0"/>
      <w:r w:rsidRPr="00D011F2">
        <w:rPr>
          <w:rFonts w:ascii="Arial" w:hAnsi="Arial" w:cs="Arial"/>
          <w:b/>
          <w:sz w:val="24"/>
          <w:szCs w:val="24"/>
        </w:rPr>
        <w:t>from PDAC032T xenografts at relapse endpoint</w:t>
      </w:r>
      <w:r w:rsidRPr="00D011F2">
        <w:rPr>
          <w:rFonts w:ascii="Arial" w:hAnsi="Arial" w:cs="Arial"/>
          <w:b/>
          <w:i/>
          <w:sz w:val="24"/>
          <w:szCs w:val="24"/>
        </w:rPr>
        <w:t xml:space="preserve"> </w:t>
      </w:r>
      <w:r w:rsidRPr="00D011F2">
        <w:rPr>
          <w:rFonts w:ascii="Arial" w:hAnsi="Arial" w:cs="Arial"/>
          <w:b/>
          <w:bCs/>
          <w:sz w:val="24"/>
          <w:szCs w:val="24"/>
        </w:rPr>
        <w:t>(related to Figure 1)</w:t>
      </w:r>
      <w:r w:rsidRPr="00D011F2">
        <w:rPr>
          <w:rFonts w:ascii="Arial" w:hAnsi="Arial" w:cs="Arial"/>
          <w:b/>
          <w:sz w:val="24"/>
          <w:szCs w:val="24"/>
        </w:rPr>
        <w:t xml:space="preserve">. </w:t>
      </w:r>
      <w:r w:rsidRPr="00FE1759">
        <w:rPr>
          <w:rFonts w:ascii="Arial" w:hAnsi="Arial" w:cs="Arial"/>
          <w:b/>
          <w:sz w:val="24"/>
          <w:szCs w:val="24"/>
        </w:rPr>
        <w:t xml:space="preserve">(A) </w:t>
      </w:r>
      <w:r w:rsidRPr="00FE1759">
        <w:rPr>
          <w:rFonts w:ascii="Arial" w:hAnsi="Arial" w:cs="Arial"/>
          <w:sz w:val="24"/>
          <w:szCs w:val="24"/>
        </w:rPr>
        <w:t xml:space="preserve">Four mitochondrial signatures were assessed by GSEA: Oxidative phosphorylation, MOOTHA_VOXPHOS, ETC, and </w:t>
      </w:r>
      <w:proofErr w:type="spellStart"/>
      <w:r w:rsidRPr="00FE1759">
        <w:rPr>
          <w:rFonts w:ascii="Arial" w:hAnsi="Arial" w:cs="Arial"/>
          <w:sz w:val="24"/>
          <w:szCs w:val="24"/>
        </w:rPr>
        <w:t>Reactome</w:t>
      </w:r>
      <w:proofErr w:type="spellEnd"/>
      <w:r w:rsidRPr="00FE1759">
        <w:rPr>
          <w:rFonts w:ascii="Arial" w:hAnsi="Arial" w:cs="Arial"/>
          <w:sz w:val="24"/>
          <w:szCs w:val="24"/>
        </w:rPr>
        <w:t xml:space="preserve"> TCA cycle and respiratory electron transport. Significant enrichments are observed in PDAC032T relapsed tumors versus control. The top portion of each panel shows the normalized enrichment scores (NES) for each signature; the bottom portion of the plot indicates the value of the ranking metric moving down the list of ranked genes. </w:t>
      </w:r>
      <w:r w:rsidRPr="00FE1759">
        <w:rPr>
          <w:rFonts w:ascii="Arial" w:hAnsi="Arial" w:cs="Arial"/>
          <w:b/>
          <w:sz w:val="24"/>
          <w:szCs w:val="24"/>
        </w:rPr>
        <w:t xml:space="preserve">(B) </w:t>
      </w:r>
      <w:r w:rsidRPr="00FE1759">
        <w:rPr>
          <w:rFonts w:ascii="Arial" w:hAnsi="Arial" w:cs="Arial"/>
          <w:i/>
          <w:sz w:val="24"/>
          <w:szCs w:val="24"/>
        </w:rPr>
        <w:t>PPARGC1A</w:t>
      </w:r>
      <w:r w:rsidRPr="00FE1759">
        <w:rPr>
          <w:rFonts w:ascii="Arial" w:hAnsi="Arial" w:cs="Arial"/>
          <w:sz w:val="24"/>
          <w:szCs w:val="24"/>
        </w:rPr>
        <w:t xml:space="preserve"> and </w:t>
      </w:r>
      <w:r w:rsidRPr="00FE1759">
        <w:rPr>
          <w:rFonts w:ascii="Arial" w:hAnsi="Arial" w:cs="Arial"/>
          <w:i/>
          <w:sz w:val="24"/>
          <w:szCs w:val="24"/>
        </w:rPr>
        <w:t>TFAM</w:t>
      </w:r>
      <w:r w:rsidRPr="00FE1759">
        <w:rPr>
          <w:rFonts w:ascii="Arial" w:hAnsi="Arial" w:cs="Arial"/>
          <w:sz w:val="24"/>
          <w:szCs w:val="24"/>
        </w:rPr>
        <w:t xml:space="preserve"> expression in PDAC032T relapsed tumors versus control based on RNA sequencing. *P &lt; 0.05; **P &lt; 0.01; ***P &lt; 0.001. ns, not significant.</w:t>
      </w:r>
    </w:p>
    <w:p w14:paraId="5C3022E5" w14:textId="0B4F94BA" w:rsidR="003413D5" w:rsidRDefault="003413D5" w:rsidP="00802104">
      <w:pPr>
        <w:pStyle w:val="Normalcentr"/>
        <w:spacing w:before="0" w:line="240" w:lineRule="auto"/>
        <w:ind w:left="0" w:right="0"/>
        <w:rPr>
          <w:rFonts w:asciiTheme="minorBidi" w:hAnsiTheme="minorBidi"/>
          <w:szCs w:val="24"/>
        </w:rPr>
      </w:pPr>
      <w:r>
        <w:rPr>
          <w:rFonts w:asciiTheme="minorBidi" w:hAnsiTheme="minorBidi"/>
          <w:szCs w:val="24"/>
        </w:rPr>
        <w:br w:type="page"/>
      </w:r>
    </w:p>
    <w:p w14:paraId="1ED5F123" w14:textId="2B37F0BE" w:rsidR="00167FAD" w:rsidRPr="00A37D30" w:rsidRDefault="00D25B39"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6C3C4A81" wp14:editId="130680B0">
            <wp:extent cx="5792813" cy="726769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1733" cy="7303981"/>
                    </a:xfrm>
                    <a:prstGeom prst="rect">
                      <a:avLst/>
                    </a:prstGeom>
                    <a:noFill/>
                  </pic:spPr>
                </pic:pic>
              </a:graphicData>
            </a:graphic>
          </wp:inline>
        </w:drawing>
      </w:r>
    </w:p>
    <w:p w14:paraId="4551CBC0" w14:textId="351AF6AE" w:rsidR="003413D5" w:rsidRDefault="00357BFD" w:rsidP="00042539">
      <w:pPr>
        <w:spacing w:after="0" w:line="240" w:lineRule="auto"/>
        <w:jc w:val="both"/>
        <w:rPr>
          <w:rFonts w:asciiTheme="minorBidi" w:hAnsiTheme="minorBidi"/>
          <w:szCs w:val="24"/>
        </w:rPr>
      </w:pPr>
      <w:r w:rsidRPr="00FE1759">
        <w:rPr>
          <w:rFonts w:ascii="Arial" w:eastAsia="Times New Roman" w:hAnsi="Arial" w:cs="Arial"/>
          <w:b/>
          <w:color w:val="000000" w:themeColor="text1"/>
          <w:sz w:val="24"/>
          <w:szCs w:val="24"/>
          <w:lang w:eastAsia="es-ES"/>
        </w:rPr>
        <w:t>Fig</w:t>
      </w:r>
      <w:r>
        <w:rPr>
          <w:rFonts w:ascii="Arial" w:eastAsia="Times New Roman" w:hAnsi="Arial" w:cs="Arial"/>
          <w:b/>
          <w:color w:val="000000" w:themeColor="text1"/>
          <w:sz w:val="24"/>
          <w:szCs w:val="24"/>
          <w:lang w:eastAsia="es-ES"/>
        </w:rPr>
        <w:t>ure</w:t>
      </w:r>
      <w:r w:rsidRPr="00FE1759">
        <w:rPr>
          <w:rFonts w:ascii="Arial" w:eastAsia="Times New Roman" w:hAnsi="Arial" w:cs="Arial"/>
          <w:b/>
          <w:color w:val="000000" w:themeColor="text1"/>
          <w:sz w:val="24"/>
          <w:szCs w:val="24"/>
          <w:lang w:eastAsia="es-ES"/>
        </w:rPr>
        <w:t xml:space="preserve"> S4. </w:t>
      </w:r>
      <w:r w:rsidRPr="001F1F02">
        <w:rPr>
          <w:rFonts w:ascii="Arial" w:hAnsi="Arial" w:cs="Arial"/>
          <w:b/>
          <w:sz w:val="24"/>
          <w:szCs w:val="24"/>
        </w:rPr>
        <w:t>Mitochondrial and redox metabolic reprogramming occurs during treatment-induced complete regression in PDAC xenografts</w:t>
      </w:r>
      <w:r w:rsidRPr="001F1F02">
        <w:rPr>
          <w:rFonts w:ascii="Arial" w:hAnsi="Arial" w:cs="Arial"/>
          <w:b/>
          <w:bCs/>
          <w:sz w:val="24"/>
          <w:szCs w:val="24"/>
        </w:rPr>
        <w:t xml:space="preserve"> (related to Figure 3).</w:t>
      </w:r>
      <w:r w:rsidRPr="00FE1759">
        <w:rPr>
          <w:rFonts w:ascii="Arial" w:hAnsi="Arial" w:cs="Arial"/>
          <w:b/>
          <w:bCs/>
          <w:sz w:val="24"/>
          <w:szCs w:val="24"/>
        </w:rPr>
        <w:t xml:space="preserve"> (A-B) </w:t>
      </w:r>
      <w:r w:rsidRPr="00FE1759">
        <w:rPr>
          <w:rFonts w:ascii="Arial" w:hAnsi="Arial" w:cs="Arial"/>
          <w:bCs/>
          <w:sz w:val="24"/>
          <w:szCs w:val="24"/>
        </w:rPr>
        <w:t xml:space="preserve">TMRM and </w:t>
      </w:r>
      <w:proofErr w:type="spellStart"/>
      <w:r w:rsidRPr="00FE1759">
        <w:rPr>
          <w:rFonts w:ascii="Arial" w:hAnsi="Arial" w:cs="Arial"/>
          <w:bCs/>
          <w:sz w:val="24"/>
          <w:szCs w:val="24"/>
        </w:rPr>
        <w:t>MitoSOX</w:t>
      </w:r>
      <w:proofErr w:type="spellEnd"/>
      <w:r w:rsidRPr="00FE1759">
        <w:rPr>
          <w:rFonts w:ascii="Arial" w:hAnsi="Arial" w:cs="Arial"/>
          <w:bCs/>
          <w:sz w:val="24"/>
          <w:szCs w:val="24"/>
        </w:rPr>
        <w:t xml:space="preserve"> values </w:t>
      </w:r>
      <w:r w:rsidRPr="00FE1759">
        <w:rPr>
          <w:rFonts w:ascii="Arial" w:hAnsi="Arial" w:cs="Arial"/>
          <w:sz w:val="24"/>
          <w:szCs w:val="24"/>
        </w:rPr>
        <w:t xml:space="preserve">were normalized by </w:t>
      </w:r>
      <w:proofErr w:type="spellStart"/>
      <w:r w:rsidRPr="00FE1759">
        <w:rPr>
          <w:rFonts w:ascii="Arial" w:hAnsi="Arial" w:cs="Arial"/>
          <w:sz w:val="24"/>
          <w:szCs w:val="24"/>
        </w:rPr>
        <w:t>Mitotracker</w:t>
      </w:r>
      <w:proofErr w:type="spellEnd"/>
      <w:r w:rsidRPr="00FE1759">
        <w:rPr>
          <w:rFonts w:ascii="Arial" w:hAnsi="Arial" w:cs="Arial"/>
          <w:sz w:val="24"/>
          <w:szCs w:val="24"/>
        </w:rPr>
        <w:t xml:space="preserve"> values in xenografts PDAC084T (left) and PDAC032T (right), under treatment (UT, </w:t>
      </w:r>
      <w:r w:rsidRPr="00FE1759">
        <w:rPr>
          <w:rFonts w:ascii="Arial" w:hAnsi="Arial" w:cs="Arial"/>
          <w:b/>
          <w:sz w:val="24"/>
          <w:szCs w:val="24"/>
        </w:rPr>
        <w:t>A</w:t>
      </w:r>
      <w:r w:rsidRPr="00FE1759">
        <w:rPr>
          <w:rFonts w:ascii="Arial" w:hAnsi="Arial" w:cs="Arial"/>
          <w:sz w:val="24"/>
          <w:szCs w:val="24"/>
        </w:rPr>
        <w:t xml:space="preserve">) and at start of relapse (SR, </w:t>
      </w:r>
      <w:r w:rsidRPr="00FE1759">
        <w:rPr>
          <w:rFonts w:ascii="Arial" w:hAnsi="Arial" w:cs="Arial"/>
          <w:b/>
          <w:sz w:val="24"/>
          <w:szCs w:val="24"/>
        </w:rPr>
        <w:t>B</w:t>
      </w:r>
      <w:r w:rsidRPr="00FE1759">
        <w:rPr>
          <w:rFonts w:ascii="Arial" w:hAnsi="Arial" w:cs="Arial"/>
          <w:sz w:val="24"/>
          <w:szCs w:val="24"/>
        </w:rPr>
        <w:t xml:space="preserve">). </w:t>
      </w:r>
      <w:r w:rsidRPr="00FE1759">
        <w:rPr>
          <w:rFonts w:ascii="Arial" w:hAnsi="Arial" w:cs="Arial"/>
          <w:b/>
          <w:sz w:val="24"/>
          <w:szCs w:val="24"/>
        </w:rPr>
        <w:t xml:space="preserve">(C-D) </w:t>
      </w:r>
      <w:r w:rsidRPr="00FE1759">
        <w:rPr>
          <w:rFonts w:ascii="Arial" w:hAnsi="Arial" w:cs="Arial"/>
          <w:sz w:val="24"/>
          <w:szCs w:val="24"/>
        </w:rPr>
        <w:t xml:space="preserve">ATP production was measured in the presence of oligomycin </w:t>
      </w:r>
      <w:r>
        <w:rPr>
          <w:rFonts w:ascii="Arial" w:hAnsi="Arial" w:cs="Arial"/>
          <w:sz w:val="24"/>
          <w:szCs w:val="24"/>
        </w:rPr>
        <w:t>or</w:t>
      </w:r>
      <w:r w:rsidRPr="00FE1759">
        <w:rPr>
          <w:rFonts w:ascii="Arial" w:hAnsi="Arial" w:cs="Arial"/>
          <w:sz w:val="24"/>
          <w:szCs w:val="24"/>
        </w:rPr>
        <w:t xml:space="preserve"> 2DG </w:t>
      </w:r>
      <w:r w:rsidRPr="00FE1759">
        <w:rPr>
          <w:rFonts w:ascii="Arial" w:hAnsi="Arial" w:cs="Arial"/>
          <w:i/>
          <w:sz w:val="24"/>
          <w:szCs w:val="24"/>
        </w:rPr>
        <w:t>in vitro</w:t>
      </w:r>
      <w:r w:rsidRPr="00FE1759">
        <w:rPr>
          <w:rFonts w:ascii="Arial" w:hAnsi="Arial" w:cs="Arial"/>
          <w:sz w:val="24"/>
          <w:szCs w:val="24"/>
        </w:rPr>
        <w:t xml:space="preserve"> on dissociated relapsed xenografts PDAC084T (left) and PDAC032T (right), under treatment (UT, </w:t>
      </w:r>
      <w:r w:rsidRPr="00FE1759">
        <w:rPr>
          <w:rFonts w:ascii="Arial" w:hAnsi="Arial" w:cs="Arial"/>
          <w:b/>
          <w:sz w:val="24"/>
          <w:szCs w:val="24"/>
        </w:rPr>
        <w:t>C</w:t>
      </w:r>
      <w:r w:rsidRPr="00FE1759">
        <w:rPr>
          <w:rFonts w:ascii="Arial" w:hAnsi="Arial" w:cs="Arial"/>
          <w:sz w:val="24"/>
          <w:szCs w:val="24"/>
        </w:rPr>
        <w:t xml:space="preserve">) and at start of relapse (SR, </w:t>
      </w:r>
      <w:r w:rsidRPr="00FE1759">
        <w:rPr>
          <w:rFonts w:ascii="Arial" w:hAnsi="Arial" w:cs="Arial"/>
          <w:b/>
          <w:sz w:val="24"/>
          <w:szCs w:val="24"/>
        </w:rPr>
        <w:t>D</w:t>
      </w:r>
      <w:r w:rsidRPr="00FE1759">
        <w:rPr>
          <w:rFonts w:ascii="Arial" w:hAnsi="Arial" w:cs="Arial"/>
          <w:sz w:val="24"/>
          <w:szCs w:val="24"/>
        </w:rPr>
        <w:t xml:space="preserve">). </w:t>
      </w:r>
      <w:r w:rsidRPr="00FE1759">
        <w:rPr>
          <w:rFonts w:ascii="Arial" w:hAnsi="Arial" w:cs="Arial"/>
          <w:b/>
          <w:sz w:val="24"/>
          <w:szCs w:val="24"/>
        </w:rPr>
        <w:t xml:space="preserve">(E) </w:t>
      </w:r>
      <w:r w:rsidRPr="00FE1759">
        <w:rPr>
          <w:rFonts w:ascii="Arial" w:hAnsi="Arial" w:cs="Arial"/>
          <w:sz w:val="24"/>
          <w:szCs w:val="24"/>
        </w:rPr>
        <w:t xml:space="preserve">Percentages of </w:t>
      </w:r>
      <w:r w:rsidRPr="00FE1759">
        <w:rPr>
          <w:rFonts w:ascii="Arial" w:hAnsi="Arial" w:cs="Arial"/>
          <w:sz w:val="24"/>
          <w:szCs w:val="24"/>
          <w:lang w:eastAsia="fr-FR"/>
        </w:rPr>
        <w:t xml:space="preserve">glycolytic ATP </w:t>
      </w:r>
      <w:r w:rsidRPr="00FE1759">
        <w:rPr>
          <w:rFonts w:ascii="Arial" w:hAnsi="Arial" w:cs="Arial"/>
          <w:sz w:val="24"/>
          <w:szCs w:val="24"/>
        </w:rPr>
        <w:t>in PDAC084T (left) and PDAC032T (right), under treatment (UT) and at start of relapse (SR).</w:t>
      </w:r>
      <w:r w:rsidR="003413D5">
        <w:rPr>
          <w:rFonts w:asciiTheme="minorBidi" w:hAnsiTheme="minorBidi"/>
          <w:szCs w:val="24"/>
        </w:rPr>
        <w:br w:type="page"/>
      </w:r>
    </w:p>
    <w:p w14:paraId="1626A18A" w14:textId="282E5D43" w:rsidR="00167FAD" w:rsidRDefault="008630F7"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081115E0" wp14:editId="476CCD5D">
            <wp:extent cx="5665216" cy="56764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362" cy="5683566"/>
                    </a:xfrm>
                    <a:prstGeom prst="rect">
                      <a:avLst/>
                    </a:prstGeom>
                    <a:noFill/>
                  </pic:spPr>
                </pic:pic>
              </a:graphicData>
            </a:graphic>
          </wp:inline>
        </w:drawing>
      </w:r>
    </w:p>
    <w:p w14:paraId="15BCA623" w14:textId="77777777" w:rsidR="005514E7" w:rsidRPr="00A37D30" w:rsidRDefault="005514E7" w:rsidP="00802104">
      <w:pPr>
        <w:pStyle w:val="Normalcentr"/>
        <w:spacing w:before="0" w:line="240" w:lineRule="auto"/>
        <w:ind w:left="0" w:right="0"/>
        <w:rPr>
          <w:rFonts w:asciiTheme="minorBidi" w:hAnsiTheme="minorBidi" w:cstheme="minorBidi"/>
          <w:szCs w:val="24"/>
          <w:lang w:val="en-US"/>
        </w:rPr>
      </w:pPr>
      <w:bookmarkStart w:id="1" w:name="_GoBack"/>
      <w:bookmarkEnd w:id="1"/>
    </w:p>
    <w:p w14:paraId="5DD11314" w14:textId="77777777" w:rsidR="00042539" w:rsidRPr="00FE1759" w:rsidRDefault="00042539" w:rsidP="00042539">
      <w:pPr>
        <w:spacing w:after="0" w:line="240" w:lineRule="auto"/>
        <w:jc w:val="both"/>
        <w:rPr>
          <w:rFonts w:ascii="Arial" w:eastAsia="Times New Roman" w:hAnsi="Arial" w:cs="Arial"/>
          <w:b/>
          <w:color w:val="000000" w:themeColor="text1"/>
          <w:sz w:val="24"/>
          <w:szCs w:val="24"/>
          <w:lang w:eastAsia="es-ES"/>
        </w:rPr>
      </w:pPr>
      <w:r w:rsidRPr="00FE1759">
        <w:rPr>
          <w:rFonts w:ascii="Arial" w:eastAsia="Times New Roman" w:hAnsi="Arial" w:cs="Arial"/>
          <w:b/>
          <w:color w:val="000000" w:themeColor="text1"/>
          <w:sz w:val="24"/>
          <w:szCs w:val="24"/>
          <w:lang w:eastAsia="es-ES"/>
        </w:rPr>
        <w:t>Fig</w:t>
      </w:r>
      <w:r>
        <w:rPr>
          <w:rFonts w:ascii="Arial" w:eastAsia="Times New Roman" w:hAnsi="Arial" w:cs="Arial"/>
          <w:b/>
          <w:color w:val="000000" w:themeColor="text1"/>
          <w:sz w:val="24"/>
          <w:szCs w:val="24"/>
          <w:lang w:eastAsia="es-ES"/>
        </w:rPr>
        <w:t>ure</w:t>
      </w:r>
      <w:r w:rsidRPr="00FE1759">
        <w:rPr>
          <w:rFonts w:ascii="Arial" w:eastAsia="Times New Roman" w:hAnsi="Arial" w:cs="Arial"/>
          <w:b/>
          <w:color w:val="000000" w:themeColor="text1"/>
          <w:sz w:val="24"/>
          <w:szCs w:val="24"/>
          <w:lang w:eastAsia="es-ES"/>
        </w:rPr>
        <w:t xml:space="preserve"> S5. </w:t>
      </w:r>
      <w:r w:rsidRPr="00042539">
        <w:rPr>
          <w:rFonts w:ascii="Arial" w:hAnsi="Arial" w:cs="Arial"/>
          <w:b/>
          <w:bCs/>
          <w:sz w:val="24"/>
          <w:szCs w:val="24"/>
        </w:rPr>
        <w:t xml:space="preserve">Chemotherapy induces ROS increase and redox-driven loss of cell viability in PDAC cells </w:t>
      </w:r>
      <w:r w:rsidRPr="00042539">
        <w:rPr>
          <w:rFonts w:ascii="Arial" w:hAnsi="Arial" w:cs="Arial"/>
          <w:b/>
          <w:bCs/>
          <w:i/>
          <w:sz w:val="24"/>
          <w:szCs w:val="24"/>
        </w:rPr>
        <w:t>in vitro</w:t>
      </w:r>
      <w:r w:rsidRPr="00042539">
        <w:rPr>
          <w:rFonts w:ascii="Arial" w:hAnsi="Arial" w:cs="Arial"/>
          <w:b/>
          <w:bCs/>
          <w:sz w:val="24"/>
          <w:szCs w:val="24"/>
        </w:rPr>
        <w:t xml:space="preserve"> (related to Figure 3).</w:t>
      </w:r>
      <w:r w:rsidRPr="00FE1759">
        <w:rPr>
          <w:rFonts w:ascii="Arial" w:hAnsi="Arial" w:cs="Arial"/>
          <w:b/>
          <w:bCs/>
          <w:sz w:val="24"/>
          <w:szCs w:val="24"/>
        </w:rPr>
        <w:t xml:space="preserve"> (A)</w:t>
      </w:r>
      <w:r w:rsidRPr="00FE1759">
        <w:rPr>
          <w:rFonts w:ascii="Arial" w:hAnsi="Arial" w:cs="Arial"/>
          <w:sz w:val="24"/>
          <w:szCs w:val="24"/>
        </w:rPr>
        <w:t xml:space="preserve"> Total ROS level was measured by flow cytometry with the </w:t>
      </w:r>
      <w:proofErr w:type="spellStart"/>
      <w:r w:rsidRPr="00FE1759">
        <w:rPr>
          <w:rFonts w:ascii="Arial" w:hAnsi="Arial" w:cs="Arial"/>
          <w:sz w:val="24"/>
          <w:szCs w:val="24"/>
        </w:rPr>
        <w:t>CellROX</w:t>
      </w:r>
      <w:proofErr w:type="spellEnd"/>
      <w:r w:rsidRPr="00FE1759">
        <w:rPr>
          <w:rFonts w:ascii="Arial" w:hAnsi="Arial" w:cs="Arial"/>
          <w:sz w:val="24"/>
          <w:szCs w:val="24"/>
        </w:rPr>
        <w:t xml:space="preserve"> orange probe in PDAC084T and PDAC032T cells cultured </w:t>
      </w:r>
      <w:r w:rsidRPr="00FE1759">
        <w:rPr>
          <w:rFonts w:ascii="Arial" w:hAnsi="Arial" w:cs="Arial"/>
          <w:i/>
          <w:sz w:val="24"/>
          <w:szCs w:val="24"/>
        </w:rPr>
        <w:t>in vitro</w:t>
      </w:r>
      <w:r w:rsidRPr="00FE1759">
        <w:rPr>
          <w:rFonts w:ascii="Arial" w:hAnsi="Arial" w:cs="Arial"/>
          <w:sz w:val="24"/>
          <w:szCs w:val="24"/>
        </w:rPr>
        <w:t xml:space="preserve">, after 24 hours treatment with gemcitabine (1 µM), or perhexiline (7 µM), or combination at same concentrations. We used DMSO (0.05%) as vehicle for the controls. </w:t>
      </w:r>
      <w:r>
        <w:rPr>
          <w:rFonts w:ascii="Arial" w:eastAsia="MS Mincho" w:hAnsi="Arial" w:cs="Arial"/>
          <w:sz w:val="24"/>
          <w:szCs w:val="24"/>
          <w:lang w:eastAsia="ja-JP"/>
        </w:rPr>
        <w:t>S</w:t>
      </w:r>
      <w:r w:rsidRPr="00FE1759">
        <w:rPr>
          <w:rFonts w:ascii="Arial" w:eastAsia="MS Mincho" w:hAnsi="Arial" w:cs="Arial"/>
          <w:sz w:val="24"/>
          <w:szCs w:val="24"/>
          <w:lang w:eastAsia="ja-JP"/>
        </w:rPr>
        <w:t xml:space="preserve">upplementation </w:t>
      </w:r>
      <w:r>
        <w:rPr>
          <w:rFonts w:ascii="Arial" w:eastAsia="MS Mincho" w:hAnsi="Arial" w:cs="Arial"/>
          <w:sz w:val="24"/>
          <w:szCs w:val="24"/>
          <w:lang w:eastAsia="ja-JP"/>
        </w:rPr>
        <w:t xml:space="preserve">with the </w:t>
      </w:r>
      <w:r w:rsidRPr="00FE1759">
        <w:rPr>
          <w:rFonts w:ascii="Arial" w:eastAsia="MS Mincho" w:hAnsi="Arial" w:cs="Arial"/>
          <w:sz w:val="24"/>
          <w:szCs w:val="24"/>
          <w:lang w:eastAsia="ja-JP"/>
        </w:rPr>
        <w:t xml:space="preserve">antioxidant </w:t>
      </w:r>
      <w:r>
        <w:rPr>
          <w:rFonts w:ascii="Arial" w:eastAsia="MS Mincho" w:hAnsi="Arial" w:cs="Arial"/>
          <w:sz w:val="24"/>
          <w:szCs w:val="24"/>
          <w:lang w:eastAsia="ja-JP"/>
        </w:rPr>
        <w:t>N-acetylcysteine (</w:t>
      </w:r>
      <w:r w:rsidRPr="00FE1759">
        <w:rPr>
          <w:rFonts w:ascii="Arial" w:hAnsi="Arial" w:cs="Arial"/>
          <w:sz w:val="24"/>
          <w:szCs w:val="24"/>
        </w:rPr>
        <w:t>NAC</w:t>
      </w:r>
      <w:r>
        <w:rPr>
          <w:rFonts w:ascii="Arial" w:hAnsi="Arial" w:cs="Arial"/>
          <w:sz w:val="24"/>
          <w:szCs w:val="24"/>
        </w:rPr>
        <w:t>)</w:t>
      </w:r>
      <w:r w:rsidRPr="00FE1759">
        <w:rPr>
          <w:rFonts w:ascii="Arial" w:hAnsi="Arial" w:cs="Arial"/>
          <w:sz w:val="24"/>
          <w:szCs w:val="24"/>
        </w:rPr>
        <w:t xml:space="preserve"> </w:t>
      </w:r>
      <w:r>
        <w:rPr>
          <w:rFonts w:ascii="Arial" w:hAnsi="Arial" w:cs="Arial"/>
          <w:sz w:val="24"/>
          <w:szCs w:val="24"/>
        </w:rPr>
        <w:t xml:space="preserve">at </w:t>
      </w:r>
      <w:r w:rsidRPr="00FE1759">
        <w:rPr>
          <w:rFonts w:ascii="Arial" w:hAnsi="Arial" w:cs="Arial"/>
          <w:sz w:val="24"/>
          <w:szCs w:val="24"/>
        </w:rPr>
        <w:t>2.5 mM</w:t>
      </w:r>
      <w:r w:rsidRPr="00FE1759">
        <w:rPr>
          <w:rFonts w:ascii="Arial" w:eastAsia="MS Mincho" w:hAnsi="Arial" w:cs="Arial"/>
          <w:sz w:val="24"/>
          <w:szCs w:val="24"/>
          <w:lang w:eastAsia="ja-JP"/>
        </w:rPr>
        <w:t xml:space="preserve"> was performed for 24 hours at the same time as the treatments</w:t>
      </w:r>
      <w:r w:rsidRPr="00FE1759">
        <w:rPr>
          <w:rFonts w:ascii="Arial" w:hAnsi="Arial" w:cs="Arial"/>
          <w:sz w:val="24"/>
          <w:szCs w:val="24"/>
        </w:rPr>
        <w:t xml:space="preserve">. Data are expressed as mean </w:t>
      </w:r>
      <w:r>
        <w:rPr>
          <w:rFonts w:ascii="Arial" w:hAnsi="Arial" w:cs="Arial"/>
          <w:sz w:val="24"/>
          <w:szCs w:val="24"/>
        </w:rPr>
        <w:t>of</w:t>
      </w:r>
      <w:r w:rsidRPr="00FE1759">
        <w:rPr>
          <w:rFonts w:ascii="Arial" w:hAnsi="Arial" w:cs="Arial"/>
          <w:sz w:val="24"/>
          <w:szCs w:val="24"/>
        </w:rPr>
        <w:t xml:space="preserve"> duplicates ± SEM and are representative of three independent experiments. To calculate p values, Unpaired T-test was used.</w:t>
      </w:r>
      <w:r w:rsidRPr="00FE1759">
        <w:rPr>
          <w:rFonts w:ascii="Arial" w:hAnsi="Arial" w:cs="Arial"/>
          <w:b/>
          <w:sz w:val="24"/>
          <w:szCs w:val="24"/>
        </w:rPr>
        <w:t xml:space="preserve"> (B) </w:t>
      </w:r>
      <w:r w:rsidRPr="00FE1759">
        <w:rPr>
          <w:rFonts w:ascii="Arial" w:hAnsi="Arial" w:cs="Arial"/>
          <w:sz w:val="24"/>
          <w:szCs w:val="24"/>
        </w:rPr>
        <w:t>Percentage of live cells treated for 24 hours with gemcitabine (1 µM), perhexiline (7 µM) or the combination in PDAC084T, and with gemcitabine alone in PDAC032T. Cell viability</w:t>
      </w:r>
      <w:r w:rsidRPr="00FE1759">
        <w:rPr>
          <w:rFonts w:ascii="Arial" w:hAnsi="Arial" w:cs="Arial"/>
          <w:color w:val="FF0000"/>
          <w:sz w:val="24"/>
          <w:szCs w:val="24"/>
        </w:rPr>
        <w:t xml:space="preserve"> </w:t>
      </w:r>
      <w:r w:rsidRPr="00FE1759">
        <w:rPr>
          <w:rFonts w:ascii="Arial" w:hAnsi="Arial" w:cs="Arial"/>
          <w:sz w:val="24"/>
          <w:szCs w:val="24"/>
        </w:rPr>
        <w:t>was determined by Crystal violet assay. Data are means of triplicates ± SEM, and are representative of three independent experiments. Unpaired T-test was used. *, **, *** and **** correspond to p&lt;0.05, 0.01, 0.001, and 0.0001, respectively; ns: non-significant difference.</w:t>
      </w:r>
    </w:p>
    <w:p w14:paraId="6AF0E42A" w14:textId="632A0365" w:rsidR="003413D5" w:rsidRDefault="003413D5" w:rsidP="00802104">
      <w:pPr>
        <w:pStyle w:val="Normalcentr"/>
        <w:spacing w:before="0" w:line="240" w:lineRule="auto"/>
        <w:ind w:left="0" w:right="0"/>
        <w:rPr>
          <w:rFonts w:asciiTheme="minorBidi" w:hAnsiTheme="minorBidi"/>
          <w:szCs w:val="24"/>
        </w:rPr>
      </w:pPr>
      <w:r>
        <w:rPr>
          <w:rFonts w:asciiTheme="minorBidi" w:hAnsiTheme="minorBidi"/>
          <w:szCs w:val="24"/>
        </w:rPr>
        <w:br w:type="page"/>
      </w:r>
    </w:p>
    <w:p w14:paraId="74B902DF" w14:textId="3C4529A0" w:rsidR="00167FAD" w:rsidRDefault="008630F7"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669F26F2" wp14:editId="644B3432">
            <wp:extent cx="6068291" cy="499806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5311" cy="5020317"/>
                    </a:xfrm>
                    <a:prstGeom prst="rect">
                      <a:avLst/>
                    </a:prstGeom>
                    <a:noFill/>
                  </pic:spPr>
                </pic:pic>
              </a:graphicData>
            </a:graphic>
          </wp:inline>
        </w:drawing>
      </w:r>
    </w:p>
    <w:p w14:paraId="37BFDA60" w14:textId="4C8A1FBD" w:rsidR="003413D5" w:rsidRDefault="00FF226B" w:rsidP="00FF226B">
      <w:pPr>
        <w:pStyle w:val="Normalcentr"/>
        <w:spacing w:before="0" w:line="240" w:lineRule="auto"/>
        <w:ind w:left="0" w:right="0"/>
        <w:rPr>
          <w:rFonts w:asciiTheme="minorBidi" w:hAnsiTheme="minorBidi"/>
          <w:szCs w:val="24"/>
        </w:rPr>
      </w:pPr>
      <w:r w:rsidRPr="00962297">
        <w:rPr>
          <w:rFonts w:ascii="Arial" w:hAnsi="Arial" w:cs="Arial"/>
          <w:b/>
          <w:color w:val="000000" w:themeColor="text1"/>
          <w:szCs w:val="24"/>
        </w:rPr>
        <w:t>Fig</w:t>
      </w:r>
      <w:r>
        <w:rPr>
          <w:rFonts w:ascii="Arial" w:hAnsi="Arial" w:cs="Arial"/>
          <w:b/>
          <w:color w:val="000000" w:themeColor="text1"/>
          <w:szCs w:val="24"/>
        </w:rPr>
        <w:t>ure</w:t>
      </w:r>
      <w:r w:rsidRPr="00962297">
        <w:rPr>
          <w:rFonts w:ascii="Arial" w:hAnsi="Arial" w:cs="Arial"/>
          <w:b/>
          <w:color w:val="000000" w:themeColor="text1"/>
          <w:szCs w:val="24"/>
        </w:rPr>
        <w:t xml:space="preserve"> S6.</w:t>
      </w:r>
      <w:r w:rsidRPr="00700850">
        <w:rPr>
          <w:rFonts w:ascii="Arial" w:hAnsi="Arial" w:cs="Arial"/>
          <w:b/>
          <w:color w:val="000000" w:themeColor="text1"/>
          <w:szCs w:val="24"/>
        </w:rPr>
        <w:t xml:space="preserve"> A</w:t>
      </w:r>
      <w:r w:rsidRPr="00700850">
        <w:rPr>
          <w:rFonts w:ascii="Arial" w:hAnsi="Arial" w:cs="Arial"/>
          <w:b/>
          <w:bCs/>
          <w:szCs w:val="24"/>
        </w:rPr>
        <w:t xml:space="preserve">ntioxidant </w:t>
      </w:r>
      <w:proofErr w:type="spellStart"/>
      <w:r w:rsidRPr="00700850">
        <w:rPr>
          <w:rFonts w:ascii="Arial" w:hAnsi="Arial" w:cs="Arial"/>
          <w:b/>
          <w:bCs/>
          <w:szCs w:val="24"/>
        </w:rPr>
        <w:t>defenses</w:t>
      </w:r>
      <w:proofErr w:type="spellEnd"/>
      <w:r w:rsidRPr="00700850">
        <w:rPr>
          <w:rFonts w:ascii="Arial" w:hAnsi="Arial" w:cs="Arial"/>
          <w:b/>
          <w:bCs/>
          <w:szCs w:val="24"/>
        </w:rPr>
        <w:t xml:space="preserve"> in xenografts at relapse end point (related to Figure 4).</w:t>
      </w:r>
      <w:r w:rsidRPr="00962297">
        <w:rPr>
          <w:rFonts w:ascii="Arial" w:hAnsi="Arial" w:cs="Arial"/>
          <w:b/>
          <w:color w:val="000000" w:themeColor="text1"/>
          <w:szCs w:val="24"/>
        </w:rPr>
        <w:t xml:space="preserve"> (A) </w:t>
      </w:r>
      <w:r w:rsidRPr="00962297">
        <w:rPr>
          <w:rFonts w:ascii="Arial" w:eastAsia="Calibri" w:hAnsi="Arial" w:cs="Arial"/>
          <w:color w:val="000000" w:themeColor="text1"/>
          <w:szCs w:val="24"/>
        </w:rPr>
        <w:t xml:space="preserve">Simplified schematic representation of ROS generation and enzymatic </w:t>
      </w:r>
      <w:r>
        <w:rPr>
          <w:rFonts w:ascii="Arial" w:eastAsia="Calibri" w:hAnsi="Arial" w:cs="Arial"/>
          <w:color w:val="000000" w:themeColor="text1"/>
          <w:szCs w:val="24"/>
        </w:rPr>
        <w:t>and non-</w:t>
      </w:r>
      <w:r w:rsidRPr="00006EB1">
        <w:rPr>
          <w:rFonts w:ascii="Arial" w:eastAsia="Calibri" w:hAnsi="Arial" w:cs="Arial"/>
          <w:color w:val="000000" w:themeColor="text1"/>
          <w:szCs w:val="24"/>
        </w:rPr>
        <w:t xml:space="preserve"> </w:t>
      </w:r>
      <w:r w:rsidRPr="00962297">
        <w:rPr>
          <w:rFonts w:ascii="Arial" w:eastAsia="Calibri" w:hAnsi="Arial" w:cs="Arial"/>
          <w:color w:val="000000" w:themeColor="text1"/>
          <w:szCs w:val="24"/>
        </w:rPr>
        <w:t xml:space="preserve">enzymatic antioxidant </w:t>
      </w:r>
      <w:proofErr w:type="spellStart"/>
      <w:r w:rsidRPr="00962297">
        <w:rPr>
          <w:rFonts w:ascii="Arial" w:eastAsia="Calibri" w:hAnsi="Arial" w:cs="Arial"/>
          <w:color w:val="000000" w:themeColor="text1"/>
          <w:szCs w:val="24"/>
        </w:rPr>
        <w:t>defenses</w:t>
      </w:r>
      <w:proofErr w:type="spellEnd"/>
      <w:r w:rsidRPr="00962297">
        <w:rPr>
          <w:rFonts w:ascii="Arial" w:eastAsia="Calibri" w:hAnsi="Arial" w:cs="Arial"/>
          <w:color w:val="000000" w:themeColor="text1"/>
          <w:szCs w:val="24"/>
        </w:rPr>
        <w:t>. Superoxide anion (O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vertAlign w:val="superscript"/>
        </w:rPr>
        <w:t>.-</w:t>
      </w:r>
      <w:r w:rsidRPr="00962297">
        <w:rPr>
          <w:rFonts w:ascii="Arial" w:eastAsia="Calibri" w:hAnsi="Arial" w:cs="Arial"/>
          <w:color w:val="000000" w:themeColor="text1"/>
          <w:szCs w:val="24"/>
        </w:rPr>
        <w:t>) is mainly produced by the mitochondrial ETC complexes by partial reduction of molecular oxygen (O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 xml:space="preserve">). Superoxide is </w:t>
      </w:r>
      <w:proofErr w:type="spellStart"/>
      <w:r w:rsidRPr="00962297">
        <w:rPr>
          <w:rFonts w:ascii="Arial" w:eastAsia="Calibri" w:hAnsi="Arial" w:cs="Arial"/>
          <w:color w:val="000000" w:themeColor="text1"/>
          <w:szCs w:val="24"/>
        </w:rPr>
        <w:t>dismutated</w:t>
      </w:r>
      <w:proofErr w:type="spellEnd"/>
      <w:r w:rsidRPr="00962297">
        <w:rPr>
          <w:rFonts w:ascii="Arial" w:eastAsia="Calibri" w:hAnsi="Arial" w:cs="Arial"/>
          <w:color w:val="000000" w:themeColor="text1"/>
          <w:szCs w:val="24"/>
        </w:rPr>
        <w:t xml:space="preserve"> into hydrogen peroxide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 xml:space="preserve">) by superoxide </w:t>
      </w:r>
      <w:proofErr w:type="spellStart"/>
      <w:r w:rsidRPr="00962297">
        <w:rPr>
          <w:rFonts w:ascii="Arial" w:eastAsia="Calibri" w:hAnsi="Arial" w:cs="Arial"/>
          <w:color w:val="000000" w:themeColor="text1"/>
          <w:szCs w:val="24"/>
        </w:rPr>
        <w:t>dismutases</w:t>
      </w:r>
      <w:proofErr w:type="spellEnd"/>
      <w:r w:rsidRPr="00962297">
        <w:rPr>
          <w:rFonts w:ascii="Arial" w:eastAsia="Calibri" w:hAnsi="Arial" w:cs="Arial"/>
          <w:color w:val="000000" w:themeColor="text1"/>
          <w:szCs w:val="24"/>
        </w:rPr>
        <w:t xml:space="preserve"> (SOD).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 is converted to water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 by glutathione peroxidases (GPX). Via the Fenton reaction with metal ions Fe</w:t>
      </w:r>
      <w:r w:rsidRPr="00962297">
        <w:rPr>
          <w:rFonts w:ascii="Arial" w:eastAsia="Calibri" w:hAnsi="Arial" w:cs="Arial"/>
          <w:color w:val="000000" w:themeColor="text1"/>
          <w:szCs w:val="24"/>
          <w:vertAlign w:val="superscript"/>
        </w:rPr>
        <w:t>2+</w:t>
      </w:r>
      <w:r w:rsidRPr="00962297">
        <w:rPr>
          <w:rFonts w:ascii="Arial" w:eastAsia="Calibri" w:hAnsi="Arial" w:cs="Arial"/>
          <w:color w:val="000000" w:themeColor="text1"/>
          <w:szCs w:val="24"/>
        </w:rPr>
        <w:t xml:space="preserve"> or Cu</w:t>
      </w:r>
      <w:r w:rsidRPr="00962297">
        <w:rPr>
          <w:rFonts w:ascii="Arial" w:eastAsia="Calibri" w:hAnsi="Arial" w:cs="Arial"/>
          <w:color w:val="000000" w:themeColor="text1"/>
          <w:szCs w:val="24"/>
          <w:vertAlign w:val="superscript"/>
        </w:rPr>
        <w:t>+</w:t>
      </w:r>
      <w:r w:rsidRPr="00962297">
        <w:rPr>
          <w:rFonts w:ascii="Arial" w:eastAsia="Calibri" w:hAnsi="Arial" w:cs="Arial"/>
          <w:color w:val="000000" w:themeColor="text1"/>
          <w:szCs w:val="24"/>
        </w:rPr>
        <w:t>,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 xml:space="preserve"> is further reduced to highly reactive hydroxyl radical (OH</w:t>
      </w:r>
      <w:r w:rsidRPr="00962297">
        <w:rPr>
          <w:rFonts w:ascii="Cambria Math" w:eastAsia="Calibri" w:hAnsi="Cambria Math" w:cs="Cambria Math"/>
          <w:color w:val="000000" w:themeColor="text1"/>
          <w:szCs w:val="24"/>
          <w:vertAlign w:val="superscript"/>
        </w:rPr>
        <w:t>⋅</w:t>
      </w:r>
      <w:r w:rsidRPr="00962297">
        <w:rPr>
          <w:rFonts w:ascii="Arial" w:eastAsia="Calibri" w:hAnsi="Arial" w:cs="Arial"/>
          <w:color w:val="000000" w:themeColor="text1"/>
          <w:szCs w:val="24"/>
        </w:rPr>
        <w:t>), thereby damaging biological macromolecules such as DNA, lipids, and proteins.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 xml:space="preserve"> is the main player in redox homeostasis, and can induce the activation of the antioxidant transcription factor Nrf2 through dissociation of the Nrf2-KEAP1 complex, phosphorylation of Nrf2, and its nuclear translocation. In the nucleus, Nrf2 promotes transcription of multiple antioxidant genes such as </w:t>
      </w:r>
      <w:r w:rsidRPr="00962297">
        <w:rPr>
          <w:rFonts w:ascii="Arial" w:eastAsia="Calibri" w:hAnsi="Arial" w:cs="Arial"/>
          <w:i/>
          <w:color w:val="000000" w:themeColor="text1"/>
          <w:szCs w:val="24"/>
        </w:rPr>
        <w:t>SLC7A11</w:t>
      </w:r>
      <w:r w:rsidRPr="00962297">
        <w:rPr>
          <w:rFonts w:ascii="Arial" w:eastAsia="Calibri" w:hAnsi="Arial" w:cs="Arial"/>
          <w:color w:val="000000" w:themeColor="text1"/>
          <w:szCs w:val="24"/>
        </w:rPr>
        <w:t xml:space="preserve"> and </w:t>
      </w:r>
      <w:r w:rsidRPr="00962297">
        <w:rPr>
          <w:rFonts w:ascii="Arial" w:eastAsia="Calibri" w:hAnsi="Arial" w:cs="Arial"/>
          <w:i/>
          <w:color w:val="000000" w:themeColor="text1"/>
          <w:szCs w:val="24"/>
        </w:rPr>
        <w:t>HO-1</w:t>
      </w:r>
      <w:r w:rsidRPr="00962297">
        <w:rPr>
          <w:rFonts w:ascii="Arial" w:eastAsia="Calibri" w:hAnsi="Arial" w:cs="Arial"/>
          <w:color w:val="000000" w:themeColor="text1"/>
          <w:szCs w:val="24"/>
        </w:rPr>
        <w:t xml:space="preserve"> by binding to the antioxidant responsive elements (ARE) in the promoter region of target genes. Via its entry into cells through the</w:t>
      </w:r>
      <w:r w:rsidRPr="00962297">
        <w:rPr>
          <w:rFonts w:ascii="Arial" w:eastAsia="Calibri" w:hAnsi="Arial" w:cs="Arial"/>
          <w:b/>
          <w:bCs/>
          <w:color w:val="000000" w:themeColor="text1"/>
          <w:szCs w:val="24"/>
        </w:rPr>
        <w:t> </w:t>
      </w:r>
      <w:r w:rsidRPr="00962297">
        <w:rPr>
          <w:rFonts w:ascii="Arial" w:eastAsia="Calibri" w:hAnsi="Arial" w:cs="Arial"/>
          <w:bCs/>
          <w:color w:val="000000" w:themeColor="text1"/>
          <w:szCs w:val="24"/>
        </w:rPr>
        <w:t>glutamate/cystine</w:t>
      </w:r>
      <w:r w:rsidRPr="00962297">
        <w:rPr>
          <w:rFonts w:ascii="Arial" w:eastAsia="Calibri" w:hAnsi="Arial" w:cs="Arial"/>
          <w:color w:val="000000" w:themeColor="text1"/>
          <w:szCs w:val="24"/>
        </w:rPr>
        <w:t xml:space="preserve"> antiporter </w:t>
      </w:r>
      <w:proofErr w:type="spellStart"/>
      <w:r w:rsidRPr="00962297">
        <w:rPr>
          <w:rFonts w:ascii="Arial" w:eastAsia="Calibri" w:hAnsi="Arial" w:cs="Arial"/>
          <w:color w:val="000000" w:themeColor="text1"/>
          <w:szCs w:val="24"/>
        </w:rPr>
        <w:t>xCT</w:t>
      </w:r>
      <w:proofErr w:type="spellEnd"/>
      <w:r w:rsidRPr="00962297">
        <w:rPr>
          <w:rFonts w:ascii="Arial" w:eastAsia="Calibri" w:hAnsi="Arial" w:cs="Arial"/>
          <w:color w:val="000000" w:themeColor="text1"/>
          <w:szCs w:val="24"/>
        </w:rPr>
        <w:t xml:space="preserve"> encoded by the </w:t>
      </w:r>
      <w:r w:rsidRPr="00962297">
        <w:rPr>
          <w:rFonts w:ascii="Arial" w:eastAsia="Calibri" w:hAnsi="Arial" w:cs="Arial"/>
          <w:i/>
          <w:color w:val="000000" w:themeColor="text1"/>
          <w:szCs w:val="24"/>
        </w:rPr>
        <w:t>SLC7A11</w:t>
      </w:r>
      <w:r w:rsidRPr="00962297">
        <w:rPr>
          <w:rFonts w:ascii="Arial" w:eastAsia="Calibri" w:hAnsi="Arial" w:cs="Arial"/>
          <w:color w:val="000000" w:themeColor="text1"/>
          <w:szCs w:val="24"/>
        </w:rPr>
        <w:t xml:space="preserve"> gene, cysteine can enhance GSH production which is a tripeptide glutamate-cysteine-glycine.</w:t>
      </w:r>
      <w:r w:rsidRPr="00962297">
        <w:rPr>
          <w:rFonts w:ascii="Arial" w:hAnsi="Arial" w:cs="Arial"/>
          <w:b/>
          <w:color w:val="000000" w:themeColor="text1"/>
          <w:szCs w:val="24"/>
        </w:rPr>
        <w:t xml:space="preserve"> </w:t>
      </w:r>
      <w:r w:rsidRPr="00962297">
        <w:rPr>
          <w:rFonts w:ascii="Arial" w:eastAsia="Calibri" w:hAnsi="Arial" w:cs="Arial"/>
          <w:color w:val="000000" w:themeColor="text1"/>
          <w:szCs w:val="24"/>
        </w:rPr>
        <w:t>The antioxidant function of GSH is mediated by two enzymes: GPX and GR. GPX allows the reduction of H</w:t>
      </w:r>
      <w:r w:rsidRPr="00962297">
        <w:rPr>
          <w:rFonts w:ascii="Arial" w:eastAsia="Calibri" w:hAnsi="Arial" w:cs="Arial"/>
          <w:color w:val="000000" w:themeColor="text1"/>
          <w:szCs w:val="24"/>
          <w:vertAlign w:val="subscript"/>
        </w:rPr>
        <w:t>2</w:t>
      </w:r>
      <w:r w:rsidRPr="00962297">
        <w:rPr>
          <w:rFonts w:ascii="Arial" w:eastAsia="Calibri" w:hAnsi="Arial" w:cs="Arial"/>
          <w:color w:val="000000" w:themeColor="text1"/>
          <w:szCs w:val="24"/>
        </w:rPr>
        <w:t>O</w:t>
      </w:r>
      <w:r w:rsidRPr="00962297">
        <w:rPr>
          <w:rFonts w:ascii="Arial" w:eastAsia="Calibri" w:hAnsi="Arial" w:cs="Arial"/>
          <w:color w:val="000000" w:themeColor="text1"/>
          <w:szCs w:val="24"/>
          <w:vertAlign w:val="subscript"/>
        </w:rPr>
        <w:t xml:space="preserve">2 </w:t>
      </w:r>
      <w:r w:rsidRPr="00962297">
        <w:rPr>
          <w:rFonts w:ascii="Arial" w:eastAsia="Calibri" w:hAnsi="Arial" w:cs="Arial"/>
          <w:color w:val="000000" w:themeColor="text1"/>
          <w:szCs w:val="24"/>
        </w:rPr>
        <w:t xml:space="preserve">by the oxidation of GSH (reduced glutathione) to GSSG (oxidized glutathione). The GSSG is subsequently reduced to GSH by GR at the expense of NADPH used as a cofactor. </w:t>
      </w:r>
      <w:r w:rsidRPr="00962297">
        <w:rPr>
          <w:rFonts w:ascii="Arial" w:hAnsi="Arial" w:cs="Arial"/>
          <w:b/>
          <w:szCs w:val="24"/>
        </w:rPr>
        <w:t>(B)</w:t>
      </w:r>
      <w:r w:rsidRPr="00962297">
        <w:rPr>
          <w:rFonts w:ascii="Arial" w:hAnsi="Arial" w:cs="Arial"/>
          <w:szCs w:val="24"/>
        </w:rPr>
        <w:t xml:space="preserve"> </w:t>
      </w:r>
      <w:r w:rsidRPr="00667184">
        <w:rPr>
          <w:rFonts w:asciiTheme="minorBidi" w:eastAsia="Calibri" w:hAnsiTheme="minorBidi"/>
          <w:color w:val="000000" w:themeColor="text1"/>
          <w:szCs w:val="24"/>
        </w:rPr>
        <w:t>NADPH</w:t>
      </w:r>
      <w:r>
        <w:rPr>
          <w:rFonts w:asciiTheme="minorBidi" w:eastAsia="Calibri" w:hAnsiTheme="minorBidi"/>
          <w:color w:val="000000" w:themeColor="text1"/>
          <w:szCs w:val="24"/>
        </w:rPr>
        <w:t>,</w:t>
      </w:r>
      <w:r w:rsidRPr="00667184">
        <w:rPr>
          <w:rFonts w:asciiTheme="minorBidi" w:eastAsia="Calibri" w:hAnsiTheme="minorBidi"/>
          <w:color w:val="000000" w:themeColor="text1"/>
          <w:szCs w:val="24"/>
        </w:rPr>
        <w:t xml:space="preserve"> </w:t>
      </w:r>
      <w:r w:rsidRPr="00962297">
        <w:rPr>
          <w:rFonts w:ascii="Arial" w:hAnsi="Arial" w:cs="Arial"/>
          <w:szCs w:val="24"/>
        </w:rPr>
        <w:t>NADP</w:t>
      </w:r>
      <w:r w:rsidRPr="00962297">
        <w:rPr>
          <w:rFonts w:ascii="Arial" w:hAnsi="Arial" w:cs="Arial"/>
          <w:szCs w:val="24"/>
          <w:vertAlign w:val="superscript"/>
        </w:rPr>
        <w:t>+</w:t>
      </w:r>
      <w:r>
        <w:rPr>
          <w:rFonts w:ascii="Arial" w:hAnsi="Arial" w:cs="Arial"/>
          <w:szCs w:val="24"/>
          <w:vertAlign w:val="superscript"/>
        </w:rPr>
        <w:t xml:space="preserve"> </w:t>
      </w:r>
      <w:r w:rsidRPr="008E39E2">
        <w:rPr>
          <w:rFonts w:ascii="Arial" w:hAnsi="Arial" w:cs="Arial"/>
          <w:szCs w:val="24"/>
        </w:rPr>
        <w:t xml:space="preserve">(oxidized form of NADPH), </w:t>
      </w:r>
      <w:r>
        <w:rPr>
          <w:rFonts w:ascii="Arial" w:hAnsi="Arial" w:cs="Arial"/>
          <w:szCs w:val="24"/>
        </w:rPr>
        <w:t xml:space="preserve">and </w:t>
      </w:r>
      <w:r w:rsidRPr="00962297">
        <w:rPr>
          <w:rFonts w:ascii="Arial" w:hAnsi="Arial" w:cs="Arial"/>
          <w:szCs w:val="24"/>
        </w:rPr>
        <w:t>total NADP</w:t>
      </w:r>
      <w:r w:rsidRPr="00962297">
        <w:rPr>
          <w:rFonts w:ascii="Arial" w:hAnsi="Arial" w:cs="Arial"/>
          <w:szCs w:val="24"/>
          <w:vertAlign w:val="superscript"/>
        </w:rPr>
        <w:t>+</w:t>
      </w:r>
      <w:r w:rsidRPr="00962297">
        <w:rPr>
          <w:rFonts w:ascii="Arial" w:hAnsi="Arial" w:cs="Arial"/>
          <w:szCs w:val="24"/>
        </w:rPr>
        <w:t xml:space="preserve"> + NADPH levels</w:t>
      </w:r>
      <w:r>
        <w:rPr>
          <w:rFonts w:ascii="Arial" w:hAnsi="Arial" w:cs="Arial"/>
          <w:szCs w:val="24"/>
        </w:rPr>
        <w:t xml:space="preserve"> were </w:t>
      </w:r>
      <w:r w:rsidRPr="00962297">
        <w:rPr>
          <w:rFonts w:ascii="Arial" w:hAnsi="Arial" w:cs="Arial"/>
          <w:szCs w:val="24"/>
        </w:rPr>
        <w:t>measured using the NADP/NADPH-Glo™ Assay kit</w:t>
      </w:r>
      <w:r>
        <w:rPr>
          <w:rFonts w:ascii="Arial" w:hAnsi="Arial" w:cs="Arial"/>
          <w:szCs w:val="24"/>
        </w:rPr>
        <w:t xml:space="preserve">, </w:t>
      </w:r>
      <w:r w:rsidRPr="00962297">
        <w:rPr>
          <w:rFonts w:ascii="Arial" w:hAnsi="Arial" w:cs="Arial"/>
          <w:szCs w:val="24"/>
        </w:rPr>
        <w:t xml:space="preserve">and </w:t>
      </w:r>
      <w:r>
        <w:rPr>
          <w:rFonts w:ascii="Arial" w:hAnsi="Arial" w:cs="Arial"/>
          <w:szCs w:val="24"/>
        </w:rPr>
        <w:t xml:space="preserve">the ratio </w:t>
      </w:r>
      <w:r w:rsidRPr="00962297">
        <w:rPr>
          <w:rFonts w:ascii="Arial" w:hAnsi="Arial" w:cs="Arial"/>
          <w:szCs w:val="24"/>
        </w:rPr>
        <w:t>NADPH/NADP</w:t>
      </w:r>
      <w:r w:rsidRPr="00962297">
        <w:rPr>
          <w:rFonts w:ascii="Arial" w:hAnsi="Arial" w:cs="Arial"/>
          <w:szCs w:val="24"/>
          <w:vertAlign w:val="superscript"/>
        </w:rPr>
        <w:t>+</w:t>
      </w:r>
      <w:r w:rsidRPr="00962297">
        <w:rPr>
          <w:rFonts w:ascii="Arial" w:hAnsi="Arial" w:cs="Arial"/>
          <w:szCs w:val="24"/>
        </w:rPr>
        <w:t xml:space="preserve"> </w:t>
      </w:r>
      <w:r>
        <w:rPr>
          <w:rFonts w:ascii="Arial" w:hAnsi="Arial" w:cs="Arial"/>
          <w:szCs w:val="24"/>
        </w:rPr>
        <w:t>was calculated.</w:t>
      </w:r>
      <w:r w:rsidR="003413D5">
        <w:rPr>
          <w:rFonts w:asciiTheme="minorBidi" w:hAnsiTheme="minorBidi"/>
          <w:szCs w:val="24"/>
        </w:rPr>
        <w:br w:type="page"/>
      </w:r>
    </w:p>
    <w:p w14:paraId="19767662" w14:textId="58E4AA41" w:rsidR="00167FAD" w:rsidRDefault="00802104"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5B94AA43" wp14:editId="4AF05B68">
            <wp:extent cx="6450141" cy="542850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1455" cy="5438024"/>
                    </a:xfrm>
                    <a:prstGeom prst="rect">
                      <a:avLst/>
                    </a:prstGeom>
                    <a:noFill/>
                  </pic:spPr>
                </pic:pic>
              </a:graphicData>
            </a:graphic>
          </wp:inline>
        </w:drawing>
      </w:r>
    </w:p>
    <w:p w14:paraId="20C62583" w14:textId="77777777" w:rsidR="0095579F" w:rsidRPr="00A37D30" w:rsidRDefault="0095579F" w:rsidP="00802104">
      <w:pPr>
        <w:pStyle w:val="Normalcentr"/>
        <w:spacing w:before="0" w:line="240" w:lineRule="auto"/>
        <w:ind w:left="0" w:right="0"/>
        <w:rPr>
          <w:rFonts w:asciiTheme="minorBidi" w:hAnsiTheme="minorBidi" w:cstheme="minorBidi"/>
          <w:szCs w:val="24"/>
          <w:lang w:val="en-US"/>
        </w:rPr>
      </w:pPr>
    </w:p>
    <w:p w14:paraId="72A9A1BA" w14:textId="77777777" w:rsidR="002D5221" w:rsidRPr="00FE1759" w:rsidRDefault="002D5221" w:rsidP="002D5221">
      <w:pPr>
        <w:spacing w:after="0" w:line="240" w:lineRule="auto"/>
        <w:jc w:val="both"/>
        <w:rPr>
          <w:rFonts w:ascii="Arial" w:eastAsia="Times New Roman" w:hAnsi="Arial" w:cs="Arial"/>
          <w:b/>
          <w:color w:val="000000" w:themeColor="text1"/>
          <w:sz w:val="24"/>
          <w:szCs w:val="24"/>
          <w:lang w:eastAsia="es-ES"/>
        </w:rPr>
      </w:pPr>
      <w:r w:rsidRPr="00FE1759">
        <w:rPr>
          <w:rFonts w:ascii="Arial" w:eastAsia="Times New Roman" w:hAnsi="Arial" w:cs="Arial"/>
          <w:b/>
          <w:color w:val="000000" w:themeColor="text1"/>
          <w:sz w:val="24"/>
          <w:szCs w:val="24"/>
          <w:lang w:eastAsia="es-ES"/>
        </w:rPr>
        <w:t>Fig</w:t>
      </w:r>
      <w:r>
        <w:rPr>
          <w:rFonts w:ascii="Arial" w:eastAsia="Times New Roman" w:hAnsi="Arial" w:cs="Arial"/>
          <w:b/>
          <w:color w:val="000000" w:themeColor="text1"/>
          <w:sz w:val="24"/>
          <w:szCs w:val="24"/>
          <w:lang w:eastAsia="es-ES"/>
        </w:rPr>
        <w:t>ure</w:t>
      </w:r>
      <w:r w:rsidRPr="00FE1759">
        <w:rPr>
          <w:rFonts w:ascii="Arial" w:eastAsia="Times New Roman" w:hAnsi="Arial" w:cs="Arial"/>
          <w:b/>
          <w:color w:val="000000" w:themeColor="text1"/>
          <w:sz w:val="24"/>
          <w:szCs w:val="24"/>
          <w:lang w:eastAsia="es-ES"/>
        </w:rPr>
        <w:t xml:space="preserve"> S7. </w:t>
      </w:r>
      <w:r w:rsidRPr="002D5221">
        <w:rPr>
          <w:rFonts w:ascii="Arial" w:hAnsi="Arial" w:cs="Arial"/>
          <w:b/>
          <w:sz w:val="24"/>
          <w:szCs w:val="24"/>
        </w:rPr>
        <w:t>Mitochondrial metabolic reprogramming during ATO treatment in PDAC xenografts</w:t>
      </w:r>
      <w:r w:rsidRPr="002D5221">
        <w:rPr>
          <w:rFonts w:ascii="Arial" w:hAnsi="Arial" w:cs="Arial"/>
          <w:b/>
          <w:bCs/>
          <w:sz w:val="24"/>
          <w:szCs w:val="24"/>
        </w:rPr>
        <w:t xml:space="preserve"> (related to Figure 5).</w:t>
      </w:r>
      <w:r w:rsidRPr="00FE1759">
        <w:rPr>
          <w:rFonts w:ascii="Arial" w:hAnsi="Arial" w:cs="Arial"/>
          <w:bCs/>
          <w:sz w:val="24"/>
          <w:szCs w:val="24"/>
        </w:rPr>
        <w:t xml:space="preserve"> </w:t>
      </w:r>
      <w:r w:rsidRPr="004464BF">
        <w:rPr>
          <w:rFonts w:ascii="Arial" w:hAnsi="Arial" w:cs="Arial"/>
          <w:b/>
          <w:bCs/>
          <w:sz w:val="24"/>
          <w:szCs w:val="24"/>
        </w:rPr>
        <w:t>(A-B)</w:t>
      </w:r>
      <w:r w:rsidRPr="00FE1759">
        <w:rPr>
          <w:rFonts w:ascii="Arial" w:hAnsi="Arial" w:cs="Arial"/>
          <w:bCs/>
          <w:sz w:val="24"/>
          <w:szCs w:val="24"/>
        </w:rPr>
        <w:t xml:space="preserve"> TMRM and </w:t>
      </w:r>
      <w:proofErr w:type="spellStart"/>
      <w:r w:rsidRPr="00FE1759">
        <w:rPr>
          <w:rFonts w:ascii="Arial" w:hAnsi="Arial" w:cs="Arial"/>
          <w:bCs/>
          <w:sz w:val="24"/>
          <w:szCs w:val="24"/>
        </w:rPr>
        <w:t>MitoSOX</w:t>
      </w:r>
      <w:proofErr w:type="spellEnd"/>
      <w:r w:rsidRPr="00FE1759">
        <w:rPr>
          <w:rFonts w:ascii="Arial" w:hAnsi="Arial" w:cs="Arial"/>
          <w:bCs/>
          <w:sz w:val="24"/>
          <w:szCs w:val="24"/>
        </w:rPr>
        <w:t xml:space="preserve"> values </w:t>
      </w:r>
      <w:r w:rsidRPr="00FE1759">
        <w:rPr>
          <w:rFonts w:ascii="Arial" w:hAnsi="Arial" w:cs="Arial"/>
          <w:sz w:val="24"/>
          <w:szCs w:val="24"/>
        </w:rPr>
        <w:t xml:space="preserve">were normalized by </w:t>
      </w:r>
      <w:proofErr w:type="spellStart"/>
      <w:r w:rsidRPr="00FE1759">
        <w:rPr>
          <w:rFonts w:ascii="Arial" w:hAnsi="Arial" w:cs="Arial"/>
          <w:sz w:val="24"/>
          <w:szCs w:val="24"/>
        </w:rPr>
        <w:t>Mitotracker</w:t>
      </w:r>
      <w:proofErr w:type="spellEnd"/>
      <w:r w:rsidRPr="00FE1759">
        <w:rPr>
          <w:rFonts w:ascii="Arial" w:hAnsi="Arial" w:cs="Arial"/>
          <w:sz w:val="24"/>
          <w:szCs w:val="24"/>
        </w:rPr>
        <w:t xml:space="preserve"> values in xenografts PDAC032T (</w:t>
      </w:r>
      <w:r w:rsidRPr="00FE1759">
        <w:rPr>
          <w:rFonts w:ascii="Arial" w:hAnsi="Arial" w:cs="Arial"/>
          <w:b/>
          <w:sz w:val="24"/>
          <w:szCs w:val="24"/>
        </w:rPr>
        <w:t>A, left</w:t>
      </w:r>
      <w:r w:rsidRPr="00FE1759">
        <w:rPr>
          <w:rFonts w:ascii="Arial" w:hAnsi="Arial" w:cs="Arial"/>
          <w:sz w:val="24"/>
          <w:szCs w:val="24"/>
        </w:rPr>
        <w:t>) and PDAC084T (</w:t>
      </w:r>
      <w:r w:rsidRPr="00FE1759">
        <w:rPr>
          <w:rFonts w:ascii="Arial" w:hAnsi="Arial" w:cs="Arial"/>
          <w:b/>
          <w:sz w:val="24"/>
          <w:szCs w:val="24"/>
        </w:rPr>
        <w:t>B</w:t>
      </w:r>
      <w:r w:rsidRPr="00FE1759">
        <w:rPr>
          <w:rFonts w:ascii="Arial" w:hAnsi="Arial" w:cs="Arial"/>
          <w:sz w:val="24"/>
          <w:szCs w:val="24"/>
        </w:rPr>
        <w:t xml:space="preserve">), and ATP production was measured in the presence of oligomycin </w:t>
      </w:r>
      <w:r>
        <w:rPr>
          <w:rFonts w:ascii="Arial" w:hAnsi="Arial" w:cs="Arial"/>
          <w:sz w:val="24"/>
          <w:szCs w:val="24"/>
        </w:rPr>
        <w:t>or</w:t>
      </w:r>
      <w:r w:rsidRPr="00FE1759">
        <w:rPr>
          <w:rFonts w:ascii="Arial" w:hAnsi="Arial" w:cs="Arial"/>
          <w:sz w:val="24"/>
          <w:szCs w:val="24"/>
        </w:rPr>
        <w:t xml:space="preserve"> 2DG </w:t>
      </w:r>
      <w:r w:rsidRPr="004464BF">
        <w:rPr>
          <w:rFonts w:ascii="Arial" w:hAnsi="Arial" w:cs="Arial"/>
          <w:i/>
          <w:sz w:val="24"/>
          <w:szCs w:val="24"/>
        </w:rPr>
        <w:t>ex vivo</w:t>
      </w:r>
      <w:r w:rsidRPr="00FE1759">
        <w:rPr>
          <w:rFonts w:ascii="Arial" w:hAnsi="Arial" w:cs="Arial"/>
          <w:sz w:val="24"/>
          <w:szCs w:val="24"/>
        </w:rPr>
        <w:t xml:space="preserve"> on dissociated PDAC032T xenografts (</w:t>
      </w:r>
      <w:r w:rsidRPr="00FE1759">
        <w:rPr>
          <w:rFonts w:ascii="Arial" w:hAnsi="Arial" w:cs="Arial"/>
          <w:b/>
          <w:sz w:val="24"/>
          <w:szCs w:val="24"/>
        </w:rPr>
        <w:t>A, Right</w:t>
      </w:r>
      <w:r w:rsidRPr="00FE1759">
        <w:rPr>
          <w:rFonts w:ascii="Arial" w:hAnsi="Arial" w:cs="Arial"/>
          <w:sz w:val="24"/>
          <w:szCs w:val="24"/>
        </w:rPr>
        <w:t>).</w:t>
      </w:r>
    </w:p>
    <w:p w14:paraId="3A3C3124" w14:textId="6352984D" w:rsidR="003413D5" w:rsidRDefault="003413D5" w:rsidP="00802104">
      <w:pPr>
        <w:pStyle w:val="Normalcentr"/>
        <w:spacing w:before="0" w:line="240" w:lineRule="auto"/>
        <w:ind w:left="0" w:right="0"/>
        <w:rPr>
          <w:rFonts w:asciiTheme="minorBidi" w:hAnsiTheme="minorBidi"/>
          <w:szCs w:val="24"/>
        </w:rPr>
      </w:pPr>
      <w:r>
        <w:rPr>
          <w:rFonts w:asciiTheme="minorBidi" w:hAnsiTheme="minorBidi"/>
          <w:szCs w:val="24"/>
        </w:rPr>
        <w:br w:type="page"/>
      </w:r>
    </w:p>
    <w:p w14:paraId="052847A9" w14:textId="4FEAB35E" w:rsidR="00B46986" w:rsidRDefault="00802104" w:rsidP="00802104">
      <w:pPr>
        <w:pStyle w:val="Normalcentr"/>
        <w:spacing w:before="0" w:line="240" w:lineRule="auto"/>
        <w:ind w:left="0" w:right="0"/>
        <w:rPr>
          <w:rFonts w:asciiTheme="minorBidi" w:hAnsiTheme="minorBidi" w:cstheme="minorBidi"/>
          <w:szCs w:val="24"/>
          <w:lang w:val="en-US"/>
        </w:rPr>
      </w:pPr>
      <w:r>
        <w:rPr>
          <w:rFonts w:asciiTheme="minorBidi" w:hAnsiTheme="minorBidi" w:cstheme="minorBidi"/>
          <w:noProof/>
          <w:szCs w:val="24"/>
          <w:lang w:val="en-US"/>
        </w:rPr>
        <w:lastRenderedPageBreak/>
        <w:drawing>
          <wp:inline distT="0" distB="0" distL="0" distR="0" wp14:anchorId="5B74CFF5" wp14:editId="79F00A9E">
            <wp:extent cx="6597378" cy="39879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8249" cy="3994561"/>
                    </a:xfrm>
                    <a:prstGeom prst="rect">
                      <a:avLst/>
                    </a:prstGeom>
                    <a:noFill/>
                  </pic:spPr>
                </pic:pic>
              </a:graphicData>
            </a:graphic>
          </wp:inline>
        </w:drawing>
      </w:r>
    </w:p>
    <w:p w14:paraId="32C580E6" w14:textId="77777777" w:rsidR="001F1535" w:rsidRPr="00A37D30" w:rsidRDefault="001F1535" w:rsidP="00802104">
      <w:pPr>
        <w:pStyle w:val="Normalcentr"/>
        <w:spacing w:before="0" w:line="240" w:lineRule="auto"/>
        <w:ind w:left="0" w:right="0"/>
        <w:rPr>
          <w:rFonts w:asciiTheme="minorBidi" w:hAnsiTheme="minorBidi" w:cstheme="minorBidi"/>
          <w:szCs w:val="24"/>
          <w:lang w:val="en-US"/>
        </w:rPr>
      </w:pPr>
    </w:p>
    <w:p w14:paraId="0D5CB74C" w14:textId="463766A0" w:rsidR="00167FAD" w:rsidRPr="00A37D30" w:rsidRDefault="002D5221" w:rsidP="00802104">
      <w:pPr>
        <w:pStyle w:val="Normalcentr"/>
        <w:spacing w:before="0" w:line="240" w:lineRule="auto"/>
        <w:ind w:left="0" w:right="0"/>
        <w:rPr>
          <w:rFonts w:asciiTheme="minorBidi" w:hAnsiTheme="minorBidi" w:cstheme="minorBidi"/>
          <w:szCs w:val="24"/>
          <w:lang w:val="en-US"/>
        </w:rPr>
      </w:pPr>
      <w:r w:rsidRPr="00FE1759">
        <w:rPr>
          <w:rFonts w:ascii="Arial" w:hAnsi="Arial" w:cs="Arial"/>
          <w:b/>
          <w:color w:val="000000" w:themeColor="text1"/>
          <w:szCs w:val="24"/>
        </w:rPr>
        <w:t>Fig</w:t>
      </w:r>
      <w:r>
        <w:rPr>
          <w:rFonts w:ascii="Arial" w:hAnsi="Arial" w:cs="Arial"/>
          <w:b/>
          <w:color w:val="000000" w:themeColor="text1"/>
          <w:szCs w:val="24"/>
        </w:rPr>
        <w:t>ure</w:t>
      </w:r>
      <w:r w:rsidRPr="00FE1759">
        <w:rPr>
          <w:rFonts w:ascii="Arial" w:hAnsi="Arial" w:cs="Arial"/>
          <w:b/>
          <w:color w:val="000000" w:themeColor="text1"/>
          <w:szCs w:val="24"/>
        </w:rPr>
        <w:t xml:space="preserve"> S8</w:t>
      </w:r>
      <w:r w:rsidRPr="0088467D">
        <w:rPr>
          <w:rFonts w:ascii="Arial" w:hAnsi="Arial" w:cs="Arial"/>
          <w:b/>
          <w:color w:val="000000" w:themeColor="text1"/>
          <w:szCs w:val="24"/>
        </w:rPr>
        <w:t xml:space="preserve">. </w:t>
      </w:r>
      <w:r w:rsidRPr="0088467D">
        <w:rPr>
          <w:rFonts w:ascii="Arial" w:hAnsi="Arial" w:cs="Arial"/>
          <w:b/>
          <w:bCs/>
          <w:szCs w:val="24"/>
        </w:rPr>
        <w:t>Working model of treatment-induced acquired resistance in PDAC.</w:t>
      </w:r>
      <w:r w:rsidRPr="00FE1759">
        <w:rPr>
          <w:rFonts w:ascii="Arial" w:hAnsi="Arial" w:cs="Arial"/>
          <w:bCs/>
          <w:szCs w:val="24"/>
        </w:rPr>
        <w:t xml:space="preserve"> In </w:t>
      </w:r>
      <w:proofErr w:type="spellStart"/>
      <w:r w:rsidRPr="00FE1759">
        <w:rPr>
          <w:rFonts w:ascii="Arial" w:hAnsi="Arial" w:cs="Arial"/>
          <w:bCs/>
          <w:szCs w:val="24"/>
        </w:rPr>
        <w:t>tumors</w:t>
      </w:r>
      <w:proofErr w:type="spellEnd"/>
      <w:r w:rsidRPr="00FE1759">
        <w:rPr>
          <w:rFonts w:ascii="Arial" w:hAnsi="Arial" w:cs="Arial"/>
          <w:bCs/>
          <w:szCs w:val="24"/>
        </w:rPr>
        <w:t xml:space="preserve"> that respond to therapy, most </w:t>
      </w:r>
      <w:proofErr w:type="spellStart"/>
      <w:r w:rsidRPr="00FE1759">
        <w:rPr>
          <w:rFonts w:ascii="Arial" w:hAnsi="Arial" w:cs="Arial"/>
          <w:bCs/>
          <w:szCs w:val="24"/>
        </w:rPr>
        <w:t>tumor</w:t>
      </w:r>
      <w:proofErr w:type="spellEnd"/>
      <w:r w:rsidRPr="00FE1759">
        <w:rPr>
          <w:rFonts w:ascii="Arial" w:hAnsi="Arial" w:cs="Arial"/>
          <w:bCs/>
          <w:szCs w:val="24"/>
        </w:rPr>
        <w:t xml:space="preserve"> cells die (dead cells) during treatment, ensuring therapy-induced regression. However, some drug-tolerant </w:t>
      </w:r>
      <w:proofErr w:type="spellStart"/>
      <w:r w:rsidRPr="00FE1759">
        <w:rPr>
          <w:rFonts w:ascii="Arial" w:hAnsi="Arial" w:cs="Arial"/>
          <w:bCs/>
          <w:szCs w:val="24"/>
        </w:rPr>
        <w:t>persister</w:t>
      </w:r>
      <w:proofErr w:type="spellEnd"/>
      <w:r w:rsidRPr="00FE1759">
        <w:rPr>
          <w:rFonts w:ascii="Arial" w:hAnsi="Arial" w:cs="Arial"/>
          <w:bCs/>
          <w:szCs w:val="24"/>
        </w:rPr>
        <w:t xml:space="preserve"> </w:t>
      </w:r>
      <w:r>
        <w:rPr>
          <w:rFonts w:ascii="Arial" w:hAnsi="Arial" w:cs="Arial"/>
          <w:bCs/>
          <w:szCs w:val="24"/>
        </w:rPr>
        <w:t xml:space="preserve">(DTP) </w:t>
      </w:r>
      <w:r w:rsidRPr="00FE1759">
        <w:rPr>
          <w:rFonts w:ascii="Arial" w:hAnsi="Arial" w:cs="Arial"/>
          <w:bCs/>
          <w:szCs w:val="24"/>
        </w:rPr>
        <w:t xml:space="preserve">cancer cells survive during regression, through the establishment of metabolic (mitochondrial and redox) adaptations. They are maintained in the </w:t>
      </w:r>
      <w:proofErr w:type="spellStart"/>
      <w:r w:rsidRPr="00FE1759">
        <w:rPr>
          <w:rFonts w:ascii="Arial" w:hAnsi="Arial" w:cs="Arial"/>
          <w:bCs/>
          <w:szCs w:val="24"/>
        </w:rPr>
        <w:t>tumor</w:t>
      </w:r>
      <w:proofErr w:type="spellEnd"/>
      <w:r w:rsidRPr="00FE1759">
        <w:rPr>
          <w:rFonts w:ascii="Arial" w:hAnsi="Arial" w:cs="Arial"/>
          <w:bCs/>
          <w:szCs w:val="24"/>
        </w:rPr>
        <w:t xml:space="preserve"> scar and are associated with what is known as minimal residual disease. When these </w:t>
      </w:r>
      <w:r>
        <w:rPr>
          <w:rFonts w:ascii="Arial" w:hAnsi="Arial" w:cs="Arial"/>
          <w:bCs/>
          <w:szCs w:val="24"/>
        </w:rPr>
        <w:t>DTP cancer</w:t>
      </w:r>
      <w:r w:rsidRPr="00FE1759">
        <w:rPr>
          <w:rFonts w:ascii="Arial" w:hAnsi="Arial" w:cs="Arial"/>
          <w:bCs/>
          <w:szCs w:val="24"/>
        </w:rPr>
        <w:t xml:space="preserve"> cells resume their proliferation, they are at the origin of the regrowth and the relapse of the </w:t>
      </w:r>
      <w:proofErr w:type="spellStart"/>
      <w:r w:rsidRPr="00FE1759">
        <w:rPr>
          <w:rFonts w:ascii="Arial" w:hAnsi="Arial" w:cs="Arial"/>
          <w:bCs/>
          <w:szCs w:val="24"/>
        </w:rPr>
        <w:t>tumor</w:t>
      </w:r>
      <w:proofErr w:type="spellEnd"/>
      <w:r w:rsidRPr="00FE1759">
        <w:rPr>
          <w:rFonts w:ascii="Arial" w:hAnsi="Arial" w:cs="Arial"/>
          <w:bCs/>
          <w:szCs w:val="24"/>
        </w:rPr>
        <w:t>.</w:t>
      </w:r>
      <w:r>
        <w:rPr>
          <w:rFonts w:ascii="Arial" w:hAnsi="Arial" w:cs="Arial"/>
          <w:bCs/>
          <w:szCs w:val="24"/>
        </w:rPr>
        <w:t xml:space="preserve"> </w:t>
      </w:r>
      <w:r w:rsidRPr="0074514B">
        <w:rPr>
          <w:rFonts w:ascii="Arial" w:hAnsi="Arial" w:cs="Arial"/>
          <w:bCs/>
          <w:szCs w:val="24"/>
        </w:rPr>
        <w:t xml:space="preserve">Metabolic changes are observed in DTP cells at all stages </w:t>
      </w:r>
      <w:proofErr w:type="spellStart"/>
      <w:r w:rsidRPr="0074514B">
        <w:rPr>
          <w:rFonts w:ascii="Arial" w:hAnsi="Arial" w:cs="Arial"/>
          <w:bCs/>
          <w:szCs w:val="24"/>
        </w:rPr>
        <w:t>analyzed</w:t>
      </w:r>
      <w:proofErr w:type="spellEnd"/>
      <w:r w:rsidRPr="0074514B">
        <w:rPr>
          <w:rFonts w:ascii="Arial" w:hAnsi="Arial" w:cs="Arial"/>
          <w:bCs/>
          <w:szCs w:val="24"/>
        </w:rPr>
        <w:t xml:space="preserve"> and not just in the </w:t>
      </w:r>
      <w:proofErr w:type="spellStart"/>
      <w:r w:rsidRPr="0074514B">
        <w:rPr>
          <w:rFonts w:ascii="Arial" w:hAnsi="Arial" w:cs="Arial"/>
          <w:bCs/>
          <w:szCs w:val="24"/>
        </w:rPr>
        <w:t>tumor</w:t>
      </w:r>
      <w:proofErr w:type="spellEnd"/>
      <w:r w:rsidRPr="0074514B">
        <w:rPr>
          <w:rFonts w:ascii="Arial" w:hAnsi="Arial" w:cs="Arial"/>
          <w:bCs/>
          <w:szCs w:val="24"/>
        </w:rPr>
        <w:t xml:space="preserve"> after relapse, supporting that they are induced by </w:t>
      </w:r>
      <w:r>
        <w:rPr>
          <w:rFonts w:ascii="Arial" w:hAnsi="Arial" w:cs="Arial"/>
          <w:bCs/>
          <w:szCs w:val="24"/>
        </w:rPr>
        <w:t xml:space="preserve">therapeutic </w:t>
      </w:r>
      <w:r w:rsidRPr="0074514B">
        <w:rPr>
          <w:rFonts w:ascii="Arial" w:hAnsi="Arial" w:cs="Arial"/>
          <w:bCs/>
          <w:szCs w:val="24"/>
        </w:rPr>
        <w:t xml:space="preserve">treatment and not by </w:t>
      </w:r>
      <w:proofErr w:type="spellStart"/>
      <w:r w:rsidRPr="0074514B">
        <w:rPr>
          <w:rFonts w:ascii="Arial" w:hAnsi="Arial" w:cs="Arial"/>
          <w:bCs/>
          <w:szCs w:val="24"/>
        </w:rPr>
        <w:t>tumor</w:t>
      </w:r>
      <w:proofErr w:type="spellEnd"/>
      <w:r w:rsidRPr="0074514B">
        <w:rPr>
          <w:rFonts w:ascii="Arial" w:hAnsi="Arial" w:cs="Arial"/>
          <w:bCs/>
          <w:szCs w:val="24"/>
        </w:rPr>
        <w:t xml:space="preserve"> growth after relapse.</w:t>
      </w:r>
    </w:p>
    <w:p w14:paraId="2AFBCA57" w14:textId="604D5081" w:rsidR="007351B1" w:rsidRPr="003413D5" w:rsidRDefault="007351B1" w:rsidP="00802104">
      <w:pPr>
        <w:spacing w:after="0" w:line="240" w:lineRule="auto"/>
        <w:rPr>
          <w:rFonts w:asciiTheme="minorBidi" w:eastAsia="Times New Roman" w:hAnsiTheme="minorBidi"/>
          <w:sz w:val="24"/>
          <w:szCs w:val="24"/>
          <w:lang w:eastAsia="es-ES"/>
        </w:rPr>
      </w:pPr>
    </w:p>
    <w:sectPr w:rsidR="007351B1" w:rsidRPr="003413D5" w:rsidSect="008B1FE4">
      <w:footerReference w:type="default" r:id="rId17"/>
      <w:pgSz w:w="11906" w:h="16838" w:code="9"/>
      <w:pgMar w:top="1417" w:right="1417" w:bottom="1417" w:left="1417"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A4BF67" w16cex:dateUtc="2024-04-19T19:32:00Z"/>
  <w16cex:commentExtensible w16cex:durableId="06509982" w16cex:dateUtc="2024-04-19T20:01:00Z"/>
  <w16cex:commentExtensible w16cex:durableId="1ABF5F49" w16cex:dateUtc="2024-04-19T20:10:00Z"/>
  <w16cex:commentExtensible w16cex:durableId="4D41C430" w16cex:dateUtc="2024-04-19T21:14:00Z"/>
  <w16cex:commentExtensible w16cex:durableId="320C8B2D" w16cex:dateUtc="2024-04-19T21:33:00Z"/>
  <w16cex:commentExtensible w16cex:durableId="0FC0D6AE" w16cex:dateUtc="2024-04-19T21:33:00Z"/>
  <w16cex:commentExtensible w16cex:durableId="5BB2CB6F" w16cex:dateUtc="2024-04-19T21:48:00Z"/>
  <w16cex:commentExtensible w16cex:durableId="5A8D6ABA" w16cex:dateUtc="2024-04-19T21:54:00Z"/>
  <w16cex:commentExtensible w16cex:durableId="66D564F0" w16cex:dateUtc="2024-04-20T01:20:00Z"/>
  <w16cex:commentExtensible w16cex:durableId="45DC517C" w16cex:dateUtc="2024-04-19T22:00:00Z"/>
  <w16cex:commentExtensible w16cex:durableId="32751A03" w16cex:dateUtc="2024-04-19T22:06:00Z"/>
  <w16cex:commentExtensible w16cex:durableId="0DCA6005" w16cex:dateUtc="2024-04-19T23:49:00Z"/>
  <w16cex:commentExtensible w16cex:durableId="3EB0F1F4" w16cex:dateUtc="2024-04-19T23:17:00Z"/>
  <w16cex:commentExtensible w16cex:durableId="1ADF1F41" w16cex:dateUtc="2024-04-19T23:42:00Z"/>
  <w16cex:commentExtensible w16cex:durableId="00AFE7D1" w16cex:dateUtc="2024-04-19T23:52:00Z"/>
  <w16cex:commentExtensible w16cex:durableId="0547613F" w16cex:dateUtc="2024-04-20T00:15:00Z"/>
  <w16cex:commentExtensible w16cex:durableId="50DA8BC5" w16cex:dateUtc="2024-04-20T01:11:00Z"/>
  <w16cex:commentExtensible w16cex:durableId="27C874DF" w16cex:dateUtc="2024-04-20T01:16:00Z"/>
  <w16cex:commentExtensible w16cex:durableId="383A55ED" w16cex:dateUtc="2024-04-19T23:14:00Z"/>
  <w16cex:commentExtensible w16cex:durableId="215B16B6" w16cex:dateUtc="2024-04-20T00:08:00Z"/>
  <w16cex:commentExtensible w16cex:durableId="2BAFFFE3" w16cex:dateUtc="2024-04-20T01: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2B2B0" w14:textId="77777777" w:rsidR="00A46F51" w:rsidRDefault="00A46F51" w:rsidP="009E17E6">
      <w:pPr>
        <w:spacing w:after="0" w:line="240" w:lineRule="auto"/>
      </w:pPr>
      <w:r>
        <w:separator/>
      </w:r>
    </w:p>
  </w:endnote>
  <w:endnote w:type="continuationSeparator" w:id="0">
    <w:p w14:paraId="44486BD5" w14:textId="77777777" w:rsidR="00A46F51" w:rsidRDefault="00A46F51" w:rsidP="009E1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951708"/>
      <w:docPartObj>
        <w:docPartGallery w:val="Page Numbers (Bottom of Page)"/>
        <w:docPartUnique/>
      </w:docPartObj>
    </w:sdtPr>
    <w:sdtEndPr/>
    <w:sdtContent>
      <w:p w14:paraId="10F97927" w14:textId="5BF7306F" w:rsidR="001B68E5" w:rsidRDefault="001B68E5">
        <w:pPr>
          <w:pStyle w:val="Pieddepage"/>
          <w:jc w:val="right"/>
        </w:pPr>
        <w:r>
          <w:fldChar w:fldCharType="begin"/>
        </w:r>
        <w:r>
          <w:instrText>PAGE   \* MERGEFORMAT</w:instrText>
        </w:r>
        <w:r>
          <w:fldChar w:fldCharType="separate"/>
        </w:r>
        <w:r w:rsidRPr="00EA194D">
          <w:rPr>
            <w:noProof/>
            <w:lang w:val="fr-FR"/>
          </w:rPr>
          <w:t>24</w:t>
        </w:r>
        <w:r>
          <w:fldChar w:fldCharType="end"/>
        </w:r>
      </w:p>
    </w:sdtContent>
  </w:sdt>
  <w:p w14:paraId="4DA99A32" w14:textId="77777777" w:rsidR="001B68E5" w:rsidRDefault="001B68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6046E" w14:textId="77777777" w:rsidR="00A46F51" w:rsidRDefault="00A46F51" w:rsidP="009E17E6">
      <w:pPr>
        <w:spacing w:after="0" w:line="240" w:lineRule="auto"/>
      </w:pPr>
      <w:r>
        <w:separator/>
      </w:r>
    </w:p>
  </w:footnote>
  <w:footnote w:type="continuationSeparator" w:id="0">
    <w:p w14:paraId="7DF7FC00" w14:textId="77777777" w:rsidR="00A46F51" w:rsidRDefault="00A46F51" w:rsidP="009E1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92458"/>
    <w:multiLevelType w:val="hybridMultilevel"/>
    <w:tmpl w:val="BAC80FB2"/>
    <w:lvl w:ilvl="0" w:tplc="4100F4B8">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15:restartNumberingAfterBreak="0">
    <w:nsid w:val="2E9253CF"/>
    <w:multiLevelType w:val="hybridMultilevel"/>
    <w:tmpl w:val="DF4C15B4"/>
    <w:lvl w:ilvl="0" w:tplc="83107BD4">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15:restartNumberingAfterBreak="0">
    <w:nsid w:val="3C083C85"/>
    <w:multiLevelType w:val="multilevel"/>
    <w:tmpl w:val="18F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72ABC"/>
    <w:multiLevelType w:val="hybridMultilevel"/>
    <w:tmpl w:val="DA8CE506"/>
    <w:lvl w:ilvl="0" w:tplc="EFFEABB6">
      <w:start w:val="1"/>
      <w:numFmt w:val="upperLetter"/>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15:restartNumberingAfterBreak="0">
    <w:nsid w:val="4F25750E"/>
    <w:multiLevelType w:val="hybridMultilevel"/>
    <w:tmpl w:val="4008D55E"/>
    <w:lvl w:ilvl="0" w:tplc="C8921D16">
      <w:start w:val="1"/>
      <w:numFmt w:val="upperLetter"/>
      <w:lvlText w:val="(%1)"/>
      <w:lvlJc w:val="left"/>
      <w:pPr>
        <w:ind w:left="136" w:hanging="360"/>
      </w:pPr>
      <w:rPr>
        <w:rFonts w:hint="default"/>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5" w15:restartNumberingAfterBreak="0">
    <w:nsid w:val="52D91AAD"/>
    <w:multiLevelType w:val="hybridMultilevel"/>
    <w:tmpl w:val="6B9CB950"/>
    <w:lvl w:ilvl="0" w:tplc="704EB97C">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15:restartNumberingAfterBreak="0">
    <w:nsid w:val="54687151"/>
    <w:multiLevelType w:val="hybridMultilevel"/>
    <w:tmpl w:val="8FAE9684"/>
    <w:lvl w:ilvl="0" w:tplc="CC6268B0">
      <w:start w:val="1"/>
      <w:numFmt w:val="upperLetter"/>
      <w:lvlText w:val="(%1)"/>
      <w:lvlJc w:val="left"/>
      <w:pPr>
        <w:ind w:left="136" w:hanging="360"/>
      </w:pPr>
      <w:rPr>
        <w:rFonts w:hint="default"/>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7" w15:restartNumberingAfterBreak="0">
    <w:nsid w:val="55E2077B"/>
    <w:multiLevelType w:val="hybridMultilevel"/>
    <w:tmpl w:val="B1A212E2"/>
    <w:lvl w:ilvl="0" w:tplc="D7B4B0DE">
      <w:start w:val="1"/>
      <w:numFmt w:val="upperLetter"/>
      <w:lvlText w:val="(%1)"/>
      <w:lvlJc w:val="left"/>
      <w:pPr>
        <w:ind w:left="136" w:hanging="360"/>
      </w:pPr>
      <w:rPr>
        <w:rFonts w:hint="default"/>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8" w15:restartNumberingAfterBreak="0">
    <w:nsid w:val="56710066"/>
    <w:multiLevelType w:val="hybridMultilevel"/>
    <w:tmpl w:val="56CA00A6"/>
    <w:lvl w:ilvl="0" w:tplc="504E407C">
      <w:start w:val="1"/>
      <w:numFmt w:val="upperLetter"/>
      <w:lvlText w:val="(%1)"/>
      <w:lvlJc w:val="left"/>
      <w:pPr>
        <w:ind w:left="271" w:hanging="495"/>
      </w:pPr>
      <w:rPr>
        <w:rFonts w:hint="default"/>
        <w:b/>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9" w15:restartNumberingAfterBreak="0">
    <w:nsid w:val="5ADE300B"/>
    <w:multiLevelType w:val="hybridMultilevel"/>
    <w:tmpl w:val="5232AE62"/>
    <w:lvl w:ilvl="0" w:tplc="F3F6D7A4">
      <w:start w:val="1"/>
      <w:numFmt w:val="upperLetter"/>
      <w:lvlText w:val="(%1)"/>
      <w:lvlJc w:val="left"/>
      <w:pPr>
        <w:ind w:left="166" w:hanging="390"/>
      </w:pPr>
      <w:rPr>
        <w:rFonts w:hint="default"/>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10" w15:restartNumberingAfterBreak="0">
    <w:nsid w:val="63BD0973"/>
    <w:multiLevelType w:val="multilevel"/>
    <w:tmpl w:val="4C6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85284"/>
    <w:multiLevelType w:val="multilevel"/>
    <w:tmpl w:val="B4FE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7D1E1C"/>
    <w:multiLevelType w:val="hybridMultilevel"/>
    <w:tmpl w:val="E5466A60"/>
    <w:lvl w:ilvl="0" w:tplc="51C08E92">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15:restartNumberingAfterBreak="0">
    <w:nsid w:val="7B1D4E4C"/>
    <w:multiLevelType w:val="hybridMultilevel"/>
    <w:tmpl w:val="EBF6CF46"/>
    <w:lvl w:ilvl="0" w:tplc="51A6E1C6">
      <w:start w:val="1"/>
      <w:numFmt w:val="upperLetter"/>
      <w:lvlText w:val="(%1)"/>
      <w:lvlJc w:val="left"/>
      <w:pPr>
        <w:ind w:left="136" w:hanging="360"/>
      </w:pPr>
      <w:rPr>
        <w:rFonts w:hint="default"/>
      </w:rPr>
    </w:lvl>
    <w:lvl w:ilvl="1" w:tplc="04090019" w:tentative="1">
      <w:start w:val="1"/>
      <w:numFmt w:val="lowerLetter"/>
      <w:lvlText w:val="%2."/>
      <w:lvlJc w:val="left"/>
      <w:pPr>
        <w:ind w:left="856" w:hanging="360"/>
      </w:pPr>
    </w:lvl>
    <w:lvl w:ilvl="2" w:tplc="0409001B" w:tentative="1">
      <w:start w:val="1"/>
      <w:numFmt w:val="lowerRoman"/>
      <w:lvlText w:val="%3."/>
      <w:lvlJc w:val="right"/>
      <w:pPr>
        <w:ind w:left="1576" w:hanging="180"/>
      </w:pPr>
    </w:lvl>
    <w:lvl w:ilvl="3" w:tplc="0409000F" w:tentative="1">
      <w:start w:val="1"/>
      <w:numFmt w:val="decimal"/>
      <w:lvlText w:val="%4."/>
      <w:lvlJc w:val="left"/>
      <w:pPr>
        <w:ind w:left="2296" w:hanging="360"/>
      </w:pPr>
    </w:lvl>
    <w:lvl w:ilvl="4" w:tplc="04090019" w:tentative="1">
      <w:start w:val="1"/>
      <w:numFmt w:val="lowerLetter"/>
      <w:lvlText w:val="%5."/>
      <w:lvlJc w:val="left"/>
      <w:pPr>
        <w:ind w:left="3016" w:hanging="360"/>
      </w:pPr>
    </w:lvl>
    <w:lvl w:ilvl="5" w:tplc="0409001B" w:tentative="1">
      <w:start w:val="1"/>
      <w:numFmt w:val="lowerRoman"/>
      <w:lvlText w:val="%6."/>
      <w:lvlJc w:val="right"/>
      <w:pPr>
        <w:ind w:left="3736" w:hanging="180"/>
      </w:pPr>
    </w:lvl>
    <w:lvl w:ilvl="6" w:tplc="0409000F" w:tentative="1">
      <w:start w:val="1"/>
      <w:numFmt w:val="decimal"/>
      <w:lvlText w:val="%7."/>
      <w:lvlJc w:val="left"/>
      <w:pPr>
        <w:ind w:left="4456" w:hanging="360"/>
      </w:pPr>
    </w:lvl>
    <w:lvl w:ilvl="7" w:tplc="04090019" w:tentative="1">
      <w:start w:val="1"/>
      <w:numFmt w:val="lowerLetter"/>
      <w:lvlText w:val="%8."/>
      <w:lvlJc w:val="left"/>
      <w:pPr>
        <w:ind w:left="5176" w:hanging="360"/>
      </w:pPr>
    </w:lvl>
    <w:lvl w:ilvl="8" w:tplc="0409001B" w:tentative="1">
      <w:start w:val="1"/>
      <w:numFmt w:val="lowerRoman"/>
      <w:lvlText w:val="%9."/>
      <w:lvlJc w:val="right"/>
      <w:pPr>
        <w:ind w:left="5896" w:hanging="180"/>
      </w:pPr>
    </w:lvl>
  </w:abstractNum>
  <w:abstractNum w:abstractNumId="14" w15:restartNumberingAfterBreak="0">
    <w:nsid w:val="7C163245"/>
    <w:multiLevelType w:val="hybridMultilevel"/>
    <w:tmpl w:val="0B168570"/>
    <w:lvl w:ilvl="0" w:tplc="1696CA28">
      <w:start w:val="1"/>
      <w:numFmt w:val="upperLetter"/>
      <w:lvlText w:val="(%1)"/>
      <w:lvlJc w:val="left"/>
      <w:pPr>
        <w:ind w:left="226" w:hanging="390"/>
      </w:pPr>
      <w:rPr>
        <w:rFonts w:asciiTheme="majorBidi" w:eastAsia="Times New Roman" w:hAnsiTheme="majorBidi" w:cstheme="majorBidi" w:hint="default"/>
        <w:b/>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num w:numId="1">
    <w:abstractNumId w:val="5"/>
  </w:num>
  <w:num w:numId="2">
    <w:abstractNumId w:val="8"/>
  </w:num>
  <w:num w:numId="3">
    <w:abstractNumId w:val="7"/>
  </w:num>
  <w:num w:numId="4">
    <w:abstractNumId w:val="3"/>
  </w:num>
  <w:num w:numId="5">
    <w:abstractNumId w:val="12"/>
  </w:num>
  <w:num w:numId="6">
    <w:abstractNumId w:val="1"/>
  </w:num>
  <w:num w:numId="7">
    <w:abstractNumId w:val="4"/>
  </w:num>
  <w:num w:numId="8">
    <w:abstractNumId w:val="14"/>
  </w:num>
  <w:num w:numId="9">
    <w:abstractNumId w:val="9"/>
  </w:num>
  <w:num w:numId="10">
    <w:abstractNumId w:val="6"/>
  </w:num>
  <w:num w:numId="11">
    <w:abstractNumId w:val="13"/>
  </w:num>
  <w:num w:numId="12">
    <w:abstractNumId w:val="0"/>
  </w:num>
  <w:num w:numId="13">
    <w:abstractNumId w:val="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fv9vw97zpx97epdzavz2fxdrxrdpdevf2x&quot;&gt;Library EndNote-Converted&lt;record-ids&gt;&lt;item&gt;808&lt;/item&gt;&lt;item&gt;1470&lt;/item&gt;&lt;item&gt;1801&lt;/item&gt;&lt;item&gt;1847&lt;/item&gt;&lt;item&gt;1909&lt;/item&gt;&lt;item&gt;1911&lt;/item&gt;&lt;item&gt;1953&lt;/item&gt;&lt;item&gt;1956&lt;/item&gt;&lt;item&gt;2041&lt;/item&gt;&lt;item&gt;2215&lt;/item&gt;&lt;item&gt;2352&lt;/item&gt;&lt;item&gt;2353&lt;/item&gt;&lt;item&gt;2702&lt;/item&gt;&lt;item&gt;2846&lt;/item&gt;&lt;item&gt;3029&lt;/item&gt;&lt;item&gt;3091&lt;/item&gt;&lt;item&gt;3107&lt;/item&gt;&lt;item&gt;3182&lt;/item&gt;&lt;item&gt;3183&lt;/item&gt;&lt;item&gt;3184&lt;/item&gt;&lt;item&gt;3185&lt;/item&gt;&lt;item&gt;3187&lt;/item&gt;&lt;item&gt;3193&lt;/item&gt;&lt;item&gt;3195&lt;/item&gt;&lt;item&gt;3197&lt;/item&gt;&lt;item&gt;3198&lt;/item&gt;&lt;item&gt;3200&lt;/item&gt;&lt;item&gt;3202&lt;/item&gt;&lt;item&gt;3203&lt;/item&gt;&lt;item&gt;3207&lt;/item&gt;&lt;item&gt;3240&lt;/item&gt;&lt;item&gt;3241&lt;/item&gt;&lt;item&gt;3242&lt;/item&gt;&lt;item&gt;3243&lt;/item&gt;&lt;item&gt;3244&lt;/item&gt;&lt;item&gt;3246&lt;/item&gt;&lt;/record-ids&gt;&lt;/item&gt;&lt;/Libraries&gt;"/>
  </w:docVars>
  <w:rsids>
    <w:rsidRoot w:val="00C27E58"/>
    <w:rsid w:val="00001309"/>
    <w:rsid w:val="000039B2"/>
    <w:rsid w:val="00010649"/>
    <w:rsid w:val="00011039"/>
    <w:rsid w:val="0001103E"/>
    <w:rsid w:val="000160E8"/>
    <w:rsid w:val="000220EB"/>
    <w:rsid w:val="00024013"/>
    <w:rsid w:val="00025E2A"/>
    <w:rsid w:val="0002644F"/>
    <w:rsid w:val="00027A78"/>
    <w:rsid w:val="000303AB"/>
    <w:rsid w:val="0003158C"/>
    <w:rsid w:val="00033764"/>
    <w:rsid w:val="000346C5"/>
    <w:rsid w:val="00035F45"/>
    <w:rsid w:val="00040C40"/>
    <w:rsid w:val="00041738"/>
    <w:rsid w:val="00042539"/>
    <w:rsid w:val="00043036"/>
    <w:rsid w:val="00046D25"/>
    <w:rsid w:val="00046F59"/>
    <w:rsid w:val="000504BE"/>
    <w:rsid w:val="000510C0"/>
    <w:rsid w:val="00051168"/>
    <w:rsid w:val="000528A5"/>
    <w:rsid w:val="00053258"/>
    <w:rsid w:val="0005535B"/>
    <w:rsid w:val="0005584F"/>
    <w:rsid w:val="00057850"/>
    <w:rsid w:val="0007119F"/>
    <w:rsid w:val="0007519B"/>
    <w:rsid w:val="0007791E"/>
    <w:rsid w:val="00080CBE"/>
    <w:rsid w:val="0008104B"/>
    <w:rsid w:val="00086421"/>
    <w:rsid w:val="00090E6D"/>
    <w:rsid w:val="000949EF"/>
    <w:rsid w:val="00096309"/>
    <w:rsid w:val="000A181F"/>
    <w:rsid w:val="000A2143"/>
    <w:rsid w:val="000A65EE"/>
    <w:rsid w:val="000A7621"/>
    <w:rsid w:val="000B08F6"/>
    <w:rsid w:val="000B1B41"/>
    <w:rsid w:val="000B428B"/>
    <w:rsid w:val="000B4490"/>
    <w:rsid w:val="000B5432"/>
    <w:rsid w:val="000C4327"/>
    <w:rsid w:val="000C6DD1"/>
    <w:rsid w:val="000C7B66"/>
    <w:rsid w:val="000D3F8B"/>
    <w:rsid w:val="000D4D98"/>
    <w:rsid w:val="000E0386"/>
    <w:rsid w:val="000E481A"/>
    <w:rsid w:val="000E7506"/>
    <w:rsid w:val="000F1F42"/>
    <w:rsid w:val="000F316C"/>
    <w:rsid w:val="000F790B"/>
    <w:rsid w:val="001079F9"/>
    <w:rsid w:val="00107F23"/>
    <w:rsid w:val="001129FF"/>
    <w:rsid w:val="00113424"/>
    <w:rsid w:val="00120CE2"/>
    <w:rsid w:val="0012175A"/>
    <w:rsid w:val="0013056F"/>
    <w:rsid w:val="00132747"/>
    <w:rsid w:val="001372CC"/>
    <w:rsid w:val="001458F9"/>
    <w:rsid w:val="001465ED"/>
    <w:rsid w:val="00146E4B"/>
    <w:rsid w:val="00150B9E"/>
    <w:rsid w:val="00151159"/>
    <w:rsid w:val="00153CEA"/>
    <w:rsid w:val="0015411A"/>
    <w:rsid w:val="0015513A"/>
    <w:rsid w:val="001603A5"/>
    <w:rsid w:val="00162BD7"/>
    <w:rsid w:val="0016608E"/>
    <w:rsid w:val="00167FAD"/>
    <w:rsid w:val="001709E9"/>
    <w:rsid w:val="00177611"/>
    <w:rsid w:val="00181ED9"/>
    <w:rsid w:val="00190D62"/>
    <w:rsid w:val="001910F8"/>
    <w:rsid w:val="0019323E"/>
    <w:rsid w:val="001961C8"/>
    <w:rsid w:val="001A0045"/>
    <w:rsid w:val="001A0C29"/>
    <w:rsid w:val="001A39EE"/>
    <w:rsid w:val="001A4A1F"/>
    <w:rsid w:val="001A748B"/>
    <w:rsid w:val="001B3102"/>
    <w:rsid w:val="001B5203"/>
    <w:rsid w:val="001B68E5"/>
    <w:rsid w:val="001B7B47"/>
    <w:rsid w:val="001C4A8E"/>
    <w:rsid w:val="001C5262"/>
    <w:rsid w:val="001C7DB8"/>
    <w:rsid w:val="001D036B"/>
    <w:rsid w:val="001D0D23"/>
    <w:rsid w:val="001D1A1A"/>
    <w:rsid w:val="001D6612"/>
    <w:rsid w:val="001D687A"/>
    <w:rsid w:val="001E185F"/>
    <w:rsid w:val="001E3EA3"/>
    <w:rsid w:val="001E6A0B"/>
    <w:rsid w:val="001E6D48"/>
    <w:rsid w:val="001E7341"/>
    <w:rsid w:val="001F1535"/>
    <w:rsid w:val="001F1F02"/>
    <w:rsid w:val="001F39E0"/>
    <w:rsid w:val="001F4E44"/>
    <w:rsid w:val="001F58D1"/>
    <w:rsid w:val="001F5A4D"/>
    <w:rsid w:val="002001B7"/>
    <w:rsid w:val="00202113"/>
    <w:rsid w:val="00211DC1"/>
    <w:rsid w:val="00212B37"/>
    <w:rsid w:val="00214B83"/>
    <w:rsid w:val="00215BDD"/>
    <w:rsid w:val="00221783"/>
    <w:rsid w:val="00223C0D"/>
    <w:rsid w:val="0022685F"/>
    <w:rsid w:val="00231822"/>
    <w:rsid w:val="00242FAA"/>
    <w:rsid w:val="002446D5"/>
    <w:rsid w:val="0024736B"/>
    <w:rsid w:val="00251580"/>
    <w:rsid w:val="0025197F"/>
    <w:rsid w:val="0025457E"/>
    <w:rsid w:val="00261A52"/>
    <w:rsid w:val="002635C6"/>
    <w:rsid w:val="002643A0"/>
    <w:rsid w:val="00265D6D"/>
    <w:rsid w:val="00267E56"/>
    <w:rsid w:val="00270C41"/>
    <w:rsid w:val="00270CF5"/>
    <w:rsid w:val="00275A6F"/>
    <w:rsid w:val="0027711B"/>
    <w:rsid w:val="00280ACF"/>
    <w:rsid w:val="002819E5"/>
    <w:rsid w:val="00282B6B"/>
    <w:rsid w:val="002906C5"/>
    <w:rsid w:val="00290F8B"/>
    <w:rsid w:val="00292849"/>
    <w:rsid w:val="00295A56"/>
    <w:rsid w:val="00296800"/>
    <w:rsid w:val="002A3D9A"/>
    <w:rsid w:val="002A6BC6"/>
    <w:rsid w:val="002A7B1B"/>
    <w:rsid w:val="002B121E"/>
    <w:rsid w:val="002B1812"/>
    <w:rsid w:val="002C0F49"/>
    <w:rsid w:val="002C2CE9"/>
    <w:rsid w:val="002C5DE9"/>
    <w:rsid w:val="002C648E"/>
    <w:rsid w:val="002D373F"/>
    <w:rsid w:val="002D5221"/>
    <w:rsid w:val="002D6A9A"/>
    <w:rsid w:val="002E0821"/>
    <w:rsid w:val="002E45B5"/>
    <w:rsid w:val="002E503A"/>
    <w:rsid w:val="002E62E3"/>
    <w:rsid w:val="002F3CBD"/>
    <w:rsid w:val="002F6702"/>
    <w:rsid w:val="003015BA"/>
    <w:rsid w:val="0030418B"/>
    <w:rsid w:val="00310B08"/>
    <w:rsid w:val="003125E0"/>
    <w:rsid w:val="00313A81"/>
    <w:rsid w:val="003154C9"/>
    <w:rsid w:val="003179E2"/>
    <w:rsid w:val="00317B27"/>
    <w:rsid w:val="00317F92"/>
    <w:rsid w:val="00321629"/>
    <w:rsid w:val="00325637"/>
    <w:rsid w:val="00326B4E"/>
    <w:rsid w:val="00327F90"/>
    <w:rsid w:val="00335FF0"/>
    <w:rsid w:val="003413D5"/>
    <w:rsid w:val="00343306"/>
    <w:rsid w:val="00345E37"/>
    <w:rsid w:val="003465F2"/>
    <w:rsid w:val="003471CC"/>
    <w:rsid w:val="00347B11"/>
    <w:rsid w:val="00356E3F"/>
    <w:rsid w:val="003575D0"/>
    <w:rsid w:val="00357BFD"/>
    <w:rsid w:val="00362D03"/>
    <w:rsid w:val="003651DB"/>
    <w:rsid w:val="003654B2"/>
    <w:rsid w:val="0036553A"/>
    <w:rsid w:val="00372C56"/>
    <w:rsid w:val="0037344C"/>
    <w:rsid w:val="00373C0C"/>
    <w:rsid w:val="00376953"/>
    <w:rsid w:val="00377519"/>
    <w:rsid w:val="00386193"/>
    <w:rsid w:val="00386AED"/>
    <w:rsid w:val="00386DA9"/>
    <w:rsid w:val="00391035"/>
    <w:rsid w:val="00392AE7"/>
    <w:rsid w:val="00393C81"/>
    <w:rsid w:val="003953AF"/>
    <w:rsid w:val="0039765D"/>
    <w:rsid w:val="003A3CF1"/>
    <w:rsid w:val="003A7B5A"/>
    <w:rsid w:val="003B0995"/>
    <w:rsid w:val="003B195F"/>
    <w:rsid w:val="003B4537"/>
    <w:rsid w:val="003B4AD6"/>
    <w:rsid w:val="003B5AC3"/>
    <w:rsid w:val="003C23EE"/>
    <w:rsid w:val="003C34C8"/>
    <w:rsid w:val="003C3C12"/>
    <w:rsid w:val="003C7E07"/>
    <w:rsid w:val="003D2E29"/>
    <w:rsid w:val="003D3317"/>
    <w:rsid w:val="003D707E"/>
    <w:rsid w:val="003E0CF1"/>
    <w:rsid w:val="003E588B"/>
    <w:rsid w:val="003E6D59"/>
    <w:rsid w:val="003F1074"/>
    <w:rsid w:val="003F42DC"/>
    <w:rsid w:val="003F5A9F"/>
    <w:rsid w:val="003F5B41"/>
    <w:rsid w:val="003F730E"/>
    <w:rsid w:val="0040665B"/>
    <w:rsid w:val="00407BFA"/>
    <w:rsid w:val="00410FA7"/>
    <w:rsid w:val="00411A8D"/>
    <w:rsid w:val="00413212"/>
    <w:rsid w:val="00413727"/>
    <w:rsid w:val="004241C3"/>
    <w:rsid w:val="00426623"/>
    <w:rsid w:val="00426CDC"/>
    <w:rsid w:val="0043355A"/>
    <w:rsid w:val="00434A5A"/>
    <w:rsid w:val="004356C6"/>
    <w:rsid w:val="00436059"/>
    <w:rsid w:val="004371EA"/>
    <w:rsid w:val="004461FB"/>
    <w:rsid w:val="004469AB"/>
    <w:rsid w:val="00447D8F"/>
    <w:rsid w:val="00450785"/>
    <w:rsid w:val="0045506C"/>
    <w:rsid w:val="00457FE5"/>
    <w:rsid w:val="00463A27"/>
    <w:rsid w:val="00467D89"/>
    <w:rsid w:val="00473015"/>
    <w:rsid w:val="004749B7"/>
    <w:rsid w:val="00477AEE"/>
    <w:rsid w:val="00480152"/>
    <w:rsid w:val="0048346F"/>
    <w:rsid w:val="0048482F"/>
    <w:rsid w:val="00485618"/>
    <w:rsid w:val="004907D3"/>
    <w:rsid w:val="00490876"/>
    <w:rsid w:val="00494C47"/>
    <w:rsid w:val="00496492"/>
    <w:rsid w:val="00497689"/>
    <w:rsid w:val="00497FD3"/>
    <w:rsid w:val="004A1B02"/>
    <w:rsid w:val="004A2978"/>
    <w:rsid w:val="004A6533"/>
    <w:rsid w:val="004B0573"/>
    <w:rsid w:val="004B3770"/>
    <w:rsid w:val="004B677E"/>
    <w:rsid w:val="004C379C"/>
    <w:rsid w:val="004C516B"/>
    <w:rsid w:val="004C5A90"/>
    <w:rsid w:val="004C79C4"/>
    <w:rsid w:val="004D321C"/>
    <w:rsid w:val="004D3BAD"/>
    <w:rsid w:val="004D5B79"/>
    <w:rsid w:val="004D6288"/>
    <w:rsid w:val="004D7BAF"/>
    <w:rsid w:val="004E0A82"/>
    <w:rsid w:val="004E3B61"/>
    <w:rsid w:val="004F0A93"/>
    <w:rsid w:val="004F1148"/>
    <w:rsid w:val="004F30A1"/>
    <w:rsid w:val="004F748C"/>
    <w:rsid w:val="00500315"/>
    <w:rsid w:val="005035BC"/>
    <w:rsid w:val="00511A77"/>
    <w:rsid w:val="00512420"/>
    <w:rsid w:val="00513F34"/>
    <w:rsid w:val="00515AC0"/>
    <w:rsid w:val="00521B63"/>
    <w:rsid w:val="00522BBD"/>
    <w:rsid w:val="0052320B"/>
    <w:rsid w:val="00530FBC"/>
    <w:rsid w:val="0053189A"/>
    <w:rsid w:val="00533D5E"/>
    <w:rsid w:val="00536531"/>
    <w:rsid w:val="00545D28"/>
    <w:rsid w:val="00546EF4"/>
    <w:rsid w:val="005478E6"/>
    <w:rsid w:val="005514E7"/>
    <w:rsid w:val="00552E4D"/>
    <w:rsid w:val="00553D3D"/>
    <w:rsid w:val="00556D82"/>
    <w:rsid w:val="00565A88"/>
    <w:rsid w:val="0056757B"/>
    <w:rsid w:val="00570427"/>
    <w:rsid w:val="00585C68"/>
    <w:rsid w:val="00587D12"/>
    <w:rsid w:val="00591939"/>
    <w:rsid w:val="00591FCF"/>
    <w:rsid w:val="005924A7"/>
    <w:rsid w:val="00593C63"/>
    <w:rsid w:val="0059414D"/>
    <w:rsid w:val="00596DAF"/>
    <w:rsid w:val="00597895"/>
    <w:rsid w:val="005A1892"/>
    <w:rsid w:val="005A1936"/>
    <w:rsid w:val="005A30DB"/>
    <w:rsid w:val="005A69B4"/>
    <w:rsid w:val="005A69C5"/>
    <w:rsid w:val="005B6B39"/>
    <w:rsid w:val="005C1287"/>
    <w:rsid w:val="005C5427"/>
    <w:rsid w:val="005C55FD"/>
    <w:rsid w:val="005C5A2F"/>
    <w:rsid w:val="005D40F3"/>
    <w:rsid w:val="005D47D0"/>
    <w:rsid w:val="005D603A"/>
    <w:rsid w:val="005D68FA"/>
    <w:rsid w:val="005D74FA"/>
    <w:rsid w:val="005E00C2"/>
    <w:rsid w:val="005E5142"/>
    <w:rsid w:val="005E5522"/>
    <w:rsid w:val="005F0545"/>
    <w:rsid w:val="005F0AA7"/>
    <w:rsid w:val="005F0E71"/>
    <w:rsid w:val="005F399C"/>
    <w:rsid w:val="005F6551"/>
    <w:rsid w:val="006001C0"/>
    <w:rsid w:val="00600744"/>
    <w:rsid w:val="00601B77"/>
    <w:rsid w:val="00602168"/>
    <w:rsid w:val="00603384"/>
    <w:rsid w:val="006041BF"/>
    <w:rsid w:val="00605D15"/>
    <w:rsid w:val="00610996"/>
    <w:rsid w:val="006111DF"/>
    <w:rsid w:val="006112CA"/>
    <w:rsid w:val="00611E7C"/>
    <w:rsid w:val="00612459"/>
    <w:rsid w:val="006140EB"/>
    <w:rsid w:val="00616D25"/>
    <w:rsid w:val="00621DA2"/>
    <w:rsid w:val="00622050"/>
    <w:rsid w:val="00631868"/>
    <w:rsid w:val="00636C80"/>
    <w:rsid w:val="00636E54"/>
    <w:rsid w:val="00637417"/>
    <w:rsid w:val="006462F2"/>
    <w:rsid w:val="00650F40"/>
    <w:rsid w:val="0065153B"/>
    <w:rsid w:val="00654B01"/>
    <w:rsid w:val="006559C8"/>
    <w:rsid w:val="00657CCD"/>
    <w:rsid w:val="00660D3B"/>
    <w:rsid w:val="006631C8"/>
    <w:rsid w:val="0066749B"/>
    <w:rsid w:val="00667E75"/>
    <w:rsid w:val="006757F4"/>
    <w:rsid w:val="006759F1"/>
    <w:rsid w:val="006776A1"/>
    <w:rsid w:val="00677CB9"/>
    <w:rsid w:val="006810D6"/>
    <w:rsid w:val="006811F6"/>
    <w:rsid w:val="0068213D"/>
    <w:rsid w:val="006825E3"/>
    <w:rsid w:val="00684A15"/>
    <w:rsid w:val="006857AC"/>
    <w:rsid w:val="00686C97"/>
    <w:rsid w:val="00687650"/>
    <w:rsid w:val="00687F1B"/>
    <w:rsid w:val="00692821"/>
    <w:rsid w:val="006A05C5"/>
    <w:rsid w:val="006A0F09"/>
    <w:rsid w:val="006A3F24"/>
    <w:rsid w:val="006A45E0"/>
    <w:rsid w:val="006B2802"/>
    <w:rsid w:val="006B4CB8"/>
    <w:rsid w:val="006B55BA"/>
    <w:rsid w:val="006B6E22"/>
    <w:rsid w:val="006C21F1"/>
    <w:rsid w:val="006C6393"/>
    <w:rsid w:val="006D04BF"/>
    <w:rsid w:val="006D2301"/>
    <w:rsid w:val="006D24C4"/>
    <w:rsid w:val="006D2CBB"/>
    <w:rsid w:val="006E333F"/>
    <w:rsid w:val="006E3A59"/>
    <w:rsid w:val="006F0ADC"/>
    <w:rsid w:val="006F3A2C"/>
    <w:rsid w:val="006F5E8C"/>
    <w:rsid w:val="006F6B3E"/>
    <w:rsid w:val="006F6B51"/>
    <w:rsid w:val="00700850"/>
    <w:rsid w:val="00700B61"/>
    <w:rsid w:val="00704278"/>
    <w:rsid w:val="007102CF"/>
    <w:rsid w:val="0071795C"/>
    <w:rsid w:val="00717D32"/>
    <w:rsid w:val="0072166C"/>
    <w:rsid w:val="00724925"/>
    <w:rsid w:val="007301CB"/>
    <w:rsid w:val="00732FDE"/>
    <w:rsid w:val="00734D08"/>
    <w:rsid w:val="007351B1"/>
    <w:rsid w:val="0074458C"/>
    <w:rsid w:val="00744D16"/>
    <w:rsid w:val="00757049"/>
    <w:rsid w:val="00757718"/>
    <w:rsid w:val="00757DAA"/>
    <w:rsid w:val="00762C52"/>
    <w:rsid w:val="007637FE"/>
    <w:rsid w:val="007664C9"/>
    <w:rsid w:val="007705B2"/>
    <w:rsid w:val="007714A0"/>
    <w:rsid w:val="00785F56"/>
    <w:rsid w:val="00787C5D"/>
    <w:rsid w:val="00790211"/>
    <w:rsid w:val="00793B44"/>
    <w:rsid w:val="0079442A"/>
    <w:rsid w:val="00794D45"/>
    <w:rsid w:val="00795E0E"/>
    <w:rsid w:val="007A0D15"/>
    <w:rsid w:val="007A304E"/>
    <w:rsid w:val="007A460D"/>
    <w:rsid w:val="007A4A00"/>
    <w:rsid w:val="007A7393"/>
    <w:rsid w:val="007A76C4"/>
    <w:rsid w:val="007B49F5"/>
    <w:rsid w:val="007B5028"/>
    <w:rsid w:val="007B555D"/>
    <w:rsid w:val="007B5F6F"/>
    <w:rsid w:val="007B64DB"/>
    <w:rsid w:val="007C120A"/>
    <w:rsid w:val="007C2B18"/>
    <w:rsid w:val="007C38CD"/>
    <w:rsid w:val="007C5DF6"/>
    <w:rsid w:val="007C5FC3"/>
    <w:rsid w:val="007D3145"/>
    <w:rsid w:val="007D59D7"/>
    <w:rsid w:val="007D73B2"/>
    <w:rsid w:val="007E27AF"/>
    <w:rsid w:val="007F0D90"/>
    <w:rsid w:val="007F16C3"/>
    <w:rsid w:val="007F3AEA"/>
    <w:rsid w:val="007F3D06"/>
    <w:rsid w:val="007F4878"/>
    <w:rsid w:val="007F7B69"/>
    <w:rsid w:val="00801F3C"/>
    <w:rsid w:val="00802104"/>
    <w:rsid w:val="00802C9A"/>
    <w:rsid w:val="00803D11"/>
    <w:rsid w:val="00805FB8"/>
    <w:rsid w:val="00815B8C"/>
    <w:rsid w:val="00821E15"/>
    <w:rsid w:val="00826B97"/>
    <w:rsid w:val="00831515"/>
    <w:rsid w:val="0083581A"/>
    <w:rsid w:val="0083762D"/>
    <w:rsid w:val="00841104"/>
    <w:rsid w:val="00843790"/>
    <w:rsid w:val="008460B6"/>
    <w:rsid w:val="0085138E"/>
    <w:rsid w:val="008541B5"/>
    <w:rsid w:val="00855B6C"/>
    <w:rsid w:val="008615F1"/>
    <w:rsid w:val="00862BA8"/>
    <w:rsid w:val="008630F7"/>
    <w:rsid w:val="00863E7A"/>
    <w:rsid w:val="00865EC3"/>
    <w:rsid w:val="00875D11"/>
    <w:rsid w:val="00876675"/>
    <w:rsid w:val="0087685B"/>
    <w:rsid w:val="00881426"/>
    <w:rsid w:val="0088280B"/>
    <w:rsid w:val="00882EC6"/>
    <w:rsid w:val="0088467D"/>
    <w:rsid w:val="008877DF"/>
    <w:rsid w:val="00894AC3"/>
    <w:rsid w:val="00897E9B"/>
    <w:rsid w:val="008A1782"/>
    <w:rsid w:val="008B0D5A"/>
    <w:rsid w:val="008B1FE4"/>
    <w:rsid w:val="008B4336"/>
    <w:rsid w:val="008B61D9"/>
    <w:rsid w:val="008B69AD"/>
    <w:rsid w:val="008B7296"/>
    <w:rsid w:val="008C0083"/>
    <w:rsid w:val="008C1589"/>
    <w:rsid w:val="008C173F"/>
    <w:rsid w:val="008C2893"/>
    <w:rsid w:val="008C5CA5"/>
    <w:rsid w:val="008C6822"/>
    <w:rsid w:val="008D3258"/>
    <w:rsid w:val="008D43F5"/>
    <w:rsid w:val="008D7B10"/>
    <w:rsid w:val="008E5529"/>
    <w:rsid w:val="008E61FA"/>
    <w:rsid w:val="008F2B98"/>
    <w:rsid w:val="008F52F1"/>
    <w:rsid w:val="008F6294"/>
    <w:rsid w:val="008F6E16"/>
    <w:rsid w:val="009008F7"/>
    <w:rsid w:val="00901200"/>
    <w:rsid w:val="009013EA"/>
    <w:rsid w:val="0090439A"/>
    <w:rsid w:val="009047B8"/>
    <w:rsid w:val="009050CF"/>
    <w:rsid w:val="0090594F"/>
    <w:rsid w:val="0090598E"/>
    <w:rsid w:val="009065B8"/>
    <w:rsid w:val="00907333"/>
    <w:rsid w:val="00916F9B"/>
    <w:rsid w:val="00921873"/>
    <w:rsid w:val="00922900"/>
    <w:rsid w:val="00922BB3"/>
    <w:rsid w:val="009302A3"/>
    <w:rsid w:val="00931742"/>
    <w:rsid w:val="00932519"/>
    <w:rsid w:val="00941AF7"/>
    <w:rsid w:val="009420CA"/>
    <w:rsid w:val="0094519A"/>
    <w:rsid w:val="009454C2"/>
    <w:rsid w:val="0094748B"/>
    <w:rsid w:val="00947E5E"/>
    <w:rsid w:val="009507E8"/>
    <w:rsid w:val="00951074"/>
    <w:rsid w:val="0095126B"/>
    <w:rsid w:val="00951394"/>
    <w:rsid w:val="009516B0"/>
    <w:rsid w:val="00954479"/>
    <w:rsid w:val="0095579F"/>
    <w:rsid w:val="00960403"/>
    <w:rsid w:val="00963D39"/>
    <w:rsid w:val="009662A6"/>
    <w:rsid w:val="009670FD"/>
    <w:rsid w:val="009744C4"/>
    <w:rsid w:val="009747F6"/>
    <w:rsid w:val="0098263D"/>
    <w:rsid w:val="00986051"/>
    <w:rsid w:val="009903A1"/>
    <w:rsid w:val="00990990"/>
    <w:rsid w:val="00992B44"/>
    <w:rsid w:val="0099477E"/>
    <w:rsid w:val="009950D3"/>
    <w:rsid w:val="00996BB3"/>
    <w:rsid w:val="00997720"/>
    <w:rsid w:val="009A09A7"/>
    <w:rsid w:val="009A10C1"/>
    <w:rsid w:val="009A1A0F"/>
    <w:rsid w:val="009A4F48"/>
    <w:rsid w:val="009A66F0"/>
    <w:rsid w:val="009B0294"/>
    <w:rsid w:val="009B28CF"/>
    <w:rsid w:val="009B39BE"/>
    <w:rsid w:val="009C3172"/>
    <w:rsid w:val="009C34E0"/>
    <w:rsid w:val="009C5CC7"/>
    <w:rsid w:val="009C5F0B"/>
    <w:rsid w:val="009C6BFB"/>
    <w:rsid w:val="009D2DC1"/>
    <w:rsid w:val="009D3FBA"/>
    <w:rsid w:val="009D4BAF"/>
    <w:rsid w:val="009E17E6"/>
    <w:rsid w:val="009E19A4"/>
    <w:rsid w:val="009E3208"/>
    <w:rsid w:val="009F3B84"/>
    <w:rsid w:val="009F4DF8"/>
    <w:rsid w:val="009F5A00"/>
    <w:rsid w:val="00A00055"/>
    <w:rsid w:val="00A01B34"/>
    <w:rsid w:val="00A02D0C"/>
    <w:rsid w:val="00A03191"/>
    <w:rsid w:val="00A07461"/>
    <w:rsid w:val="00A102EE"/>
    <w:rsid w:val="00A13F19"/>
    <w:rsid w:val="00A1547F"/>
    <w:rsid w:val="00A165A8"/>
    <w:rsid w:val="00A21B55"/>
    <w:rsid w:val="00A23510"/>
    <w:rsid w:val="00A2740F"/>
    <w:rsid w:val="00A27C4D"/>
    <w:rsid w:val="00A34EF4"/>
    <w:rsid w:val="00A3651A"/>
    <w:rsid w:val="00A37D30"/>
    <w:rsid w:val="00A40C91"/>
    <w:rsid w:val="00A43250"/>
    <w:rsid w:val="00A43BB2"/>
    <w:rsid w:val="00A43C7F"/>
    <w:rsid w:val="00A46233"/>
    <w:rsid w:val="00A46F51"/>
    <w:rsid w:val="00A50355"/>
    <w:rsid w:val="00A512CB"/>
    <w:rsid w:val="00A52F74"/>
    <w:rsid w:val="00A530D0"/>
    <w:rsid w:val="00A551A7"/>
    <w:rsid w:val="00A71626"/>
    <w:rsid w:val="00A746D5"/>
    <w:rsid w:val="00A75BE0"/>
    <w:rsid w:val="00A80A3F"/>
    <w:rsid w:val="00A830F0"/>
    <w:rsid w:val="00A90024"/>
    <w:rsid w:val="00A928E2"/>
    <w:rsid w:val="00AA542A"/>
    <w:rsid w:val="00AB2F3B"/>
    <w:rsid w:val="00AB526A"/>
    <w:rsid w:val="00AB78BC"/>
    <w:rsid w:val="00AC166B"/>
    <w:rsid w:val="00AC24A4"/>
    <w:rsid w:val="00AC4819"/>
    <w:rsid w:val="00AD65FB"/>
    <w:rsid w:val="00AD69A7"/>
    <w:rsid w:val="00AD7F70"/>
    <w:rsid w:val="00AE11C2"/>
    <w:rsid w:val="00AE1E6B"/>
    <w:rsid w:val="00AE2251"/>
    <w:rsid w:val="00AE41D0"/>
    <w:rsid w:val="00AE516C"/>
    <w:rsid w:val="00AF08B0"/>
    <w:rsid w:val="00AF1522"/>
    <w:rsid w:val="00AF3E07"/>
    <w:rsid w:val="00AF6995"/>
    <w:rsid w:val="00AF7409"/>
    <w:rsid w:val="00B018D4"/>
    <w:rsid w:val="00B03848"/>
    <w:rsid w:val="00B0451F"/>
    <w:rsid w:val="00B13D22"/>
    <w:rsid w:val="00B2740D"/>
    <w:rsid w:val="00B35DDD"/>
    <w:rsid w:val="00B35EB8"/>
    <w:rsid w:val="00B36AF9"/>
    <w:rsid w:val="00B407D6"/>
    <w:rsid w:val="00B411F8"/>
    <w:rsid w:val="00B4535D"/>
    <w:rsid w:val="00B46986"/>
    <w:rsid w:val="00B47AF4"/>
    <w:rsid w:val="00B51A92"/>
    <w:rsid w:val="00B51C95"/>
    <w:rsid w:val="00B62ABE"/>
    <w:rsid w:val="00B65C66"/>
    <w:rsid w:val="00B667C0"/>
    <w:rsid w:val="00B724FC"/>
    <w:rsid w:val="00B811D2"/>
    <w:rsid w:val="00B8151F"/>
    <w:rsid w:val="00B8426D"/>
    <w:rsid w:val="00B863DF"/>
    <w:rsid w:val="00B872E5"/>
    <w:rsid w:val="00B92F99"/>
    <w:rsid w:val="00B93F41"/>
    <w:rsid w:val="00B97757"/>
    <w:rsid w:val="00BA3E40"/>
    <w:rsid w:val="00BB0115"/>
    <w:rsid w:val="00BB4B6F"/>
    <w:rsid w:val="00BC08C5"/>
    <w:rsid w:val="00BC1ED3"/>
    <w:rsid w:val="00BC2C80"/>
    <w:rsid w:val="00BC3C0B"/>
    <w:rsid w:val="00BC5299"/>
    <w:rsid w:val="00BD13CE"/>
    <w:rsid w:val="00BD5DD4"/>
    <w:rsid w:val="00BD79ED"/>
    <w:rsid w:val="00BD7D55"/>
    <w:rsid w:val="00BE0866"/>
    <w:rsid w:val="00BE4696"/>
    <w:rsid w:val="00BE4B55"/>
    <w:rsid w:val="00BE5F63"/>
    <w:rsid w:val="00BF094B"/>
    <w:rsid w:val="00BF6383"/>
    <w:rsid w:val="00C00FE3"/>
    <w:rsid w:val="00C03C2F"/>
    <w:rsid w:val="00C050DE"/>
    <w:rsid w:val="00C0530A"/>
    <w:rsid w:val="00C05809"/>
    <w:rsid w:val="00C05A8B"/>
    <w:rsid w:val="00C07D8E"/>
    <w:rsid w:val="00C1049C"/>
    <w:rsid w:val="00C106E3"/>
    <w:rsid w:val="00C136CE"/>
    <w:rsid w:val="00C20B48"/>
    <w:rsid w:val="00C219A7"/>
    <w:rsid w:val="00C21B88"/>
    <w:rsid w:val="00C223AF"/>
    <w:rsid w:val="00C22C4C"/>
    <w:rsid w:val="00C2390F"/>
    <w:rsid w:val="00C23BC6"/>
    <w:rsid w:val="00C24505"/>
    <w:rsid w:val="00C2549B"/>
    <w:rsid w:val="00C2560D"/>
    <w:rsid w:val="00C25BB6"/>
    <w:rsid w:val="00C25E14"/>
    <w:rsid w:val="00C272C3"/>
    <w:rsid w:val="00C27E58"/>
    <w:rsid w:val="00C30FA0"/>
    <w:rsid w:val="00C311E7"/>
    <w:rsid w:val="00C31B80"/>
    <w:rsid w:val="00C3439C"/>
    <w:rsid w:val="00C3444E"/>
    <w:rsid w:val="00C36781"/>
    <w:rsid w:val="00C41D3C"/>
    <w:rsid w:val="00C426C7"/>
    <w:rsid w:val="00C44244"/>
    <w:rsid w:val="00C45E11"/>
    <w:rsid w:val="00C47308"/>
    <w:rsid w:val="00C5079B"/>
    <w:rsid w:val="00C50E1C"/>
    <w:rsid w:val="00C50FFF"/>
    <w:rsid w:val="00C510F6"/>
    <w:rsid w:val="00C51720"/>
    <w:rsid w:val="00C51ADB"/>
    <w:rsid w:val="00C522C8"/>
    <w:rsid w:val="00C53802"/>
    <w:rsid w:val="00C53920"/>
    <w:rsid w:val="00C53DF9"/>
    <w:rsid w:val="00C54C1F"/>
    <w:rsid w:val="00C552CF"/>
    <w:rsid w:val="00C65FBB"/>
    <w:rsid w:val="00C71819"/>
    <w:rsid w:val="00C77011"/>
    <w:rsid w:val="00C77D37"/>
    <w:rsid w:val="00C824CB"/>
    <w:rsid w:val="00C82D13"/>
    <w:rsid w:val="00C83A36"/>
    <w:rsid w:val="00C8432E"/>
    <w:rsid w:val="00C907ED"/>
    <w:rsid w:val="00C90AD2"/>
    <w:rsid w:val="00C91C39"/>
    <w:rsid w:val="00C91CF0"/>
    <w:rsid w:val="00C971FD"/>
    <w:rsid w:val="00CA070A"/>
    <w:rsid w:val="00CA3ADB"/>
    <w:rsid w:val="00CA6B04"/>
    <w:rsid w:val="00CB0FFC"/>
    <w:rsid w:val="00CB1452"/>
    <w:rsid w:val="00CB7696"/>
    <w:rsid w:val="00CC25E0"/>
    <w:rsid w:val="00CC5CC9"/>
    <w:rsid w:val="00CC64FF"/>
    <w:rsid w:val="00CC6F8B"/>
    <w:rsid w:val="00CC6FDC"/>
    <w:rsid w:val="00CD0F99"/>
    <w:rsid w:val="00CD217C"/>
    <w:rsid w:val="00CD78D7"/>
    <w:rsid w:val="00CE7040"/>
    <w:rsid w:val="00CF2F4C"/>
    <w:rsid w:val="00CF4458"/>
    <w:rsid w:val="00CF445F"/>
    <w:rsid w:val="00CF52C7"/>
    <w:rsid w:val="00CF5617"/>
    <w:rsid w:val="00CF5FD5"/>
    <w:rsid w:val="00CF7542"/>
    <w:rsid w:val="00CF79F8"/>
    <w:rsid w:val="00D001CB"/>
    <w:rsid w:val="00D011F2"/>
    <w:rsid w:val="00D039A4"/>
    <w:rsid w:val="00D05B88"/>
    <w:rsid w:val="00D06974"/>
    <w:rsid w:val="00D166B8"/>
    <w:rsid w:val="00D231D1"/>
    <w:rsid w:val="00D23535"/>
    <w:rsid w:val="00D23920"/>
    <w:rsid w:val="00D23DB9"/>
    <w:rsid w:val="00D23FA9"/>
    <w:rsid w:val="00D2534F"/>
    <w:rsid w:val="00D258E0"/>
    <w:rsid w:val="00D25B39"/>
    <w:rsid w:val="00D2630A"/>
    <w:rsid w:val="00D317C6"/>
    <w:rsid w:val="00D3269E"/>
    <w:rsid w:val="00D3435C"/>
    <w:rsid w:val="00D37B40"/>
    <w:rsid w:val="00D4308D"/>
    <w:rsid w:val="00D4332A"/>
    <w:rsid w:val="00D45653"/>
    <w:rsid w:val="00D4656F"/>
    <w:rsid w:val="00D46983"/>
    <w:rsid w:val="00D46D6D"/>
    <w:rsid w:val="00D5071B"/>
    <w:rsid w:val="00D50E69"/>
    <w:rsid w:val="00D52447"/>
    <w:rsid w:val="00D530CF"/>
    <w:rsid w:val="00D54F8B"/>
    <w:rsid w:val="00D55C63"/>
    <w:rsid w:val="00D5661F"/>
    <w:rsid w:val="00D62F4A"/>
    <w:rsid w:val="00D644F9"/>
    <w:rsid w:val="00D649E6"/>
    <w:rsid w:val="00D65B91"/>
    <w:rsid w:val="00D70A22"/>
    <w:rsid w:val="00D717D7"/>
    <w:rsid w:val="00D718B8"/>
    <w:rsid w:val="00D72871"/>
    <w:rsid w:val="00D73754"/>
    <w:rsid w:val="00D76976"/>
    <w:rsid w:val="00D814F0"/>
    <w:rsid w:val="00D84529"/>
    <w:rsid w:val="00D86812"/>
    <w:rsid w:val="00D902E2"/>
    <w:rsid w:val="00D92EB2"/>
    <w:rsid w:val="00DA12B9"/>
    <w:rsid w:val="00DA14F5"/>
    <w:rsid w:val="00DA32C8"/>
    <w:rsid w:val="00DA3392"/>
    <w:rsid w:val="00DA7533"/>
    <w:rsid w:val="00DB0459"/>
    <w:rsid w:val="00DB3DF7"/>
    <w:rsid w:val="00DB42DD"/>
    <w:rsid w:val="00DB4305"/>
    <w:rsid w:val="00DC09BF"/>
    <w:rsid w:val="00DC1D19"/>
    <w:rsid w:val="00DC3C37"/>
    <w:rsid w:val="00DC525A"/>
    <w:rsid w:val="00DC5261"/>
    <w:rsid w:val="00DC7AE3"/>
    <w:rsid w:val="00DD4B9F"/>
    <w:rsid w:val="00DD4C5A"/>
    <w:rsid w:val="00DD519E"/>
    <w:rsid w:val="00DD5338"/>
    <w:rsid w:val="00DE2500"/>
    <w:rsid w:val="00DE3F0D"/>
    <w:rsid w:val="00DE550C"/>
    <w:rsid w:val="00DE593B"/>
    <w:rsid w:val="00DF0AAE"/>
    <w:rsid w:val="00DF12B4"/>
    <w:rsid w:val="00DF255D"/>
    <w:rsid w:val="00DF3A90"/>
    <w:rsid w:val="00E00711"/>
    <w:rsid w:val="00E00892"/>
    <w:rsid w:val="00E02E31"/>
    <w:rsid w:val="00E03B7C"/>
    <w:rsid w:val="00E06047"/>
    <w:rsid w:val="00E066EA"/>
    <w:rsid w:val="00E06A02"/>
    <w:rsid w:val="00E07843"/>
    <w:rsid w:val="00E10BC8"/>
    <w:rsid w:val="00E11652"/>
    <w:rsid w:val="00E12658"/>
    <w:rsid w:val="00E12D3E"/>
    <w:rsid w:val="00E158FA"/>
    <w:rsid w:val="00E17318"/>
    <w:rsid w:val="00E223BD"/>
    <w:rsid w:val="00E2391A"/>
    <w:rsid w:val="00E2463A"/>
    <w:rsid w:val="00E2765D"/>
    <w:rsid w:val="00E279BF"/>
    <w:rsid w:val="00E333C7"/>
    <w:rsid w:val="00E3389E"/>
    <w:rsid w:val="00E355EC"/>
    <w:rsid w:val="00E361A6"/>
    <w:rsid w:val="00E37477"/>
    <w:rsid w:val="00E47D08"/>
    <w:rsid w:val="00E5197E"/>
    <w:rsid w:val="00E57098"/>
    <w:rsid w:val="00E57A7D"/>
    <w:rsid w:val="00E6221F"/>
    <w:rsid w:val="00E6588A"/>
    <w:rsid w:val="00E65FE3"/>
    <w:rsid w:val="00E72FB5"/>
    <w:rsid w:val="00E7362C"/>
    <w:rsid w:val="00E75E1B"/>
    <w:rsid w:val="00E82B44"/>
    <w:rsid w:val="00E84173"/>
    <w:rsid w:val="00E84EE5"/>
    <w:rsid w:val="00E85582"/>
    <w:rsid w:val="00E876F4"/>
    <w:rsid w:val="00E900FA"/>
    <w:rsid w:val="00E910AD"/>
    <w:rsid w:val="00E91977"/>
    <w:rsid w:val="00E932C5"/>
    <w:rsid w:val="00E933F3"/>
    <w:rsid w:val="00E93FB7"/>
    <w:rsid w:val="00E95B3D"/>
    <w:rsid w:val="00E96288"/>
    <w:rsid w:val="00EA194D"/>
    <w:rsid w:val="00EA23F7"/>
    <w:rsid w:val="00EA2981"/>
    <w:rsid w:val="00EB199F"/>
    <w:rsid w:val="00EB2CDC"/>
    <w:rsid w:val="00EB54FA"/>
    <w:rsid w:val="00EC549A"/>
    <w:rsid w:val="00EC5CBA"/>
    <w:rsid w:val="00ED0114"/>
    <w:rsid w:val="00ED0ED4"/>
    <w:rsid w:val="00ED156E"/>
    <w:rsid w:val="00ED40BD"/>
    <w:rsid w:val="00ED4E15"/>
    <w:rsid w:val="00ED56AC"/>
    <w:rsid w:val="00ED5EA7"/>
    <w:rsid w:val="00ED7B75"/>
    <w:rsid w:val="00EE0E88"/>
    <w:rsid w:val="00EE1CA9"/>
    <w:rsid w:val="00EE5841"/>
    <w:rsid w:val="00EF15EE"/>
    <w:rsid w:val="00EF16F5"/>
    <w:rsid w:val="00EF7942"/>
    <w:rsid w:val="00F01C5F"/>
    <w:rsid w:val="00F02392"/>
    <w:rsid w:val="00F028B3"/>
    <w:rsid w:val="00F04295"/>
    <w:rsid w:val="00F071F0"/>
    <w:rsid w:val="00F102BD"/>
    <w:rsid w:val="00F11990"/>
    <w:rsid w:val="00F12364"/>
    <w:rsid w:val="00F13F98"/>
    <w:rsid w:val="00F21B78"/>
    <w:rsid w:val="00F25ED9"/>
    <w:rsid w:val="00F30CE5"/>
    <w:rsid w:val="00F378BF"/>
    <w:rsid w:val="00F37D67"/>
    <w:rsid w:val="00F402A3"/>
    <w:rsid w:val="00F406DD"/>
    <w:rsid w:val="00F40716"/>
    <w:rsid w:val="00F500F2"/>
    <w:rsid w:val="00F509F4"/>
    <w:rsid w:val="00F5234F"/>
    <w:rsid w:val="00F57A2B"/>
    <w:rsid w:val="00F65098"/>
    <w:rsid w:val="00F71E6A"/>
    <w:rsid w:val="00F72EA2"/>
    <w:rsid w:val="00F823DD"/>
    <w:rsid w:val="00F8353D"/>
    <w:rsid w:val="00F841E5"/>
    <w:rsid w:val="00F852B5"/>
    <w:rsid w:val="00F854CF"/>
    <w:rsid w:val="00F9012C"/>
    <w:rsid w:val="00F91B1D"/>
    <w:rsid w:val="00F93B16"/>
    <w:rsid w:val="00FA099C"/>
    <w:rsid w:val="00FA4488"/>
    <w:rsid w:val="00FA6037"/>
    <w:rsid w:val="00FA6674"/>
    <w:rsid w:val="00FA6B52"/>
    <w:rsid w:val="00FA6DC2"/>
    <w:rsid w:val="00FB0B0A"/>
    <w:rsid w:val="00FB0C33"/>
    <w:rsid w:val="00FB617F"/>
    <w:rsid w:val="00FC27EB"/>
    <w:rsid w:val="00FC475F"/>
    <w:rsid w:val="00FC4844"/>
    <w:rsid w:val="00FC6DB7"/>
    <w:rsid w:val="00FD067F"/>
    <w:rsid w:val="00FD196B"/>
    <w:rsid w:val="00FD4A97"/>
    <w:rsid w:val="00FD5346"/>
    <w:rsid w:val="00FD6E9B"/>
    <w:rsid w:val="00FD7CFA"/>
    <w:rsid w:val="00FE4062"/>
    <w:rsid w:val="00FF0F65"/>
    <w:rsid w:val="00FF178C"/>
    <w:rsid w:val="00FF226B"/>
    <w:rsid w:val="00FF2F1C"/>
    <w:rsid w:val="00FF3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DD58F9"/>
  <w15:chartTrackingRefBased/>
  <w15:docId w15:val="{3D3D0316-A7CE-4915-BFCA-BD59534A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08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75E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link w:val="Titre4Car"/>
    <w:uiPriority w:val="9"/>
    <w:qFormat/>
    <w:rsid w:val="00CB7696"/>
    <w:p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link w:val="NormalcentrCar"/>
    <w:qFormat/>
    <w:rsid w:val="00C27E58"/>
    <w:pPr>
      <w:spacing w:before="240" w:after="0" w:line="480" w:lineRule="atLeast"/>
      <w:ind w:left="-284" w:right="-367"/>
      <w:jc w:val="both"/>
    </w:pPr>
    <w:rPr>
      <w:rFonts w:ascii="Times" w:eastAsia="Times New Roman" w:hAnsi="Times" w:cs="Times New Roman"/>
      <w:sz w:val="24"/>
      <w:szCs w:val="20"/>
      <w:lang w:val="en-GB" w:eastAsia="es-ES"/>
    </w:rPr>
  </w:style>
  <w:style w:type="paragraph" w:styleId="Paragraphedeliste">
    <w:name w:val="List Paragraph"/>
    <w:basedOn w:val="Normal"/>
    <w:uiPriority w:val="34"/>
    <w:qFormat/>
    <w:rsid w:val="00C27E58"/>
    <w:pPr>
      <w:ind w:left="720"/>
      <w:contextualSpacing/>
    </w:pPr>
  </w:style>
  <w:style w:type="character" w:styleId="lev">
    <w:name w:val="Strong"/>
    <w:basedOn w:val="Policepardfaut"/>
    <w:uiPriority w:val="22"/>
    <w:qFormat/>
    <w:rsid w:val="00231822"/>
    <w:rPr>
      <w:b/>
      <w:bCs/>
    </w:rPr>
  </w:style>
  <w:style w:type="table" w:customStyle="1" w:styleId="TableNormal1">
    <w:name w:val="Table Normal1"/>
    <w:uiPriority w:val="2"/>
    <w:semiHidden/>
    <w:unhideWhenUsed/>
    <w:qFormat/>
    <w:rsid w:val="00FF0F65"/>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Titre1Car">
    <w:name w:val="Titre 1 Car"/>
    <w:basedOn w:val="Policepardfaut"/>
    <w:link w:val="Titre1"/>
    <w:uiPriority w:val="9"/>
    <w:rsid w:val="00490876"/>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490876"/>
    <w:rPr>
      <w:color w:val="0563C1" w:themeColor="hyperlink"/>
      <w:u w:val="single"/>
    </w:rPr>
  </w:style>
  <w:style w:type="paragraph" w:styleId="Bibliographie">
    <w:name w:val="Bibliography"/>
    <w:basedOn w:val="Normal"/>
    <w:next w:val="Normal"/>
    <w:uiPriority w:val="37"/>
    <w:unhideWhenUsed/>
    <w:rsid w:val="00D45653"/>
    <w:pPr>
      <w:tabs>
        <w:tab w:val="left" w:pos="384"/>
      </w:tabs>
      <w:spacing w:after="0" w:line="480" w:lineRule="auto"/>
      <w:ind w:left="384" w:hanging="384"/>
    </w:pPr>
  </w:style>
  <w:style w:type="paragraph" w:styleId="En-tte">
    <w:name w:val="header"/>
    <w:basedOn w:val="Normal"/>
    <w:link w:val="En-tteCar"/>
    <w:uiPriority w:val="99"/>
    <w:unhideWhenUsed/>
    <w:rsid w:val="009E17E6"/>
    <w:pPr>
      <w:tabs>
        <w:tab w:val="center" w:pos="4680"/>
        <w:tab w:val="right" w:pos="9360"/>
      </w:tabs>
      <w:spacing w:after="0" w:line="240" w:lineRule="auto"/>
    </w:pPr>
  </w:style>
  <w:style w:type="character" w:customStyle="1" w:styleId="En-tteCar">
    <w:name w:val="En-tête Car"/>
    <w:basedOn w:val="Policepardfaut"/>
    <w:link w:val="En-tte"/>
    <w:uiPriority w:val="99"/>
    <w:rsid w:val="009E17E6"/>
  </w:style>
  <w:style w:type="paragraph" w:styleId="Pieddepage">
    <w:name w:val="footer"/>
    <w:basedOn w:val="Normal"/>
    <w:link w:val="PieddepageCar"/>
    <w:uiPriority w:val="99"/>
    <w:unhideWhenUsed/>
    <w:rsid w:val="009E17E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E17E6"/>
  </w:style>
  <w:style w:type="character" w:styleId="Accentuation">
    <w:name w:val="Emphasis"/>
    <w:basedOn w:val="Policepardfaut"/>
    <w:uiPriority w:val="20"/>
    <w:qFormat/>
    <w:rsid w:val="008C6822"/>
    <w:rPr>
      <w:i/>
      <w:iCs/>
    </w:rPr>
  </w:style>
  <w:style w:type="paragraph" w:styleId="Textedebulles">
    <w:name w:val="Balloon Text"/>
    <w:basedOn w:val="Normal"/>
    <w:link w:val="TextedebullesCar"/>
    <w:uiPriority w:val="99"/>
    <w:semiHidden/>
    <w:unhideWhenUsed/>
    <w:rsid w:val="001961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61C8"/>
    <w:rPr>
      <w:rFonts w:ascii="Segoe UI" w:hAnsi="Segoe UI" w:cs="Segoe UI"/>
      <w:sz w:val="18"/>
      <w:szCs w:val="18"/>
    </w:rPr>
  </w:style>
  <w:style w:type="character" w:styleId="Marquedecommentaire">
    <w:name w:val="annotation reference"/>
    <w:basedOn w:val="Policepardfaut"/>
    <w:uiPriority w:val="99"/>
    <w:semiHidden/>
    <w:unhideWhenUsed/>
    <w:rsid w:val="0090594F"/>
    <w:rPr>
      <w:sz w:val="16"/>
      <w:szCs w:val="16"/>
    </w:rPr>
  </w:style>
  <w:style w:type="paragraph" w:styleId="Commentaire">
    <w:name w:val="annotation text"/>
    <w:basedOn w:val="Normal"/>
    <w:link w:val="CommentaireCar"/>
    <w:uiPriority w:val="99"/>
    <w:unhideWhenUsed/>
    <w:rsid w:val="0090594F"/>
    <w:pPr>
      <w:spacing w:line="240" w:lineRule="auto"/>
    </w:pPr>
    <w:rPr>
      <w:sz w:val="20"/>
      <w:szCs w:val="20"/>
    </w:rPr>
  </w:style>
  <w:style w:type="character" w:customStyle="1" w:styleId="CommentaireCar">
    <w:name w:val="Commentaire Car"/>
    <w:basedOn w:val="Policepardfaut"/>
    <w:link w:val="Commentaire"/>
    <w:uiPriority w:val="99"/>
    <w:rsid w:val="0090594F"/>
    <w:rPr>
      <w:sz w:val="20"/>
      <w:szCs w:val="20"/>
    </w:rPr>
  </w:style>
  <w:style w:type="paragraph" w:styleId="Objetducommentaire">
    <w:name w:val="annotation subject"/>
    <w:basedOn w:val="Commentaire"/>
    <w:next w:val="Commentaire"/>
    <w:link w:val="ObjetducommentaireCar"/>
    <w:uiPriority w:val="99"/>
    <w:semiHidden/>
    <w:unhideWhenUsed/>
    <w:rsid w:val="0090594F"/>
    <w:rPr>
      <w:b/>
      <w:bCs/>
    </w:rPr>
  </w:style>
  <w:style w:type="character" w:customStyle="1" w:styleId="ObjetducommentaireCar">
    <w:name w:val="Objet du commentaire Car"/>
    <w:basedOn w:val="CommentaireCar"/>
    <w:link w:val="Objetducommentaire"/>
    <w:uiPriority w:val="99"/>
    <w:semiHidden/>
    <w:rsid w:val="0090594F"/>
    <w:rPr>
      <w:b/>
      <w:bCs/>
      <w:sz w:val="20"/>
      <w:szCs w:val="20"/>
    </w:rPr>
  </w:style>
  <w:style w:type="character" w:customStyle="1" w:styleId="Titre4Car">
    <w:name w:val="Titre 4 Car"/>
    <w:basedOn w:val="Policepardfaut"/>
    <w:link w:val="Titre4"/>
    <w:uiPriority w:val="9"/>
    <w:rsid w:val="00CB7696"/>
    <w:rPr>
      <w:rFonts w:ascii="Times New Roman" w:eastAsia="Times New Roman" w:hAnsi="Times New Roman" w:cs="Times New Roman"/>
      <w:b/>
      <w:bCs/>
      <w:sz w:val="24"/>
      <w:szCs w:val="24"/>
      <w:lang w:val="fr-FR" w:eastAsia="fr-FR"/>
    </w:rPr>
  </w:style>
  <w:style w:type="paragraph" w:styleId="NormalWeb">
    <w:name w:val="Normal (Web)"/>
    <w:basedOn w:val="Normal"/>
    <w:uiPriority w:val="99"/>
    <w:semiHidden/>
    <w:unhideWhenUsed/>
    <w:rsid w:val="00CB769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
    <w:uiPriority w:val="9"/>
    <w:rsid w:val="00E75E1B"/>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C120A"/>
    <w:pPr>
      <w:spacing w:after="0" w:line="240" w:lineRule="auto"/>
    </w:pPr>
  </w:style>
  <w:style w:type="paragraph" w:customStyle="1" w:styleId="EndNoteBibliographyTitle">
    <w:name w:val="EndNote Bibliography Title"/>
    <w:basedOn w:val="Normal"/>
    <w:link w:val="EndNoteBibliographyTitleCar"/>
    <w:rsid w:val="003E6D59"/>
    <w:pPr>
      <w:spacing w:after="0"/>
      <w:jc w:val="center"/>
    </w:pPr>
    <w:rPr>
      <w:rFonts w:ascii="Calibri" w:hAnsi="Calibri" w:cs="Calibri"/>
      <w:noProof/>
    </w:rPr>
  </w:style>
  <w:style w:type="character" w:customStyle="1" w:styleId="NormalcentrCar">
    <w:name w:val="Normal centré Car"/>
    <w:basedOn w:val="Policepardfaut"/>
    <w:link w:val="Normalcentr"/>
    <w:rsid w:val="003E6D59"/>
    <w:rPr>
      <w:rFonts w:ascii="Times" w:eastAsia="Times New Roman" w:hAnsi="Times" w:cs="Times New Roman"/>
      <w:sz w:val="24"/>
      <w:szCs w:val="20"/>
      <w:lang w:val="en-GB" w:eastAsia="es-ES"/>
    </w:rPr>
  </w:style>
  <w:style w:type="character" w:customStyle="1" w:styleId="EndNoteBibliographyTitleCar">
    <w:name w:val="EndNote Bibliography Title Car"/>
    <w:basedOn w:val="NormalcentrCar"/>
    <w:link w:val="EndNoteBibliographyTitle"/>
    <w:rsid w:val="003E6D59"/>
    <w:rPr>
      <w:rFonts w:ascii="Calibri" w:eastAsia="Times New Roman" w:hAnsi="Calibri" w:cs="Calibri"/>
      <w:noProof/>
      <w:sz w:val="24"/>
      <w:szCs w:val="20"/>
      <w:lang w:val="en-GB" w:eastAsia="es-ES"/>
    </w:rPr>
  </w:style>
  <w:style w:type="paragraph" w:customStyle="1" w:styleId="EndNoteBibliography">
    <w:name w:val="EndNote Bibliography"/>
    <w:basedOn w:val="Normal"/>
    <w:link w:val="EndNoteBibliographyCar"/>
    <w:rsid w:val="003E6D59"/>
    <w:pPr>
      <w:spacing w:line="240" w:lineRule="auto"/>
      <w:jc w:val="both"/>
    </w:pPr>
    <w:rPr>
      <w:rFonts w:ascii="Calibri" w:hAnsi="Calibri" w:cs="Calibri"/>
      <w:noProof/>
    </w:rPr>
  </w:style>
  <w:style w:type="character" w:customStyle="1" w:styleId="EndNoteBibliographyCar">
    <w:name w:val="EndNote Bibliography Car"/>
    <w:basedOn w:val="NormalcentrCar"/>
    <w:link w:val="EndNoteBibliography"/>
    <w:rsid w:val="003E6D59"/>
    <w:rPr>
      <w:rFonts w:ascii="Calibri" w:eastAsia="Times New Roman" w:hAnsi="Calibri" w:cs="Calibri"/>
      <w:noProof/>
      <w:sz w:val="24"/>
      <w:szCs w:val="20"/>
      <w:lang w:val="en-GB" w:eastAsia="es-ES"/>
    </w:rPr>
  </w:style>
  <w:style w:type="paragraph" w:styleId="z-Hautduformulaire">
    <w:name w:val="HTML Top of Form"/>
    <w:basedOn w:val="Normal"/>
    <w:next w:val="Normal"/>
    <w:link w:val="z-HautduformulaireCar"/>
    <w:hidden/>
    <w:uiPriority w:val="99"/>
    <w:semiHidden/>
    <w:unhideWhenUsed/>
    <w:rsid w:val="006F6B3E"/>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semiHidden/>
    <w:rsid w:val="006F6B3E"/>
    <w:rPr>
      <w:rFonts w:ascii="Arial" w:eastAsia="Times New Roman" w:hAnsi="Arial" w:cs="Arial"/>
      <w:vanish/>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95679">
      <w:bodyDiv w:val="1"/>
      <w:marLeft w:val="0"/>
      <w:marRight w:val="0"/>
      <w:marTop w:val="0"/>
      <w:marBottom w:val="0"/>
      <w:divBdr>
        <w:top w:val="none" w:sz="0" w:space="0" w:color="auto"/>
        <w:left w:val="none" w:sz="0" w:space="0" w:color="auto"/>
        <w:bottom w:val="none" w:sz="0" w:space="0" w:color="auto"/>
        <w:right w:val="none" w:sz="0" w:space="0" w:color="auto"/>
      </w:divBdr>
    </w:div>
    <w:div w:id="187835450">
      <w:bodyDiv w:val="1"/>
      <w:marLeft w:val="0"/>
      <w:marRight w:val="0"/>
      <w:marTop w:val="0"/>
      <w:marBottom w:val="0"/>
      <w:divBdr>
        <w:top w:val="none" w:sz="0" w:space="0" w:color="auto"/>
        <w:left w:val="none" w:sz="0" w:space="0" w:color="auto"/>
        <w:bottom w:val="none" w:sz="0" w:space="0" w:color="auto"/>
        <w:right w:val="none" w:sz="0" w:space="0" w:color="auto"/>
      </w:divBdr>
      <w:divsChild>
        <w:div w:id="440538552">
          <w:marLeft w:val="0"/>
          <w:marRight w:val="0"/>
          <w:marTop w:val="0"/>
          <w:marBottom w:val="0"/>
          <w:divBdr>
            <w:top w:val="none" w:sz="0" w:space="0" w:color="auto"/>
            <w:left w:val="none" w:sz="0" w:space="0" w:color="auto"/>
            <w:bottom w:val="none" w:sz="0" w:space="0" w:color="auto"/>
            <w:right w:val="none" w:sz="0" w:space="0" w:color="auto"/>
          </w:divBdr>
        </w:div>
        <w:div w:id="1365133438">
          <w:marLeft w:val="0"/>
          <w:marRight w:val="0"/>
          <w:marTop w:val="0"/>
          <w:marBottom w:val="0"/>
          <w:divBdr>
            <w:top w:val="none" w:sz="0" w:space="0" w:color="auto"/>
            <w:left w:val="none" w:sz="0" w:space="0" w:color="auto"/>
            <w:bottom w:val="none" w:sz="0" w:space="0" w:color="auto"/>
            <w:right w:val="none" w:sz="0" w:space="0" w:color="auto"/>
          </w:divBdr>
        </w:div>
        <w:div w:id="717584989">
          <w:marLeft w:val="0"/>
          <w:marRight w:val="0"/>
          <w:marTop w:val="0"/>
          <w:marBottom w:val="0"/>
          <w:divBdr>
            <w:top w:val="none" w:sz="0" w:space="0" w:color="auto"/>
            <w:left w:val="none" w:sz="0" w:space="0" w:color="auto"/>
            <w:bottom w:val="none" w:sz="0" w:space="0" w:color="auto"/>
            <w:right w:val="none" w:sz="0" w:space="0" w:color="auto"/>
          </w:divBdr>
        </w:div>
        <w:div w:id="1769615954">
          <w:marLeft w:val="0"/>
          <w:marRight w:val="0"/>
          <w:marTop w:val="0"/>
          <w:marBottom w:val="0"/>
          <w:divBdr>
            <w:top w:val="none" w:sz="0" w:space="0" w:color="auto"/>
            <w:left w:val="none" w:sz="0" w:space="0" w:color="auto"/>
            <w:bottom w:val="none" w:sz="0" w:space="0" w:color="auto"/>
            <w:right w:val="none" w:sz="0" w:space="0" w:color="auto"/>
          </w:divBdr>
        </w:div>
      </w:divsChild>
    </w:div>
    <w:div w:id="589393414">
      <w:bodyDiv w:val="1"/>
      <w:marLeft w:val="0"/>
      <w:marRight w:val="0"/>
      <w:marTop w:val="0"/>
      <w:marBottom w:val="0"/>
      <w:divBdr>
        <w:top w:val="none" w:sz="0" w:space="0" w:color="auto"/>
        <w:left w:val="none" w:sz="0" w:space="0" w:color="auto"/>
        <w:bottom w:val="none" w:sz="0" w:space="0" w:color="auto"/>
        <w:right w:val="none" w:sz="0" w:space="0" w:color="auto"/>
      </w:divBdr>
      <w:divsChild>
        <w:div w:id="740828555">
          <w:marLeft w:val="0"/>
          <w:marRight w:val="0"/>
          <w:marTop w:val="0"/>
          <w:marBottom w:val="0"/>
          <w:divBdr>
            <w:top w:val="single" w:sz="2" w:space="0" w:color="E3E3E3"/>
            <w:left w:val="single" w:sz="2" w:space="0" w:color="E3E3E3"/>
            <w:bottom w:val="single" w:sz="2" w:space="0" w:color="E3E3E3"/>
            <w:right w:val="single" w:sz="2" w:space="0" w:color="E3E3E3"/>
          </w:divBdr>
          <w:divsChild>
            <w:div w:id="958490412">
              <w:marLeft w:val="0"/>
              <w:marRight w:val="0"/>
              <w:marTop w:val="0"/>
              <w:marBottom w:val="0"/>
              <w:divBdr>
                <w:top w:val="single" w:sz="2" w:space="0" w:color="E3E3E3"/>
                <w:left w:val="single" w:sz="2" w:space="0" w:color="E3E3E3"/>
                <w:bottom w:val="single" w:sz="2" w:space="0" w:color="E3E3E3"/>
                <w:right w:val="single" w:sz="2" w:space="0" w:color="E3E3E3"/>
              </w:divBdr>
              <w:divsChild>
                <w:div w:id="1977056513">
                  <w:marLeft w:val="0"/>
                  <w:marRight w:val="0"/>
                  <w:marTop w:val="0"/>
                  <w:marBottom w:val="0"/>
                  <w:divBdr>
                    <w:top w:val="single" w:sz="2" w:space="0" w:color="E3E3E3"/>
                    <w:left w:val="single" w:sz="2" w:space="0" w:color="E3E3E3"/>
                    <w:bottom w:val="single" w:sz="2" w:space="0" w:color="E3E3E3"/>
                    <w:right w:val="single" w:sz="2" w:space="0" w:color="E3E3E3"/>
                  </w:divBdr>
                  <w:divsChild>
                    <w:div w:id="789400524">
                      <w:marLeft w:val="0"/>
                      <w:marRight w:val="0"/>
                      <w:marTop w:val="0"/>
                      <w:marBottom w:val="0"/>
                      <w:divBdr>
                        <w:top w:val="single" w:sz="2" w:space="0" w:color="E3E3E3"/>
                        <w:left w:val="single" w:sz="2" w:space="0" w:color="E3E3E3"/>
                        <w:bottom w:val="single" w:sz="2" w:space="0" w:color="E3E3E3"/>
                        <w:right w:val="single" w:sz="2" w:space="0" w:color="E3E3E3"/>
                      </w:divBdr>
                      <w:divsChild>
                        <w:div w:id="2066445541">
                          <w:marLeft w:val="0"/>
                          <w:marRight w:val="0"/>
                          <w:marTop w:val="0"/>
                          <w:marBottom w:val="0"/>
                          <w:divBdr>
                            <w:top w:val="single" w:sz="2" w:space="0" w:color="E3E3E3"/>
                            <w:left w:val="single" w:sz="2" w:space="0" w:color="E3E3E3"/>
                            <w:bottom w:val="single" w:sz="2" w:space="0" w:color="E3E3E3"/>
                            <w:right w:val="single" w:sz="2" w:space="0" w:color="E3E3E3"/>
                          </w:divBdr>
                          <w:divsChild>
                            <w:div w:id="348801085">
                              <w:marLeft w:val="0"/>
                              <w:marRight w:val="0"/>
                              <w:marTop w:val="0"/>
                              <w:marBottom w:val="0"/>
                              <w:divBdr>
                                <w:top w:val="single" w:sz="2" w:space="0" w:color="E3E3E3"/>
                                <w:left w:val="single" w:sz="2" w:space="0" w:color="E3E3E3"/>
                                <w:bottom w:val="single" w:sz="2" w:space="0" w:color="E3E3E3"/>
                                <w:right w:val="single" w:sz="2" w:space="0" w:color="E3E3E3"/>
                              </w:divBdr>
                              <w:divsChild>
                                <w:div w:id="562445297">
                                  <w:marLeft w:val="0"/>
                                  <w:marRight w:val="0"/>
                                  <w:marTop w:val="100"/>
                                  <w:marBottom w:val="100"/>
                                  <w:divBdr>
                                    <w:top w:val="single" w:sz="2" w:space="0" w:color="E3E3E3"/>
                                    <w:left w:val="single" w:sz="2" w:space="0" w:color="E3E3E3"/>
                                    <w:bottom w:val="single" w:sz="2" w:space="0" w:color="E3E3E3"/>
                                    <w:right w:val="single" w:sz="2" w:space="0" w:color="E3E3E3"/>
                                  </w:divBdr>
                                  <w:divsChild>
                                    <w:div w:id="580917084">
                                      <w:marLeft w:val="0"/>
                                      <w:marRight w:val="0"/>
                                      <w:marTop w:val="0"/>
                                      <w:marBottom w:val="0"/>
                                      <w:divBdr>
                                        <w:top w:val="single" w:sz="2" w:space="0" w:color="E3E3E3"/>
                                        <w:left w:val="single" w:sz="2" w:space="0" w:color="E3E3E3"/>
                                        <w:bottom w:val="single" w:sz="2" w:space="0" w:color="E3E3E3"/>
                                        <w:right w:val="single" w:sz="2" w:space="0" w:color="E3E3E3"/>
                                      </w:divBdr>
                                      <w:divsChild>
                                        <w:div w:id="1318996955">
                                          <w:marLeft w:val="0"/>
                                          <w:marRight w:val="0"/>
                                          <w:marTop w:val="0"/>
                                          <w:marBottom w:val="0"/>
                                          <w:divBdr>
                                            <w:top w:val="single" w:sz="2" w:space="0" w:color="E3E3E3"/>
                                            <w:left w:val="single" w:sz="2" w:space="0" w:color="E3E3E3"/>
                                            <w:bottom w:val="single" w:sz="2" w:space="0" w:color="E3E3E3"/>
                                            <w:right w:val="single" w:sz="2" w:space="0" w:color="E3E3E3"/>
                                          </w:divBdr>
                                          <w:divsChild>
                                            <w:div w:id="1906798378">
                                              <w:marLeft w:val="0"/>
                                              <w:marRight w:val="0"/>
                                              <w:marTop w:val="0"/>
                                              <w:marBottom w:val="0"/>
                                              <w:divBdr>
                                                <w:top w:val="single" w:sz="2" w:space="0" w:color="E3E3E3"/>
                                                <w:left w:val="single" w:sz="2" w:space="0" w:color="E3E3E3"/>
                                                <w:bottom w:val="single" w:sz="2" w:space="0" w:color="E3E3E3"/>
                                                <w:right w:val="single" w:sz="2" w:space="0" w:color="E3E3E3"/>
                                              </w:divBdr>
                                              <w:divsChild>
                                                <w:div w:id="1754231048">
                                                  <w:marLeft w:val="0"/>
                                                  <w:marRight w:val="0"/>
                                                  <w:marTop w:val="0"/>
                                                  <w:marBottom w:val="0"/>
                                                  <w:divBdr>
                                                    <w:top w:val="single" w:sz="2" w:space="0" w:color="E3E3E3"/>
                                                    <w:left w:val="single" w:sz="2" w:space="0" w:color="E3E3E3"/>
                                                    <w:bottom w:val="single" w:sz="2" w:space="0" w:color="E3E3E3"/>
                                                    <w:right w:val="single" w:sz="2" w:space="0" w:color="E3E3E3"/>
                                                  </w:divBdr>
                                                  <w:divsChild>
                                                    <w:div w:id="736973165">
                                                      <w:marLeft w:val="0"/>
                                                      <w:marRight w:val="0"/>
                                                      <w:marTop w:val="0"/>
                                                      <w:marBottom w:val="0"/>
                                                      <w:divBdr>
                                                        <w:top w:val="single" w:sz="2" w:space="0" w:color="E3E3E3"/>
                                                        <w:left w:val="single" w:sz="2" w:space="0" w:color="E3E3E3"/>
                                                        <w:bottom w:val="single" w:sz="2" w:space="0" w:color="E3E3E3"/>
                                                        <w:right w:val="single" w:sz="2" w:space="0" w:color="E3E3E3"/>
                                                      </w:divBdr>
                                                      <w:divsChild>
                                                        <w:div w:id="5091774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43998198">
          <w:marLeft w:val="0"/>
          <w:marRight w:val="0"/>
          <w:marTop w:val="0"/>
          <w:marBottom w:val="0"/>
          <w:divBdr>
            <w:top w:val="none" w:sz="0" w:space="0" w:color="auto"/>
            <w:left w:val="none" w:sz="0" w:space="0" w:color="auto"/>
            <w:bottom w:val="none" w:sz="0" w:space="0" w:color="auto"/>
            <w:right w:val="none" w:sz="0" w:space="0" w:color="auto"/>
          </w:divBdr>
        </w:div>
      </w:divsChild>
    </w:div>
    <w:div w:id="796874984">
      <w:bodyDiv w:val="1"/>
      <w:marLeft w:val="0"/>
      <w:marRight w:val="0"/>
      <w:marTop w:val="0"/>
      <w:marBottom w:val="0"/>
      <w:divBdr>
        <w:top w:val="none" w:sz="0" w:space="0" w:color="auto"/>
        <w:left w:val="none" w:sz="0" w:space="0" w:color="auto"/>
        <w:bottom w:val="none" w:sz="0" w:space="0" w:color="auto"/>
        <w:right w:val="none" w:sz="0" w:space="0" w:color="auto"/>
      </w:divBdr>
      <w:divsChild>
        <w:div w:id="1219973869">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715349218">
              <w:marLeft w:val="0"/>
              <w:marRight w:val="0"/>
              <w:marTop w:val="0"/>
              <w:marBottom w:val="0"/>
              <w:divBdr>
                <w:top w:val="none" w:sz="0" w:space="0" w:color="auto"/>
                <w:left w:val="none" w:sz="0" w:space="0" w:color="auto"/>
                <w:bottom w:val="none" w:sz="0" w:space="0" w:color="auto"/>
                <w:right w:val="none" w:sz="0" w:space="0" w:color="auto"/>
              </w:divBdr>
            </w:div>
            <w:div w:id="1719669256">
              <w:marLeft w:val="0"/>
              <w:marRight w:val="0"/>
              <w:marTop w:val="0"/>
              <w:marBottom w:val="0"/>
              <w:divBdr>
                <w:top w:val="none" w:sz="0" w:space="0" w:color="auto"/>
                <w:left w:val="none" w:sz="0" w:space="0" w:color="auto"/>
                <w:bottom w:val="none" w:sz="0" w:space="0" w:color="auto"/>
                <w:right w:val="none" w:sz="0" w:space="0" w:color="auto"/>
              </w:divBdr>
            </w:div>
          </w:divsChild>
        </w:div>
        <w:div w:id="1599866551">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32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951">
      <w:bodyDiv w:val="1"/>
      <w:marLeft w:val="0"/>
      <w:marRight w:val="0"/>
      <w:marTop w:val="0"/>
      <w:marBottom w:val="0"/>
      <w:divBdr>
        <w:top w:val="none" w:sz="0" w:space="0" w:color="auto"/>
        <w:left w:val="none" w:sz="0" w:space="0" w:color="auto"/>
        <w:bottom w:val="none" w:sz="0" w:space="0" w:color="auto"/>
        <w:right w:val="none" w:sz="0" w:space="0" w:color="auto"/>
      </w:divBdr>
    </w:div>
    <w:div w:id="884413643">
      <w:bodyDiv w:val="1"/>
      <w:marLeft w:val="0"/>
      <w:marRight w:val="0"/>
      <w:marTop w:val="0"/>
      <w:marBottom w:val="0"/>
      <w:divBdr>
        <w:top w:val="none" w:sz="0" w:space="0" w:color="auto"/>
        <w:left w:val="none" w:sz="0" w:space="0" w:color="auto"/>
        <w:bottom w:val="none" w:sz="0" w:space="0" w:color="auto"/>
        <w:right w:val="none" w:sz="0" w:space="0" w:color="auto"/>
      </w:divBdr>
    </w:div>
    <w:div w:id="1253321231">
      <w:bodyDiv w:val="1"/>
      <w:marLeft w:val="0"/>
      <w:marRight w:val="0"/>
      <w:marTop w:val="0"/>
      <w:marBottom w:val="0"/>
      <w:divBdr>
        <w:top w:val="none" w:sz="0" w:space="0" w:color="auto"/>
        <w:left w:val="none" w:sz="0" w:space="0" w:color="auto"/>
        <w:bottom w:val="none" w:sz="0" w:space="0" w:color="auto"/>
        <w:right w:val="none" w:sz="0" w:space="0" w:color="auto"/>
      </w:divBdr>
      <w:divsChild>
        <w:div w:id="425535736">
          <w:marLeft w:val="0"/>
          <w:marRight w:val="0"/>
          <w:marTop w:val="200"/>
          <w:marBottom w:val="200"/>
          <w:divBdr>
            <w:top w:val="none" w:sz="0" w:space="0" w:color="auto"/>
            <w:left w:val="none" w:sz="0" w:space="0" w:color="auto"/>
            <w:bottom w:val="none" w:sz="0" w:space="0" w:color="auto"/>
            <w:right w:val="none" w:sz="0" w:space="0" w:color="auto"/>
          </w:divBdr>
          <w:divsChild>
            <w:div w:id="8243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9303">
      <w:bodyDiv w:val="1"/>
      <w:marLeft w:val="0"/>
      <w:marRight w:val="0"/>
      <w:marTop w:val="0"/>
      <w:marBottom w:val="0"/>
      <w:divBdr>
        <w:top w:val="none" w:sz="0" w:space="0" w:color="auto"/>
        <w:left w:val="none" w:sz="0" w:space="0" w:color="auto"/>
        <w:bottom w:val="none" w:sz="0" w:space="0" w:color="auto"/>
        <w:right w:val="none" w:sz="0" w:space="0" w:color="auto"/>
      </w:divBdr>
    </w:div>
    <w:div w:id="1264731575">
      <w:bodyDiv w:val="1"/>
      <w:marLeft w:val="0"/>
      <w:marRight w:val="0"/>
      <w:marTop w:val="0"/>
      <w:marBottom w:val="0"/>
      <w:divBdr>
        <w:top w:val="none" w:sz="0" w:space="0" w:color="auto"/>
        <w:left w:val="none" w:sz="0" w:space="0" w:color="auto"/>
        <w:bottom w:val="none" w:sz="0" w:space="0" w:color="auto"/>
        <w:right w:val="none" w:sz="0" w:space="0" w:color="auto"/>
      </w:divBdr>
    </w:div>
    <w:div w:id="1379361029">
      <w:bodyDiv w:val="1"/>
      <w:marLeft w:val="0"/>
      <w:marRight w:val="0"/>
      <w:marTop w:val="0"/>
      <w:marBottom w:val="0"/>
      <w:divBdr>
        <w:top w:val="none" w:sz="0" w:space="0" w:color="auto"/>
        <w:left w:val="none" w:sz="0" w:space="0" w:color="auto"/>
        <w:bottom w:val="none" w:sz="0" w:space="0" w:color="auto"/>
        <w:right w:val="none" w:sz="0" w:space="0" w:color="auto"/>
      </w:divBdr>
      <w:divsChild>
        <w:div w:id="986516886">
          <w:marLeft w:val="0"/>
          <w:marRight w:val="0"/>
          <w:marTop w:val="0"/>
          <w:marBottom w:val="0"/>
          <w:divBdr>
            <w:top w:val="none" w:sz="0" w:space="0" w:color="auto"/>
            <w:left w:val="none" w:sz="0" w:space="0" w:color="auto"/>
            <w:bottom w:val="none" w:sz="0" w:space="0" w:color="auto"/>
            <w:right w:val="none" w:sz="0" w:space="0" w:color="auto"/>
          </w:divBdr>
        </w:div>
        <w:div w:id="1040668106">
          <w:marLeft w:val="0"/>
          <w:marRight w:val="0"/>
          <w:marTop w:val="0"/>
          <w:marBottom w:val="0"/>
          <w:divBdr>
            <w:top w:val="none" w:sz="0" w:space="0" w:color="auto"/>
            <w:left w:val="none" w:sz="0" w:space="0" w:color="auto"/>
            <w:bottom w:val="none" w:sz="0" w:space="0" w:color="auto"/>
            <w:right w:val="none" w:sz="0" w:space="0" w:color="auto"/>
          </w:divBdr>
        </w:div>
      </w:divsChild>
    </w:div>
    <w:div w:id="1413969439">
      <w:bodyDiv w:val="1"/>
      <w:marLeft w:val="0"/>
      <w:marRight w:val="0"/>
      <w:marTop w:val="0"/>
      <w:marBottom w:val="0"/>
      <w:divBdr>
        <w:top w:val="none" w:sz="0" w:space="0" w:color="auto"/>
        <w:left w:val="none" w:sz="0" w:space="0" w:color="auto"/>
        <w:bottom w:val="none" w:sz="0" w:space="0" w:color="auto"/>
        <w:right w:val="none" w:sz="0" w:space="0" w:color="auto"/>
      </w:divBdr>
    </w:div>
    <w:div w:id="1910384866">
      <w:bodyDiv w:val="1"/>
      <w:marLeft w:val="0"/>
      <w:marRight w:val="0"/>
      <w:marTop w:val="0"/>
      <w:marBottom w:val="0"/>
      <w:divBdr>
        <w:top w:val="none" w:sz="0" w:space="0" w:color="auto"/>
        <w:left w:val="none" w:sz="0" w:space="0" w:color="auto"/>
        <w:bottom w:val="none" w:sz="0" w:space="0" w:color="auto"/>
        <w:right w:val="none" w:sz="0" w:space="0" w:color="auto"/>
      </w:divBdr>
      <w:divsChild>
        <w:div w:id="787355639">
          <w:marLeft w:val="0"/>
          <w:marRight w:val="0"/>
          <w:marTop w:val="200"/>
          <w:marBottom w:val="200"/>
          <w:divBdr>
            <w:top w:val="none" w:sz="0" w:space="0" w:color="auto"/>
            <w:left w:val="none" w:sz="0" w:space="0" w:color="auto"/>
            <w:bottom w:val="none" w:sz="0" w:space="0" w:color="auto"/>
            <w:right w:val="none" w:sz="0" w:space="0" w:color="auto"/>
          </w:divBdr>
          <w:divsChild>
            <w:div w:id="9069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20alice.carrier@inserm.fr.%2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017E8-FCC9-4FA8-9F25-E0D0B964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1137</Words>
  <Characters>6255</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Abdelhadi</dc:creator>
  <cp:keywords/>
  <dc:description/>
  <cp:lastModifiedBy>Alice Carrier</cp:lastModifiedBy>
  <cp:revision>16</cp:revision>
  <cp:lastPrinted>2023-10-26T07:48:00Z</cp:lastPrinted>
  <dcterms:created xsi:type="dcterms:W3CDTF">2025-02-21T13:08:00Z</dcterms:created>
  <dcterms:modified xsi:type="dcterms:W3CDTF">2025-02-21T13:40:00Z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id="WkPz7lzg"/&gt;&lt;style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GrammarlyDocumentId">
    <vt:lpwstr>ebaa39e7cf43f0fea69273b3884f3b7e92800f12df7393eae1000fa171f514fc</vt:lpwstr>
  </property>
</Properties>
</file>