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1D024" w14:textId="77777777" w:rsidR="006F371C" w:rsidRDefault="003C3B5E">
      <w:pPr>
        <w:pStyle w:val="Heading3"/>
        <w:spacing w:line="360" w:lineRule="auto"/>
      </w:pPr>
      <w:bookmarkStart w:id="0" w:name="_3o7alnk" w:colFirst="0" w:colLast="0"/>
      <w:bookmarkEnd w:id="0"/>
      <w:r>
        <w:t>Supplementary Figures</w:t>
      </w:r>
    </w:p>
    <w:p w14:paraId="353AA9E7" w14:textId="25A2AD56" w:rsidR="006F371C" w:rsidRDefault="003C3B5E">
      <w:pPr>
        <w:pStyle w:val="Heading4"/>
        <w:spacing w:line="360" w:lineRule="auto"/>
        <w:rPr>
          <w:b w:val="0"/>
        </w:rPr>
      </w:pPr>
      <w:bookmarkStart w:id="1" w:name="_23ckvvd" w:colFirst="0" w:colLast="0"/>
      <w:bookmarkEnd w:id="1"/>
      <w:r>
        <w:t xml:space="preserve">Fig. S1 </w:t>
      </w:r>
      <w:r w:rsidR="00D45960">
        <w:t>Quality control summary for scRNA-seq and scATAC-seq</w:t>
      </w:r>
      <w:r>
        <w:t xml:space="preserve">. (A) </w:t>
      </w:r>
      <w:r w:rsidR="00D45960" w:rsidRPr="00D45960">
        <w:rPr>
          <w:b w:val="0"/>
        </w:rPr>
        <w:t>Violin plots showing distributions of QC metrics</w:t>
      </w:r>
      <w:r w:rsidR="00D45960">
        <w:rPr>
          <w:b w:val="0"/>
        </w:rPr>
        <w:t xml:space="preserve"> for scRNA-seq</w:t>
      </w:r>
      <w:r w:rsidR="00D45960" w:rsidRPr="00D45960">
        <w:rPr>
          <w:b w:val="0"/>
        </w:rPr>
        <w:t>. Median (</w:t>
      </w:r>
      <w:r w:rsidR="00D45960">
        <w:rPr>
          <w:b w:val="0"/>
        </w:rPr>
        <w:t>points</w:t>
      </w:r>
      <w:r w:rsidR="00D45960" w:rsidRPr="00D45960">
        <w:rPr>
          <w:b w:val="0"/>
        </w:rPr>
        <w:t>) and 25th and 75th quantiles (whiskers and narrow bars) are overlaid on violin plots. Median values are also in</w:t>
      </w:r>
      <w:r w:rsidR="00D45960">
        <w:rPr>
          <w:b w:val="0"/>
        </w:rPr>
        <w:t xml:space="preserve"> </w:t>
      </w:r>
      <w:r w:rsidR="00D45960" w:rsidRPr="003E257F">
        <w:rPr>
          <w:bCs/>
        </w:rPr>
        <w:t>Supplementary Table S2</w:t>
      </w:r>
      <w:r w:rsidR="00D45960" w:rsidRPr="00D45960">
        <w:rPr>
          <w:b w:val="0"/>
        </w:rPr>
        <w:t xml:space="preserve">. </w:t>
      </w:r>
      <w:r w:rsidR="00A04E1E">
        <w:rPr>
          <w:b w:val="0"/>
        </w:rPr>
        <w:t>From left to right are QC plots for percent of mitochondrial gene reads, percent of ribosomal gene reads, number of transcripts per cell, number of genes per cell, and complexity (number of genes detected per UMI).</w:t>
      </w:r>
      <w:r w:rsidR="002B4E90">
        <w:rPr>
          <w:b w:val="0"/>
        </w:rPr>
        <w:t xml:space="preserve"> The QC metrics indicate the high quality of scRNA-seq data.</w:t>
      </w:r>
      <w:r w:rsidR="00A04E1E">
        <w:rPr>
          <w:b w:val="0"/>
        </w:rPr>
        <w:t xml:space="preserve"> </w:t>
      </w:r>
      <w:r>
        <w:t xml:space="preserve">(B) </w:t>
      </w:r>
      <w:r>
        <w:rPr>
          <w:b w:val="0"/>
        </w:rPr>
        <w:t xml:space="preserve">UMAP colored by </w:t>
      </w:r>
      <w:r w:rsidR="00FD1434">
        <w:rPr>
          <w:b w:val="0"/>
        </w:rPr>
        <w:t>sample</w:t>
      </w:r>
      <w:r>
        <w:rPr>
          <w:b w:val="0"/>
        </w:rPr>
        <w:t xml:space="preserve">s (left) and </w:t>
      </w:r>
      <w:r w:rsidR="00FD1434">
        <w:rPr>
          <w:b w:val="0"/>
        </w:rPr>
        <w:t xml:space="preserve">cell types </w:t>
      </w:r>
      <w:r>
        <w:rPr>
          <w:b w:val="0"/>
        </w:rPr>
        <w:t xml:space="preserve">(right) in </w:t>
      </w:r>
      <w:r w:rsidR="00FD1434">
        <w:rPr>
          <w:b w:val="0"/>
        </w:rPr>
        <w:t xml:space="preserve">the scRNA-seq </w:t>
      </w:r>
      <w:r>
        <w:rPr>
          <w:b w:val="0"/>
        </w:rPr>
        <w:t xml:space="preserve">cells from </w:t>
      </w:r>
      <w:r w:rsidR="00FD1434">
        <w:rPr>
          <w:b w:val="0"/>
        </w:rPr>
        <w:t xml:space="preserve">all the </w:t>
      </w:r>
      <w:r>
        <w:rPr>
          <w:b w:val="0"/>
        </w:rPr>
        <w:t>sample</w:t>
      </w:r>
      <w:r w:rsidR="00FD1434">
        <w:rPr>
          <w:b w:val="0"/>
        </w:rPr>
        <w:t>s</w:t>
      </w:r>
      <w:r>
        <w:rPr>
          <w:b w:val="0"/>
        </w:rPr>
        <w:t>.</w:t>
      </w:r>
      <w:r w:rsidR="00E467A2">
        <w:rPr>
          <w:b w:val="0"/>
        </w:rPr>
        <w:t xml:space="preserve"> scRNA-seq cells are diffused evenly across the sample space, demonstrating a good integration across samples</w:t>
      </w:r>
      <w:r w:rsidR="0099498B">
        <w:rPr>
          <w:b w:val="0"/>
        </w:rPr>
        <w:t xml:space="preserve"> without batch effect</w:t>
      </w:r>
      <w:r w:rsidR="00E467A2">
        <w:rPr>
          <w:b w:val="0"/>
        </w:rPr>
        <w:t>.</w:t>
      </w:r>
      <w:r>
        <w:rPr>
          <w:b w:val="0"/>
        </w:rPr>
        <w:t xml:space="preserve"> </w:t>
      </w:r>
      <w:r w:rsidR="0023518D" w:rsidRPr="003E257F">
        <w:rPr>
          <w:bCs/>
        </w:rPr>
        <w:t>(C)</w:t>
      </w:r>
      <w:r w:rsidR="0023518D">
        <w:rPr>
          <w:b w:val="0"/>
        </w:rPr>
        <w:t xml:space="preserve"> </w:t>
      </w:r>
      <w:r w:rsidR="000D72BA" w:rsidRPr="00D45960">
        <w:rPr>
          <w:b w:val="0"/>
        </w:rPr>
        <w:t>Violin plots showing distributions of QC metrics</w:t>
      </w:r>
      <w:r w:rsidR="000D72BA">
        <w:rPr>
          <w:b w:val="0"/>
        </w:rPr>
        <w:t xml:space="preserve"> for scATAC-seq</w:t>
      </w:r>
      <w:r w:rsidR="000D72BA" w:rsidRPr="00D45960">
        <w:rPr>
          <w:b w:val="0"/>
        </w:rPr>
        <w:t>. Median (</w:t>
      </w:r>
      <w:r w:rsidR="000D72BA">
        <w:rPr>
          <w:b w:val="0"/>
        </w:rPr>
        <w:t>points</w:t>
      </w:r>
      <w:r w:rsidR="000D72BA" w:rsidRPr="00D45960">
        <w:rPr>
          <w:b w:val="0"/>
        </w:rPr>
        <w:t>) and 25th and 75th quantiles (whiskers and narrow bars) are overlaid on violin plots. Median values are also in</w:t>
      </w:r>
      <w:r w:rsidR="000D72BA">
        <w:rPr>
          <w:b w:val="0"/>
        </w:rPr>
        <w:t xml:space="preserve"> </w:t>
      </w:r>
      <w:r w:rsidR="000D72BA" w:rsidRPr="00C22C73">
        <w:rPr>
          <w:bCs/>
        </w:rPr>
        <w:t>Supplementary Table S2</w:t>
      </w:r>
      <w:r w:rsidR="000D72BA" w:rsidRPr="00D45960">
        <w:rPr>
          <w:b w:val="0"/>
        </w:rPr>
        <w:t xml:space="preserve">. </w:t>
      </w:r>
      <w:r w:rsidR="000D72BA">
        <w:rPr>
          <w:b w:val="0"/>
        </w:rPr>
        <w:t xml:space="preserve">From left to right are QC plots for percent of mitochondrial gene reads, </w:t>
      </w:r>
      <w:r w:rsidR="000E6ACF">
        <w:rPr>
          <w:b w:val="0"/>
        </w:rPr>
        <w:t xml:space="preserve">fraction </w:t>
      </w:r>
      <w:r w:rsidR="000D72BA">
        <w:rPr>
          <w:b w:val="0"/>
        </w:rPr>
        <w:t>of reads</w:t>
      </w:r>
      <w:r w:rsidR="000E6ACF">
        <w:rPr>
          <w:b w:val="0"/>
        </w:rPr>
        <w:t xml:space="preserve"> in TSS</w:t>
      </w:r>
      <w:r w:rsidR="000D72BA">
        <w:rPr>
          <w:b w:val="0"/>
        </w:rPr>
        <w:t xml:space="preserve">, </w:t>
      </w:r>
      <w:r w:rsidR="000E6ACF">
        <w:rPr>
          <w:b w:val="0"/>
        </w:rPr>
        <w:t>fraction</w:t>
      </w:r>
      <w:r w:rsidR="000D72BA">
        <w:rPr>
          <w:b w:val="0"/>
        </w:rPr>
        <w:t xml:space="preserve"> of </w:t>
      </w:r>
      <w:r w:rsidR="000E6ACF">
        <w:rPr>
          <w:b w:val="0"/>
        </w:rPr>
        <w:t>reads in peaks</w:t>
      </w:r>
      <w:r w:rsidR="000D72BA">
        <w:rPr>
          <w:b w:val="0"/>
        </w:rPr>
        <w:t xml:space="preserve">, number of </w:t>
      </w:r>
      <w:r w:rsidR="000E6ACF">
        <w:rPr>
          <w:b w:val="0"/>
        </w:rPr>
        <w:t>unique fragments</w:t>
      </w:r>
      <w:r w:rsidR="000D72BA">
        <w:rPr>
          <w:b w:val="0"/>
        </w:rPr>
        <w:t xml:space="preserve"> per cell, and </w:t>
      </w:r>
      <w:r w:rsidR="000E6ACF">
        <w:rPr>
          <w:b w:val="0"/>
        </w:rPr>
        <w:t>TSS enrichment</w:t>
      </w:r>
      <w:r w:rsidR="000D72BA">
        <w:rPr>
          <w:b w:val="0"/>
        </w:rPr>
        <w:t>. The QC metrics indicate the high quality of sc</w:t>
      </w:r>
      <w:r w:rsidR="000E6ACF">
        <w:rPr>
          <w:b w:val="0"/>
        </w:rPr>
        <w:t>AT</w:t>
      </w:r>
      <w:r w:rsidR="000D72BA">
        <w:rPr>
          <w:b w:val="0"/>
        </w:rPr>
        <w:t>A</w:t>
      </w:r>
      <w:r w:rsidR="000E6ACF">
        <w:rPr>
          <w:b w:val="0"/>
        </w:rPr>
        <w:t>C</w:t>
      </w:r>
      <w:r w:rsidR="000D72BA">
        <w:rPr>
          <w:b w:val="0"/>
        </w:rPr>
        <w:t xml:space="preserve">-seq data. </w:t>
      </w:r>
      <w:r w:rsidR="0023518D" w:rsidRPr="003E257F">
        <w:rPr>
          <w:bCs/>
        </w:rPr>
        <w:t>(D)</w:t>
      </w:r>
      <w:r w:rsidR="0023518D">
        <w:rPr>
          <w:b w:val="0"/>
        </w:rPr>
        <w:t xml:space="preserve"> UMAP colored by samples (left) and cell types (right) in the scATAC-seq cells from all the samples. Color palette is the same as </w:t>
      </w:r>
      <w:r w:rsidR="0023518D">
        <w:t>Fig. S1B</w:t>
      </w:r>
      <w:r w:rsidR="0023518D">
        <w:rPr>
          <w:b w:val="0"/>
        </w:rPr>
        <w:t xml:space="preserve">. </w:t>
      </w:r>
      <w:r w:rsidR="00E467A2">
        <w:rPr>
          <w:b w:val="0"/>
        </w:rPr>
        <w:t>scATAC-seq cells are diffused evenly across the sample space, demonstrating a good integration across samples</w:t>
      </w:r>
      <w:r w:rsidR="008437FD">
        <w:rPr>
          <w:b w:val="0"/>
        </w:rPr>
        <w:t xml:space="preserve"> without batch effect</w:t>
      </w:r>
      <w:r w:rsidR="00E467A2">
        <w:rPr>
          <w:b w:val="0"/>
        </w:rPr>
        <w:t>.</w:t>
      </w:r>
      <w:r w:rsidR="00E467A2">
        <w:t xml:space="preserve"> </w:t>
      </w:r>
      <w:r>
        <w:t>(</w:t>
      </w:r>
      <w:r w:rsidR="00D45960">
        <w:t>E</w:t>
      </w:r>
      <w:r>
        <w:t xml:space="preserve">) </w:t>
      </w:r>
      <w:r>
        <w:rPr>
          <w:b w:val="0"/>
        </w:rPr>
        <w:t>Cluster purity of each cluster across cell types. Cluster purity is the percentage of the cells of most abundant cell type. B naive, CD14 Mono, CD16 Mono, MAIT, and NK displayed the highest purity while purity scores for T cell subsets were more diverse across clusters and relatively lower.</w:t>
      </w:r>
      <w:r>
        <w:t xml:space="preserve"> </w:t>
      </w:r>
      <w:r>
        <w:br w:type="page"/>
      </w:r>
    </w:p>
    <w:p w14:paraId="2694DEEF" w14:textId="3E146CA3" w:rsidR="006F371C" w:rsidRDefault="000164EF">
      <w:r>
        <w:rPr>
          <w:noProof/>
        </w:rPr>
        <w:lastRenderedPageBreak/>
        <w:drawing>
          <wp:inline distT="0" distB="0" distL="0" distR="0" wp14:anchorId="3098799D" wp14:editId="3A6DB58A">
            <wp:extent cx="5943600" cy="7694295"/>
            <wp:effectExtent l="0" t="0" r="0" b="1905"/>
            <wp:docPr id="359538686" name="Picture 6" descr="A screen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538686" name="Picture 6" descr="A screenshot of a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7694295"/>
                    </a:xfrm>
                    <a:prstGeom prst="rect">
                      <a:avLst/>
                    </a:prstGeom>
                  </pic:spPr>
                </pic:pic>
              </a:graphicData>
            </a:graphic>
          </wp:inline>
        </w:drawing>
      </w:r>
    </w:p>
    <w:p w14:paraId="38392C66" w14:textId="6CE0928F" w:rsidR="006F371C" w:rsidRDefault="006F371C">
      <w:pPr>
        <w:rPr>
          <w:b/>
        </w:rPr>
      </w:pPr>
      <w:bookmarkStart w:id="2" w:name="_ihv636" w:colFirst="0" w:colLast="0"/>
      <w:bookmarkEnd w:id="2"/>
    </w:p>
    <w:p w14:paraId="04691A07" w14:textId="77777777" w:rsidR="006F371C" w:rsidRDefault="003C3B5E">
      <w:pPr>
        <w:pStyle w:val="Heading4"/>
        <w:spacing w:line="360" w:lineRule="auto"/>
        <w:rPr>
          <w:b w:val="0"/>
        </w:rPr>
      </w:pPr>
      <w:r>
        <w:lastRenderedPageBreak/>
        <w:t xml:space="preserve">Fig. S2 Unsupervised clustering shows distinct TF regulatory patterns. (A) </w:t>
      </w:r>
      <w:r>
        <w:rPr>
          <w:b w:val="0"/>
        </w:rPr>
        <w:t xml:space="preserve">PCA for dimension reduction of the TF score matrix. The cumulative proportion of variance explained increased with a larger number of principal components (PCs). The first 300 PCs were kept according to the “elbow” method, which explained 85% variance. </w:t>
      </w:r>
      <w:r>
        <w:t xml:space="preserve">(B) </w:t>
      </w:r>
      <w:r>
        <w:rPr>
          <w:b w:val="0"/>
        </w:rPr>
        <w:t xml:space="preserve">First and second PCs of all clusters with color coded by cell types and shape coded by disease state. Circle represents ERA; triangle represents CON and square represents At-Risk. Each point is one cluster. Clusters are mostly separated by cell types instead of disease states. </w:t>
      </w:r>
      <w:r>
        <w:t xml:space="preserve">(C) </w:t>
      </w:r>
      <w:r>
        <w:rPr>
          <w:b w:val="0"/>
        </w:rPr>
        <w:t xml:space="preserve">Selecting the best distance metric and number of K according to the Silhouette metric. The Pearson correlation was chosen and K=5 was the ideal number, marked as the red point in the figure. </w:t>
      </w:r>
      <w:r>
        <w:t xml:space="preserve">(D) </w:t>
      </w:r>
      <w:r>
        <w:rPr>
          <w:b w:val="0"/>
        </w:rPr>
        <w:t xml:space="preserve">PageRank scores heatmap of all TFs across all clusters. TFs in rows (z-normalized), clusters in columns ordered by Kmeans group, and color of the cell in the matrix indicates the normalized PageRank scores with red displaying high scores. A group of TFs are significantly active in G2. </w:t>
      </w:r>
      <w:r>
        <w:t xml:space="preserve">(E) </w:t>
      </w:r>
      <w:r>
        <w:rPr>
          <w:b w:val="0"/>
        </w:rPr>
        <w:t xml:space="preserve">Intersection size of Kmeans group-specific TFs. Each group has its own unique set of active TFs. </w:t>
      </w:r>
      <w:r>
        <w:t xml:space="preserve">(F) </w:t>
      </w:r>
      <w:r>
        <w:rPr>
          <w:b w:val="0"/>
        </w:rPr>
        <w:t xml:space="preserve">Overlap of G2-specific TFs between At-Risk and ERA group. </w:t>
      </w:r>
      <w:r>
        <w:t xml:space="preserve">(G) </w:t>
      </w:r>
      <w:r>
        <w:rPr>
          <w:b w:val="0"/>
        </w:rPr>
        <w:t xml:space="preserve">Overlap of top 20 enriched pathways between At-Risk and ERA group. </w:t>
      </w:r>
      <w:r>
        <w:t xml:space="preserve">(H) </w:t>
      </w:r>
      <w:r>
        <w:rPr>
          <w:b w:val="0"/>
        </w:rPr>
        <w:t>G2 clusters per cell type of the total clusters per cell type in CON and At-Risk/ERA respectively. Labels within the bar follow the following format: number of G2 clusters (percentage of the total clusters).</w:t>
      </w:r>
    </w:p>
    <w:p w14:paraId="4F183145" w14:textId="7E635B60" w:rsidR="006F371C" w:rsidRDefault="003C3B5E">
      <w:r>
        <w:br w:type="page"/>
      </w:r>
      <w:r w:rsidR="000164EF">
        <w:rPr>
          <w:noProof/>
        </w:rPr>
        <w:lastRenderedPageBreak/>
        <w:drawing>
          <wp:inline distT="0" distB="0" distL="0" distR="0" wp14:anchorId="2AF74A2A" wp14:editId="35989A8C">
            <wp:extent cx="5943600" cy="7694295"/>
            <wp:effectExtent l="0" t="0" r="0" b="1905"/>
            <wp:docPr id="182751159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511590" name="Picture 1827511590"/>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7694295"/>
                    </a:xfrm>
                    <a:prstGeom prst="rect">
                      <a:avLst/>
                    </a:prstGeom>
                  </pic:spPr>
                </pic:pic>
              </a:graphicData>
            </a:graphic>
          </wp:inline>
        </w:drawing>
      </w:r>
      <w:r>
        <w:t xml:space="preserve"> </w:t>
      </w:r>
      <w:r>
        <w:rPr>
          <w:b/>
        </w:rPr>
        <w:t xml:space="preserve"> </w:t>
      </w:r>
    </w:p>
    <w:p w14:paraId="6E26FCC7" w14:textId="6A95F49E" w:rsidR="006F371C" w:rsidRDefault="003C3B5E">
      <w:pPr>
        <w:pStyle w:val="Heading4"/>
        <w:spacing w:line="360" w:lineRule="auto"/>
      </w:pPr>
      <w:bookmarkStart w:id="3" w:name="_32hioqz" w:colFirst="0" w:colLast="0"/>
      <w:bookmarkEnd w:id="3"/>
      <w:r>
        <w:lastRenderedPageBreak/>
        <w:t xml:space="preserve">Fig. S3 At-Risk/ERA signature is shared across multiple cell types. (A) </w:t>
      </w:r>
      <w:r>
        <w:rPr>
          <w:b w:val="0"/>
        </w:rPr>
        <w:t xml:space="preserve">G2-specific TFs whose regulatees are enriched in At-Risk/ERA signature pathways. The horizontal axis represents TFs, and the vertical axis represents signature pathways. </w:t>
      </w:r>
      <w:r>
        <w:t xml:space="preserve">(B) </w:t>
      </w:r>
      <w:r>
        <w:rPr>
          <w:b w:val="0"/>
        </w:rPr>
        <w:t xml:space="preserve">Heatmap of all participants in G2 across cell types. The horizontal axis shows the individual participants and the vertical axis shows each cell type. Top bar represents the disease states of participants. Color represents the percent of clusters per total clusters per cell type for each participant. All the At-Risk and ERA participants had the signature in at least one cell type but not all CON participants had the signature. MAIT and Treg cells showed higher enrichment in CON while other T cells showed higher enrichment in At-Risk/ERA. </w:t>
      </w:r>
      <w:r>
        <w:t>(C)</w:t>
      </w:r>
      <w:r>
        <w:rPr>
          <w:b w:val="0"/>
        </w:rPr>
        <w:t xml:space="preserve"> Reactome pathways enriched in </w:t>
      </w:r>
      <w:r w:rsidR="00C95424">
        <w:rPr>
          <w:b w:val="0"/>
        </w:rPr>
        <w:t>the top 500 downstream genes of SUMOylation-related</w:t>
      </w:r>
      <w:r>
        <w:rPr>
          <w:b w:val="0"/>
        </w:rPr>
        <w:t xml:space="preserve"> </w:t>
      </w:r>
      <w:r w:rsidR="00C95424">
        <w:rPr>
          <w:b w:val="0"/>
        </w:rPr>
        <w:t>G2-specific TFs</w:t>
      </w:r>
      <w:r>
        <w:rPr>
          <w:b w:val="0"/>
        </w:rPr>
        <w:t xml:space="preserve">. The horizontal axis represents </w:t>
      </w:r>
      <w:r w:rsidR="009B4CA2">
        <w:rPr>
          <w:b w:val="0"/>
        </w:rPr>
        <w:t>TFs</w:t>
      </w:r>
      <w:r>
        <w:rPr>
          <w:b w:val="0"/>
        </w:rPr>
        <w:t xml:space="preserve"> and the vertical axis represents pathways. Circle size represents the number of regulatees in the pathway and color represents the adjusted p-values. </w:t>
      </w:r>
      <w:r>
        <w:t xml:space="preserve">(D) </w:t>
      </w:r>
      <w:r>
        <w:rPr>
          <w:b w:val="0"/>
        </w:rPr>
        <w:t>Intersection of TFs enriched in 5 representative signature pathways. The side horizontal bars are the original size of each pathway.</w:t>
      </w:r>
      <w:r w:rsidR="00300096">
        <w:rPr>
          <w:b w:val="0"/>
        </w:rPr>
        <w:t xml:space="preserve"> </w:t>
      </w:r>
      <w:r w:rsidR="00300096" w:rsidRPr="003E257F">
        <w:rPr>
          <w:b w:val="0"/>
          <w:bCs/>
        </w:rPr>
        <w:t xml:space="preserve">RUNX2 pathway shared </w:t>
      </w:r>
      <w:r w:rsidR="00D54C24">
        <w:rPr>
          <w:b w:val="0"/>
          <w:bCs/>
        </w:rPr>
        <w:t xml:space="preserve">3 </w:t>
      </w:r>
      <w:r w:rsidR="00300096" w:rsidRPr="003E257F">
        <w:rPr>
          <w:b w:val="0"/>
          <w:bCs/>
        </w:rPr>
        <w:t xml:space="preserve">TFs with </w:t>
      </w:r>
      <w:r w:rsidR="00D54C24">
        <w:rPr>
          <w:b w:val="0"/>
          <w:bCs/>
        </w:rPr>
        <w:t>NOTCH3</w:t>
      </w:r>
      <w:r w:rsidR="00300096" w:rsidRPr="003E257F">
        <w:rPr>
          <w:b w:val="0"/>
          <w:bCs/>
        </w:rPr>
        <w:t xml:space="preserve"> pathway</w:t>
      </w:r>
      <w:r w:rsidR="00D54C24">
        <w:rPr>
          <w:b w:val="0"/>
          <w:bCs/>
        </w:rPr>
        <w:t>, 2 TFs with SUMO pathway, and 1 TF with Wnt pathway</w:t>
      </w:r>
      <w:r w:rsidR="00300096">
        <w:rPr>
          <w:b w:val="0"/>
          <w:bCs/>
        </w:rPr>
        <w:t>.</w:t>
      </w:r>
      <w:r w:rsidR="0009542E">
        <w:rPr>
          <w:b w:val="0"/>
          <w:bCs/>
        </w:rPr>
        <w:t xml:space="preserve"> YAP1 has its own distinct set of TFs and have no overlap with other signature pathways.</w:t>
      </w:r>
    </w:p>
    <w:p w14:paraId="68BC60E4" w14:textId="77777777" w:rsidR="006F371C" w:rsidRDefault="003C3B5E">
      <w:r>
        <w:br w:type="page"/>
      </w:r>
    </w:p>
    <w:p w14:paraId="1DDDFBBF" w14:textId="4365F82F" w:rsidR="006F371C" w:rsidRDefault="00D54C84">
      <w:r>
        <w:rPr>
          <w:noProof/>
        </w:rPr>
        <w:lastRenderedPageBreak/>
        <w:drawing>
          <wp:inline distT="0" distB="0" distL="0" distR="0" wp14:anchorId="39EF0229" wp14:editId="1E5A3D18">
            <wp:extent cx="5943600" cy="7694295"/>
            <wp:effectExtent l="0" t="0" r="0" b="1905"/>
            <wp:docPr id="1044542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54221" name="Picture 10445422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7694295"/>
                    </a:xfrm>
                    <a:prstGeom prst="rect">
                      <a:avLst/>
                    </a:prstGeom>
                  </pic:spPr>
                </pic:pic>
              </a:graphicData>
            </a:graphic>
          </wp:inline>
        </w:drawing>
      </w:r>
    </w:p>
    <w:p w14:paraId="680F9DF5" w14:textId="4C35B1F5" w:rsidR="00EC2FB3" w:rsidRDefault="003C3B5E">
      <w:pPr>
        <w:pStyle w:val="Heading4"/>
        <w:spacing w:line="360" w:lineRule="auto"/>
        <w:rPr>
          <w:b w:val="0"/>
        </w:rPr>
      </w:pPr>
      <w:bookmarkStart w:id="4" w:name="_1hmsyys" w:colFirst="0" w:colLast="0"/>
      <w:bookmarkEnd w:id="4"/>
      <w:r>
        <w:br w:type="page"/>
      </w:r>
      <w:r>
        <w:lastRenderedPageBreak/>
        <w:t xml:space="preserve">Fig. S4 Cellular network comparison between two groups.  (A) </w:t>
      </w:r>
      <w:r>
        <w:rPr>
          <w:b w:val="0"/>
        </w:rPr>
        <w:t>Comparison of overall intercellular interactions between control and At-Risk/ERA groups, which didn’t show any significant difference on account of number and intensity of interactions.</w:t>
      </w:r>
      <w:r>
        <w:t xml:space="preserve"> (B) </w:t>
      </w:r>
      <w:r>
        <w:rPr>
          <w:b w:val="0"/>
        </w:rPr>
        <w:t xml:space="preserve">Sum of outgoing and incoming signaling strength across all signaling pathways in control and At-Risk/ERA groups. The horizontal axis represents the cell types and the vertical axis represents each individual. Gradient red colors represent the total outgoing signaling strength with red displaying higher values. Gradient blue colors represent the total incoming signaling strength with blue displaying higher values. At-Risk/ERA has higher outgoing and incoming signals compared to control. </w:t>
      </w:r>
      <w:r>
        <w:t>(</w:t>
      </w:r>
      <w:r w:rsidR="00A8511F">
        <w:t>C</w:t>
      </w:r>
      <w:r>
        <w:t>)</w:t>
      </w:r>
      <w:r>
        <w:rPr>
          <w:b w:val="0"/>
        </w:rPr>
        <w:t xml:space="preserve"> </w:t>
      </w:r>
      <w:r w:rsidR="00FD4B02">
        <w:rPr>
          <w:b w:val="0"/>
        </w:rPr>
        <w:t>Representative TGF-β signaling networks within signature clusters in control and At-Risk patients. (</w:t>
      </w:r>
      <w:r w:rsidR="00A8511F">
        <w:rPr>
          <w:bCs/>
        </w:rPr>
        <w:t>D</w:t>
      </w:r>
      <w:r w:rsidR="00FD4B02">
        <w:rPr>
          <w:b w:val="0"/>
        </w:rPr>
        <w:t>) Outgoing and incoming signaling strength of TGF-β pathway across cell types in control and At-Risk/ERA groups</w:t>
      </w:r>
      <w:r w:rsidR="00865CD9">
        <w:rPr>
          <w:b w:val="0"/>
        </w:rPr>
        <w:t xml:space="preserve">. </w:t>
      </w:r>
      <w:r w:rsidR="00865CD9">
        <w:t>(E)</w:t>
      </w:r>
      <w:r w:rsidR="00865CD9">
        <w:rPr>
          <w:b w:val="0"/>
        </w:rPr>
        <w:t xml:space="preserve"> Representative </w:t>
      </w:r>
      <w:r w:rsidR="00503BA7">
        <w:rPr>
          <w:b w:val="0"/>
        </w:rPr>
        <w:t>CD160</w:t>
      </w:r>
      <w:r w:rsidR="00865CD9">
        <w:rPr>
          <w:b w:val="0"/>
        </w:rPr>
        <w:t xml:space="preserve"> signaling networks within signature clusters in control and At-Risk patients. (</w:t>
      </w:r>
      <w:r w:rsidR="00865CD9">
        <w:rPr>
          <w:bCs/>
        </w:rPr>
        <w:t>F</w:t>
      </w:r>
      <w:r w:rsidR="00865CD9">
        <w:rPr>
          <w:b w:val="0"/>
        </w:rPr>
        <w:t xml:space="preserve">) Outgoing and incoming signaling strength of </w:t>
      </w:r>
      <w:r w:rsidR="00AE04D3">
        <w:rPr>
          <w:b w:val="0"/>
        </w:rPr>
        <w:t>CD160</w:t>
      </w:r>
      <w:r w:rsidR="00865CD9">
        <w:rPr>
          <w:b w:val="0"/>
        </w:rPr>
        <w:t xml:space="preserve"> pathway across cell types in control and At-Risk/ERA groups</w:t>
      </w:r>
      <w:r>
        <w:t>;</w:t>
      </w:r>
      <w:r>
        <w:rPr>
          <w:b w:val="0"/>
        </w:rPr>
        <w:t xml:space="preserve"> Wilcoxon rank-sum test, *p &lt; 0.1, **p &lt; 0.05, ***p &lt; 0.01.</w:t>
      </w:r>
    </w:p>
    <w:p w14:paraId="2D799051" w14:textId="55549CCE" w:rsidR="006F371C" w:rsidRPr="00033807" w:rsidRDefault="00EC2FB3" w:rsidP="003E257F">
      <w:r>
        <w:rPr>
          <w:b/>
        </w:rPr>
        <w:br w:type="page"/>
      </w:r>
    </w:p>
    <w:p w14:paraId="3AE9C965" w14:textId="11875894" w:rsidR="006F371C" w:rsidRDefault="00DB01A6">
      <w:bookmarkStart w:id="5" w:name="_41mghml" w:colFirst="0" w:colLast="0"/>
      <w:bookmarkEnd w:id="5"/>
      <w:r>
        <w:rPr>
          <w:noProof/>
        </w:rPr>
        <w:lastRenderedPageBreak/>
        <w:drawing>
          <wp:inline distT="0" distB="0" distL="0" distR="0" wp14:anchorId="105DE7DB" wp14:editId="0B83FD6C">
            <wp:extent cx="5943600" cy="7694295"/>
            <wp:effectExtent l="0" t="0" r="0" b="1905"/>
            <wp:docPr id="168542058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420582" name="Picture 1" descr="A screenshot of a comput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7694295"/>
                    </a:xfrm>
                    <a:prstGeom prst="rect">
                      <a:avLst/>
                    </a:prstGeom>
                  </pic:spPr>
                </pic:pic>
              </a:graphicData>
            </a:graphic>
          </wp:inline>
        </w:drawing>
      </w:r>
    </w:p>
    <w:p w14:paraId="35DFE8F4" w14:textId="525BEFAF" w:rsidR="006F371C" w:rsidRDefault="003C3B5E">
      <w:pPr>
        <w:pStyle w:val="Heading4"/>
        <w:spacing w:line="360" w:lineRule="auto"/>
      </w:pPr>
      <w:r>
        <w:lastRenderedPageBreak/>
        <w:t xml:space="preserve">Fig. S5 </w:t>
      </w:r>
      <w:r w:rsidR="0063653F">
        <w:t>Kmeans clustering based on gene expression</w:t>
      </w:r>
      <w:r>
        <w:t>. (A)</w:t>
      </w:r>
      <w:r w:rsidR="004F60B5">
        <w:t xml:space="preserve"> </w:t>
      </w:r>
      <w:r w:rsidR="004F60B5">
        <w:rPr>
          <w:b w:val="0"/>
        </w:rPr>
        <w:t xml:space="preserve">Performance of random forest classification model to distinguish controls and At-Risk/ERAs. x-axis represents the number of predictors and y-axis represents the accuracy with dot as mean and the error bar as standard deviation. The test performance was monotonically increasing with more predictors. </w:t>
      </w:r>
      <w:r>
        <w:t>(B)</w:t>
      </w:r>
      <w:r w:rsidR="004112E3" w:rsidRPr="004112E3">
        <w:rPr>
          <w:b w:val="0"/>
        </w:rPr>
        <w:t xml:space="preserve"> </w:t>
      </w:r>
      <w:r w:rsidR="000E45FD">
        <w:rPr>
          <w:b w:val="0"/>
        </w:rPr>
        <w:t xml:space="preserve">Row-wise normalized probability of cell types having the maximum expression of each gene in At-Risk/ERAs. Rows represent genes and columns represent cell types. Red cell represents a higher probability of the high gene expression in the specific cell type. Each cell type has its own set of highly expressed genes. For instance, </w:t>
      </w:r>
      <w:r w:rsidR="000E45FD">
        <w:rPr>
          <w:b w:val="0"/>
          <w:i/>
        </w:rPr>
        <w:t>ADAMTSL4</w:t>
      </w:r>
      <w:r w:rsidR="000E45FD">
        <w:rPr>
          <w:b w:val="0"/>
        </w:rPr>
        <w:t xml:space="preserve"> and </w:t>
      </w:r>
      <w:r w:rsidR="000E45FD">
        <w:rPr>
          <w:b w:val="0"/>
          <w:i/>
        </w:rPr>
        <w:t>CXCL16</w:t>
      </w:r>
      <w:r w:rsidR="000E45FD">
        <w:rPr>
          <w:b w:val="0"/>
        </w:rPr>
        <w:t xml:space="preserve"> in monocytes, </w:t>
      </w:r>
      <w:r w:rsidR="000E45FD">
        <w:rPr>
          <w:b w:val="0"/>
          <w:i/>
        </w:rPr>
        <w:t>NOTCH1</w:t>
      </w:r>
      <w:r w:rsidR="000E45FD">
        <w:rPr>
          <w:b w:val="0"/>
        </w:rPr>
        <w:t xml:space="preserve"> in Treg cells. </w:t>
      </w:r>
      <w:r w:rsidR="00EC0ABE">
        <w:t>(C)</w:t>
      </w:r>
      <w:r w:rsidR="000E45FD">
        <w:t xml:space="preserve"> </w:t>
      </w:r>
      <w:r w:rsidR="000E45FD" w:rsidRPr="003E257F">
        <w:rPr>
          <w:b w:val="0"/>
          <w:i/>
          <w:iCs/>
        </w:rPr>
        <w:t>TGFB1</w:t>
      </w:r>
      <w:r w:rsidR="000E45FD">
        <w:rPr>
          <w:b w:val="0"/>
        </w:rPr>
        <w:t xml:space="preserve"> gene expression levels in diverse cell types across At-Risk/ERAs.</w:t>
      </w:r>
      <w:r w:rsidR="00EC0ABE">
        <w:t xml:space="preserve"> (D) </w:t>
      </w:r>
      <w:r w:rsidR="00EC0ABE">
        <w:rPr>
          <w:b w:val="0"/>
        </w:rPr>
        <w:t>Selecting the best distance metric and number of Kmeans group according to the Silhouette width. The Pearson correlation was chosen and K=5 was the ideal number, marked as the red point in the figure.</w:t>
      </w:r>
      <w:r w:rsidR="00EC0ABE">
        <w:t xml:space="preserve"> (E) </w:t>
      </w:r>
      <w:r w:rsidR="00EC0ABE" w:rsidRPr="003E257F">
        <w:rPr>
          <w:b w:val="0"/>
          <w:bCs/>
        </w:rPr>
        <w:t xml:space="preserve">Mosaic plot showing the association between </w:t>
      </w:r>
      <w:r w:rsidR="00EC0ABE">
        <w:rPr>
          <w:b w:val="0"/>
        </w:rPr>
        <w:t xml:space="preserve">disease state and Kmeans groups. G1 has slightly higher enrichment in At-Risk/ERA but not statically significant. The disease state and Kmeans groups didn’t have clear association. </w:t>
      </w:r>
      <w:r w:rsidR="00ED352A" w:rsidRPr="003E257F">
        <w:rPr>
          <w:bCs/>
        </w:rPr>
        <w:t>(F)</w:t>
      </w:r>
      <w:r w:rsidR="00ED352A">
        <w:rPr>
          <w:b w:val="0"/>
        </w:rPr>
        <w:t xml:space="preserve"> Normalized gene expression values heatmap of all TFs across all clusters. TFs in rows (z-normalized), clusters in columns. Both columns and rows are hierarchically clustered, and color of the cell in the matrix indicates the normalized gene expression with red displaying high expression values. Different groups displayed different TF activity patterns. </w:t>
      </w:r>
    </w:p>
    <w:p w14:paraId="69F8BA7F" w14:textId="77777777" w:rsidR="006F371C" w:rsidRDefault="003C3B5E">
      <w:r>
        <w:br w:type="page"/>
      </w:r>
    </w:p>
    <w:p w14:paraId="06177C85" w14:textId="0C7DE8BA" w:rsidR="006F371C" w:rsidRDefault="000164EF">
      <w:r>
        <w:rPr>
          <w:noProof/>
        </w:rPr>
        <w:lastRenderedPageBreak/>
        <w:drawing>
          <wp:inline distT="0" distB="0" distL="0" distR="0" wp14:anchorId="5555DC8B" wp14:editId="05FB0B88">
            <wp:extent cx="5943600" cy="7694295"/>
            <wp:effectExtent l="0" t="0" r="0" b="1905"/>
            <wp:docPr id="81357743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577437" name="Picture 81357743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7694295"/>
                    </a:xfrm>
                    <a:prstGeom prst="rect">
                      <a:avLst/>
                    </a:prstGeom>
                  </pic:spPr>
                </pic:pic>
              </a:graphicData>
            </a:graphic>
          </wp:inline>
        </w:drawing>
      </w:r>
    </w:p>
    <w:p w14:paraId="0E47869A" w14:textId="6D454F06" w:rsidR="006F371C" w:rsidRDefault="006F371C" w:rsidP="008E3C12">
      <w:bookmarkStart w:id="6" w:name="_2grqrue" w:colFirst="0" w:colLast="0"/>
      <w:bookmarkEnd w:id="6"/>
    </w:p>
    <w:p w14:paraId="69037C03" w14:textId="4D8C828A" w:rsidR="006F371C" w:rsidRDefault="006F371C"/>
    <w:p w14:paraId="45B97687" w14:textId="77777777" w:rsidR="006F371C" w:rsidRDefault="003C3B5E">
      <w:r>
        <w:br w:type="page"/>
      </w:r>
    </w:p>
    <w:p w14:paraId="7704E10C" w14:textId="77777777" w:rsidR="006F371C" w:rsidRDefault="003C3B5E">
      <w:pPr>
        <w:pStyle w:val="Heading3"/>
        <w:spacing w:line="360" w:lineRule="auto"/>
      </w:pPr>
      <w:bookmarkStart w:id="7" w:name="_vx1227" w:colFirst="0" w:colLast="0"/>
      <w:bookmarkEnd w:id="7"/>
      <w:r>
        <w:lastRenderedPageBreak/>
        <w:t>Supplementary Tables</w:t>
      </w:r>
    </w:p>
    <w:p w14:paraId="113A788E" w14:textId="77777777" w:rsidR="006F371C" w:rsidRDefault="003C3B5E">
      <w:pPr>
        <w:pStyle w:val="Heading4"/>
        <w:spacing w:line="360" w:lineRule="auto"/>
        <w:rPr>
          <w:b w:val="0"/>
        </w:rPr>
      </w:pPr>
      <w:bookmarkStart w:id="8" w:name="_3fwokq0" w:colFirst="0" w:colLast="0"/>
      <w:bookmarkEnd w:id="8"/>
      <w:r>
        <w:t>Supplementary Table S1. Summary of cohort information</w:t>
      </w:r>
      <w:r>
        <w:rPr>
          <w:b w:val="0"/>
        </w:rPr>
        <w:t xml:space="preserve"> </w:t>
      </w:r>
    </w:p>
    <w:p w14:paraId="0B2FA858" w14:textId="77777777" w:rsidR="006F371C" w:rsidRDefault="006F371C">
      <w:pPr>
        <w:spacing w:line="360" w:lineRule="auto"/>
      </w:pPr>
    </w:p>
    <w:p w14:paraId="3E59F9C2" w14:textId="16F598C9" w:rsidR="006F371C" w:rsidRDefault="003C3B5E">
      <w:pPr>
        <w:pStyle w:val="Heading4"/>
        <w:spacing w:line="360" w:lineRule="auto"/>
      </w:pPr>
      <w:bookmarkStart w:id="9" w:name="_1v1yuxt" w:colFirst="0" w:colLast="0"/>
      <w:bookmarkEnd w:id="9"/>
      <w:r>
        <w:t xml:space="preserve">Supplementary Table S2. </w:t>
      </w:r>
      <w:r w:rsidR="00086BF0">
        <w:t>QC metrics summary for each sample</w:t>
      </w:r>
    </w:p>
    <w:p w14:paraId="1CCF4D63" w14:textId="77777777" w:rsidR="006F371C" w:rsidRDefault="006F371C">
      <w:pPr>
        <w:spacing w:line="360" w:lineRule="auto"/>
      </w:pPr>
    </w:p>
    <w:p w14:paraId="57D8947F" w14:textId="77777777" w:rsidR="006F371C" w:rsidRDefault="003C3B5E">
      <w:pPr>
        <w:pStyle w:val="Heading4"/>
        <w:spacing w:line="360" w:lineRule="auto"/>
      </w:pPr>
      <w:bookmarkStart w:id="10" w:name="_4f1mdlm" w:colFirst="0" w:colLast="0"/>
      <w:bookmarkEnd w:id="10"/>
      <w:r>
        <w:t>Supplementary Table S3. Cell counts in samples across different cell types</w:t>
      </w:r>
    </w:p>
    <w:p w14:paraId="2AC5BB8F" w14:textId="77777777" w:rsidR="006F371C" w:rsidRDefault="006F371C">
      <w:pPr>
        <w:spacing w:line="360" w:lineRule="auto"/>
      </w:pPr>
      <w:bookmarkStart w:id="11" w:name="_2u6wntf" w:colFirst="0" w:colLast="0"/>
      <w:bookmarkEnd w:id="11"/>
    </w:p>
    <w:p w14:paraId="7EB9143E" w14:textId="77777777" w:rsidR="006F371C" w:rsidRDefault="003C3B5E">
      <w:pPr>
        <w:pStyle w:val="Heading4"/>
        <w:spacing w:line="360" w:lineRule="auto"/>
      </w:pPr>
      <w:bookmarkStart w:id="12" w:name="_19c6y18" w:colFirst="0" w:colLast="0"/>
      <w:bookmarkEnd w:id="12"/>
      <w:r>
        <w:t>Supplementary Table S4. Co-embedded cluster distribution in Kmeans groups</w:t>
      </w:r>
    </w:p>
    <w:p w14:paraId="1D4A90AD" w14:textId="77777777" w:rsidR="006F371C" w:rsidRDefault="006F371C">
      <w:pPr>
        <w:spacing w:line="360" w:lineRule="auto"/>
      </w:pPr>
    </w:p>
    <w:p w14:paraId="509D03F4" w14:textId="77777777" w:rsidR="006F371C" w:rsidRDefault="003C3B5E">
      <w:pPr>
        <w:pStyle w:val="Heading4"/>
        <w:spacing w:line="360" w:lineRule="auto"/>
      </w:pPr>
      <w:bookmarkStart w:id="13" w:name="_3tbugp1" w:colFirst="0" w:colLast="0"/>
      <w:bookmarkEnd w:id="13"/>
      <w:r>
        <w:t>Supplementary Table S5. Identified Kmeans group-specific TFs</w:t>
      </w:r>
    </w:p>
    <w:p w14:paraId="32AD8FF1" w14:textId="77777777" w:rsidR="006F371C" w:rsidRDefault="006F371C">
      <w:pPr>
        <w:spacing w:line="360" w:lineRule="auto"/>
      </w:pPr>
    </w:p>
    <w:p w14:paraId="4777E465" w14:textId="77777777" w:rsidR="006F371C" w:rsidRDefault="003C3B5E">
      <w:pPr>
        <w:pStyle w:val="Heading4"/>
        <w:spacing w:line="360" w:lineRule="auto"/>
      </w:pPr>
      <w:bookmarkStart w:id="14" w:name="_28h4qwu" w:colFirst="0" w:colLast="0"/>
      <w:bookmarkEnd w:id="14"/>
      <w:r>
        <w:t>Supplementary Table S6. Co-embedded cluster counts in Kmeans groups across disease states</w:t>
      </w:r>
    </w:p>
    <w:p w14:paraId="5D81DA58" w14:textId="77777777" w:rsidR="006F371C" w:rsidRDefault="006F371C">
      <w:pPr>
        <w:spacing w:line="360" w:lineRule="auto"/>
      </w:pPr>
    </w:p>
    <w:p w14:paraId="4335DF55" w14:textId="7D0F2A7C" w:rsidR="006F371C" w:rsidRDefault="003C3B5E">
      <w:pPr>
        <w:pStyle w:val="Heading4"/>
        <w:spacing w:line="360" w:lineRule="auto"/>
      </w:pPr>
      <w:bookmarkStart w:id="15" w:name="_nmf14n" w:colFirst="0" w:colLast="0"/>
      <w:bookmarkEnd w:id="15"/>
      <w:r>
        <w:t>Supplementary Table S7. Co-embedded cluster counts in Kmeans groups across cell types</w:t>
      </w:r>
    </w:p>
    <w:p w14:paraId="5CE297A7" w14:textId="77777777" w:rsidR="00F30A04" w:rsidRPr="00F30A04" w:rsidRDefault="00F30A04" w:rsidP="00F30A04"/>
    <w:p w14:paraId="04C598D3" w14:textId="77777777" w:rsidR="006F371C" w:rsidRDefault="003C3B5E">
      <w:pPr>
        <w:pStyle w:val="Heading4"/>
        <w:spacing w:line="360" w:lineRule="auto"/>
      </w:pPr>
      <w:r>
        <w:t>Supplementary Table S8. Identified signature pathways with signature TFs and its representative downstream genes.</w:t>
      </w:r>
    </w:p>
    <w:p w14:paraId="2B847B12" w14:textId="77777777" w:rsidR="006F371C" w:rsidRDefault="006F371C">
      <w:pPr>
        <w:spacing w:line="360" w:lineRule="auto"/>
      </w:pPr>
    </w:p>
    <w:p w14:paraId="793539C2" w14:textId="6BC7C6AE" w:rsidR="006F371C" w:rsidRDefault="003C3B5E">
      <w:pPr>
        <w:pStyle w:val="Heading4"/>
        <w:spacing w:line="360" w:lineRule="auto"/>
      </w:pPr>
      <w:bookmarkStart w:id="16" w:name="_rmscqd63mjb7" w:colFirst="0" w:colLast="0"/>
      <w:bookmarkEnd w:id="16"/>
      <w:r>
        <w:t>Supplementary Table S9. Curated pathogenic gene list</w:t>
      </w:r>
    </w:p>
    <w:p w14:paraId="17B104BB" w14:textId="77777777" w:rsidR="00F30A04" w:rsidRPr="00F30A04" w:rsidRDefault="00F30A04" w:rsidP="00F30A04"/>
    <w:p w14:paraId="09F5BD7E" w14:textId="77777777" w:rsidR="006F371C" w:rsidRDefault="003C3B5E">
      <w:pPr>
        <w:pStyle w:val="Heading4"/>
        <w:spacing w:line="360" w:lineRule="auto"/>
      </w:pPr>
      <w:r>
        <w:lastRenderedPageBreak/>
        <w:t>Supplementary Table S10. Pathway enrichment statistics for the identified Kmeans group-specific TFs (p.adjust&lt;0.05)</w:t>
      </w:r>
    </w:p>
    <w:p w14:paraId="518FB2B8" w14:textId="5B826DB0" w:rsidR="001311CD" w:rsidRDefault="001311CD" w:rsidP="001311CD">
      <w:pPr>
        <w:pStyle w:val="Heading4"/>
        <w:spacing w:line="360" w:lineRule="auto"/>
      </w:pPr>
      <w:r>
        <w:t xml:space="preserve">Supplementary Table S11. </w:t>
      </w:r>
      <w:r w:rsidR="0054024E">
        <w:t>Heatmap</w:t>
      </w:r>
      <w:r>
        <w:t xml:space="preserve"> statistics for the </w:t>
      </w:r>
      <w:r w:rsidR="0054024E">
        <w:t>comparison with AMP study in figure 6.</w:t>
      </w:r>
    </w:p>
    <w:p w14:paraId="6A91425C" w14:textId="77777777" w:rsidR="001311CD" w:rsidRPr="001311CD" w:rsidRDefault="001311CD" w:rsidP="003E257F"/>
    <w:p w14:paraId="3373418C" w14:textId="77777777" w:rsidR="006F371C" w:rsidRDefault="003C3B5E">
      <w:r>
        <w:br w:type="page"/>
      </w:r>
    </w:p>
    <w:p w14:paraId="67A6693B" w14:textId="77777777" w:rsidR="006F371C" w:rsidRDefault="003C3B5E">
      <w:pPr>
        <w:pStyle w:val="Heading3"/>
        <w:spacing w:line="360" w:lineRule="auto"/>
      </w:pPr>
      <w:r>
        <w:lastRenderedPageBreak/>
        <w:t>Supplementary Notes</w:t>
      </w:r>
    </w:p>
    <w:p w14:paraId="761FE04F" w14:textId="77777777" w:rsidR="006F371C" w:rsidRDefault="003C3B5E">
      <w:pPr>
        <w:pStyle w:val="Heading4"/>
        <w:keepNext w:val="0"/>
        <w:keepLines w:val="0"/>
        <w:spacing w:before="0" w:after="0" w:line="360" w:lineRule="auto"/>
      </w:pPr>
      <w:bookmarkStart w:id="17" w:name="_37m2jsg" w:colFirst="0" w:colLast="0"/>
      <w:bookmarkEnd w:id="17"/>
      <w:r>
        <w:t xml:space="preserve">Advantages of Taiji framework </w:t>
      </w:r>
    </w:p>
    <w:p w14:paraId="3FED3BC6" w14:textId="66F31762" w:rsidR="006F371C" w:rsidRDefault="003C3B5E">
      <w:pPr>
        <w:spacing w:line="360" w:lineRule="auto"/>
      </w:pPr>
      <w:r>
        <w:t>We measured single cell chromatin accessibility and transcriptomic profiles of PBMCs of At-Risk individuals, ERA patients and controls. Rather than relying on individual technologies and datasets to understand important pathways, we used a novel integrative analysis (Taiji)</w:t>
      </w:r>
      <w:r w:rsidR="00C32D85">
        <w:fldChar w:fldCharType="begin"/>
      </w:r>
      <w:r w:rsidR="003B593D">
        <w:instrText xml:space="preserve"> ADDIN ZOTERO_ITEM CSL_CITATION {"citationID":"l75MliPO","properties":{"formattedCitation":"\\super 12\\nosupersub{}","plainCitation":"12","noteIndex":0},"citationItems":[{"id":28,"uris":["http://zotero.org/users/local/JZClHNIm/items/W5HVF8VR","http://zotero.org/users/16227889/items/W5HVF8VR"],"itemData":{"id":28,"type":"article-journal","abstract":"Transcriptional regulation is pivotal to the specification of distinct cell types during embryonic development. However, it still lacks a systematic way to identify key transcription factors (TFs) orchestrating the temporal and tissue specificity of gene expression. Here, we integrated epigenomic and transcriptomic data to reveal key regulators from two cells to postnatal day 0 in mouse embryogenesis. We predicted three-dimensional chromatin interactions in 12 tissues across eight developmental stages, which facilitates linking TFs to their target genes for constructing transcriptional regulatory networks. To identify driver TFs, we developed a new algorithm, dubbed Taiji, to assess the global influence of each TF and systematically uncovered TFs critical for lineage-specific and stage-dependent tissue specification. We have also identified TF combinations that function in spatiotemporal order to form transcriptional waves regulating developmental progress. Furthermore, lacking stage-specific TF combinations suggests a distributed timing strategy to orchestrate the coordination between tissues during embryonic development.","container-title":"Sci Adv","issue":"3","language":"en","page":"eaav3262","title":"Taiji: System-level identification of key transcription factors reveals transcriptional waves in mouse embryonic development","volume":"5","author":[{"family":"Zhang","given":"Kai"},{"family":"Wang","given":"Mengchi"},{"family":"Zhao","given":"Ying"},{"family":"Wang","given":"Wei"}],"issued":{"date-parts":[["2019",3]]}}}],"schema":"https://github.com/citation-style-language/schema/raw/master/csl-citation.json"} </w:instrText>
      </w:r>
      <w:r w:rsidR="00C32D85">
        <w:fldChar w:fldCharType="separate"/>
      </w:r>
      <w:r w:rsidR="00C32D85" w:rsidRPr="003E257F">
        <w:rPr>
          <w:vertAlign w:val="superscript"/>
        </w:rPr>
        <w:t>12</w:t>
      </w:r>
      <w:r w:rsidR="00C32D85">
        <w:fldChar w:fldCharType="end"/>
      </w:r>
      <w:r>
        <w:t xml:space="preserve"> to identify potential pathogenic pathways and cell types. This method uses chromatin accessibility for TF motifs and transcription of the putatively regulated genes to prioritize TFs based on their functional relevance in a particular cell. </w:t>
      </w:r>
    </w:p>
    <w:p w14:paraId="0B1AE530" w14:textId="77777777" w:rsidR="006F371C" w:rsidRDefault="006F371C">
      <w:pPr>
        <w:spacing w:line="360" w:lineRule="auto"/>
      </w:pPr>
    </w:p>
    <w:p w14:paraId="21D71624" w14:textId="16D4E591" w:rsidR="006F371C" w:rsidRDefault="003C3B5E">
      <w:pPr>
        <w:spacing w:line="360" w:lineRule="auto"/>
      </w:pPr>
      <w:r>
        <w:t>Taiji was previously used by our group to identify critical TFs in primary fibroblast-like synoviocytes isolated from RA synovium</w:t>
      </w:r>
      <w:r w:rsidR="00C32D85">
        <w:fldChar w:fldCharType="begin"/>
      </w:r>
      <w:r w:rsidR="003B593D">
        <w:instrText xml:space="preserve"> ADDIN ZOTERO_ITEM CSL_CITATION {"citationID":"tUYPqHb7","properties":{"formattedCitation":"\\super 44\\nosupersub{}","plainCitation":"44","noteIndex":0},"citationItems":[{"id":37,"uris":["http://zotero.org/users/local/JZClHNIm/items/HWZLLIK6","http://zotero.org/users/16227889/items/HWZLLIK6"],"itemData":{"id":37,"type":"article-journal","abstract":"Rheumatoid arthritis (RA) is an immune-mediated disease affecting diarthrodial joints that remains an unmet medical need despite improved therapy. This limitation likely reflects the diversity of pathogenic pathways in RA, with individual patients demonstrating variable responses to targeted therapies. Better understanding of RA pathogenesis would be aided by a more complete characterization of the disease. To tackle this challenge, we develop and apply a systems biology approach to identify important transcription factors (TFs) in individual RA fibroblast-like synoviocyte (FLS) cell lines by integrating transcriptomic and epigenomic information. Based on the relative importance of the identified TFs, we stratify the RA FLS cell lines into two subtypes with distinct phenotypes and predicted active pathways. We biologically validate these predictions for the top subtype-specific TF RARα and demonstrate differential regulation of TGFβ signaling in the two subtypes. This study characterizes clusters of RA cell lines with distinctive TF biology by integrating transcriptomic and epigenomic data, which could pave the way towards a greater understanding of disease heterogeneity. Fibroblast-like synoviocytes (FLS) are used as a model of rheumatoid arthritis synoviocytes, although cell lines derived from individual patients can have heterogeneous biology. Here the authors use a Taiji computational approach to analyze gene expression, chromatin accessibility and functional differences between individual patient-derived RA FLS lines.","container-title":"Nat. Commun.","issue":"1","language":"en","note":"publisher: Nature Publishing Group","page":"1–11","title":"Systems-biology analysis of rheumatoid arthritis fibroblast-like synoviocytes implicates cell line-specific transcription factor function","volume":"13","author":[{"family":"Ainsworth","given":"Richard I"},{"family":"Hammaker","given":"Deepa"},{"family":"Nygaard","given":"Gyrid"},{"family":"Ansalone","given":"Cecilia"},{"family":"Machado","given":"Camilla"},{"family":"Zhang","given":"Kai"},{"family":"Zheng","given":"Lina"},{"family":"Carrillo","given":"Lucy"},{"family":"Wildberg","given":"Andre"},{"family":"Kuhs","given":"Amanda"},{"family":"Svensson","given":"Mattias N D"},{"family":"Boyle","given":"David L"},{"family":"Firestein","given":"Gary S"},{"family":"Wang","given":"Wei"}],"issued":{"date-parts":[["2022",10]]}}}],"schema":"https://github.com/citation-style-language/schema/raw/master/csl-citation.json"} </w:instrText>
      </w:r>
      <w:r w:rsidR="00C32D85">
        <w:fldChar w:fldCharType="separate"/>
      </w:r>
      <w:r w:rsidR="00C32D85" w:rsidRPr="003E257F">
        <w:rPr>
          <w:vertAlign w:val="superscript"/>
        </w:rPr>
        <w:t>44</w:t>
      </w:r>
      <w:r w:rsidR="00C32D85">
        <w:fldChar w:fldCharType="end"/>
      </w:r>
      <w:r>
        <w:t xml:space="preserve">. We were able to stratify RA patients into two groups based on divergent functions of multiple TFs and pathways. Extensive biologic validation confirmed the Taiji computational predictions related to TFs like RARA and showed that individual TFs could have diametrically opposed functions in individual patients. </w:t>
      </w:r>
    </w:p>
    <w:p w14:paraId="5379234A" w14:textId="77777777" w:rsidR="006F371C" w:rsidRDefault="006F371C">
      <w:pPr>
        <w:spacing w:line="360" w:lineRule="auto"/>
      </w:pPr>
    </w:p>
    <w:p w14:paraId="694BC145" w14:textId="77777777" w:rsidR="006F371C" w:rsidRDefault="003C3B5E">
      <w:pPr>
        <w:spacing w:line="360" w:lineRule="auto"/>
      </w:pPr>
      <w:r>
        <w:t xml:space="preserve">Using this integrative analysis, we now report that distinctive TF profiles are significantly enriched in At-Risk and ERA individuals compared to controls in multiple cell types, especially in CD8 and CD4 T cells. This is the first time that Taiji framework has been applied to integrative single cell analysis. </w:t>
      </w:r>
    </w:p>
    <w:p w14:paraId="1A4269C8" w14:textId="77777777" w:rsidR="006F371C" w:rsidRDefault="006F371C">
      <w:pPr>
        <w:spacing w:line="360" w:lineRule="auto"/>
      </w:pPr>
    </w:p>
    <w:p w14:paraId="00E0DED9" w14:textId="2E18EFFD" w:rsidR="006F371C" w:rsidRDefault="003C3B5E">
      <w:pPr>
        <w:spacing w:line="360" w:lineRule="auto"/>
      </w:pPr>
      <w:r>
        <w:t xml:space="preserve">Unsupervised clustering of our data based on Taiji prediction delineated five groups of individuals with distinctive TF activity profiles. At-Risk/ERA-enriched signature pathways were found in G2. Of interest, CON-enriched pathways were found in G4 and included pathways like RUNX3 that can be protective. </w:t>
      </w:r>
      <w:r w:rsidR="00845243">
        <w:t>It’s worth noting that</w:t>
      </w:r>
      <w:r>
        <w:t xml:space="preserve"> unsupervised clustering using solely gene expression profiles failed to reveal significant cohort enrichment and demonstrates the importance of integrating multiple omics data types (</w:t>
      </w:r>
      <w:r>
        <w:rPr>
          <w:b/>
        </w:rPr>
        <w:t>Supplementary Fig. S</w:t>
      </w:r>
      <w:r w:rsidR="00E44E24">
        <w:rPr>
          <w:b/>
        </w:rPr>
        <w:t>5D-F</w:t>
      </w:r>
      <w:r>
        <w:t xml:space="preserve">). These results support the importance of PageRank over individual gene expression or open chromatin analyses to delineate TF activities and differences across cohorts. </w:t>
      </w:r>
    </w:p>
    <w:p w14:paraId="4DD1DF5B" w14:textId="77777777" w:rsidR="006F371C" w:rsidRDefault="006F371C"/>
    <w:p w14:paraId="07728C91" w14:textId="77777777" w:rsidR="006F371C" w:rsidRDefault="003C3B5E">
      <w:pPr>
        <w:pStyle w:val="Heading4"/>
        <w:keepNext w:val="0"/>
        <w:keepLines w:val="0"/>
        <w:spacing w:before="0" w:after="0" w:line="360" w:lineRule="auto"/>
      </w:pPr>
      <w:r>
        <w:t>G2 At-Risk/ERA TF signature is enriched for pathways implicated in RA pathogenesis</w:t>
      </w:r>
    </w:p>
    <w:p w14:paraId="508741D5" w14:textId="77777777" w:rsidR="006F371C" w:rsidRDefault="003C3B5E">
      <w:pPr>
        <w:spacing w:line="360" w:lineRule="auto"/>
      </w:pPr>
      <w:r>
        <w:t>A complete review of the biology of each pathway enriched in the TF signature is beyond the scope, but it is useful to point out some of the key features and genes and their potential relationship to RA.</w:t>
      </w:r>
    </w:p>
    <w:p w14:paraId="6FF57A31" w14:textId="77777777" w:rsidR="006F371C" w:rsidRDefault="006F371C"/>
    <w:p w14:paraId="375DA6A2" w14:textId="22BBF777" w:rsidR="006F371C" w:rsidRDefault="003C3B5E">
      <w:pPr>
        <w:spacing w:line="360" w:lineRule="auto"/>
      </w:pPr>
      <w:r>
        <w:rPr>
          <w:i/>
        </w:rPr>
        <w:lastRenderedPageBreak/>
        <w:t>Sumoylation pathway</w:t>
      </w:r>
      <w:r>
        <w:t>. Sumoylation plays important regulatory roles in synovial fibroblast biology including cell survival, inflammatory responses, and matrix metabolism</w:t>
      </w:r>
      <w:r w:rsidR="00C32D85">
        <w:fldChar w:fldCharType="begin"/>
      </w:r>
      <w:r w:rsidR="003B593D">
        <w:instrText xml:space="preserve"> ADDIN ZOTERO_ITEM CSL_CITATION {"citationID":"nidACaET","properties":{"formattedCitation":"\\super 18\\nosupersub{}","plainCitation":"18","noteIndex":0},"citationItems":[{"id":31,"uris":["http://zotero.org/users/local/JZClHNIm/items/W59G9HME","http://zotero.org/users/16227889/items/W59G9HME"],"itemData":{"id":31,"type":"article-journal","abstract":"Small ubiquitin-like modifier (SUMO) proteins, as a subgroup of post-translational modifiers, act to change the function of proteins. Through their interactions with different targets, immune pathways, and the responses they elicit, can be affected by these SUMO conjugations. Thus, both a change to …","container-title":"J. Autoimmun.","note":"publisher: J Autoimmun","page":"1–7","title":"The role of protein SUMOylation in rheumatoid arthritis","volume":"102","author":[{"family":"Dehnavi","given":"S"},{"family":"Sadeghi","given":"M"},{"family":"Johnston","given":"T P"},{"family":"Barreto","given":"G"},{"family":"Shohan","given":"M"},{"family":"Sahebkar","given":"A"}],"issued":{"date-parts":[["2019",8]]}}}],"schema":"https://github.com/citation-style-language/schema/raw/master/csl-citation.json"} </w:instrText>
      </w:r>
      <w:r w:rsidR="00C32D85">
        <w:fldChar w:fldCharType="separate"/>
      </w:r>
      <w:r w:rsidR="00D17F1E" w:rsidRPr="003E257F">
        <w:rPr>
          <w:vertAlign w:val="superscript"/>
        </w:rPr>
        <w:t>18</w:t>
      </w:r>
      <w:r w:rsidR="00C32D85">
        <w:fldChar w:fldCharType="end"/>
      </w:r>
      <w:r>
        <w:t>. Several SUMO related pathways including SUMOylation, SUMO E3 ligases SUMOylate target proteins, and SUMOylation of intracellular receptors were enriched in G2 (</w:t>
      </w:r>
      <w:r>
        <w:rPr>
          <w:b/>
        </w:rPr>
        <w:t xml:space="preserve">Supplementary Table </w:t>
      </w:r>
      <w:r w:rsidR="00BA1E01">
        <w:rPr>
          <w:b/>
        </w:rPr>
        <w:t>S</w:t>
      </w:r>
      <w:r>
        <w:rPr>
          <w:b/>
        </w:rPr>
        <w:t>10</w:t>
      </w:r>
      <w:r>
        <w:t xml:space="preserve">). For example, several </w:t>
      </w:r>
      <w:r w:rsidR="00DB7781">
        <w:t>NR</w:t>
      </w:r>
      <w:r>
        <w:t xml:space="preserve"> family members (</w:t>
      </w:r>
      <w:r w:rsidR="00DB7781">
        <w:t>NR1I2</w:t>
      </w:r>
      <w:r>
        <w:t>,</w:t>
      </w:r>
      <w:r w:rsidR="00DB7781">
        <w:t xml:space="preserve"> NR5A1, PGR</w:t>
      </w:r>
      <w:r>
        <w:t>)</w:t>
      </w:r>
      <w:r w:rsidR="00957898">
        <w:t xml:space="preserve"> and MITF</w:t>
      </w:r>
      <w:r w:rsidR="00DB7781">
        <w:t xml:space="preserve"> </w:t>
      </w:r>
      <w:r>
        <w:t>were found in G2 (</w:t>
      </w:r>
      <w:r>
        <w:rPr>
          <w:b/>
        </w:rPr>
        <w:t xml:space="preserve">Supplementary Table </w:t>
      </w:r>
      <w:r w:rsidR="00BA1E01">
        <w:rPr>
          <w:b/>
        </w:rPr>
        <w:t>S</w:t>
      </w:r>
      <w:r>
        <w:rPr>
          <w:b/>
        </w:rPr>
        <w:t>10</w:t>
      </w:r>
      <w:r>
        <w:t xml:space="preserve">). These TFs also regulate genes significantly enriched in RA-related pathways including </w:t>
      </w:r>
      <w:r w:rsidR="00547279">
        <w:t>RUNX1</w:t>
      </w:r>
      <w:r>
        <w:t xml:space="preserve">, </w:t>
      </w:r>
      <w:r w:rsidR="00547279">
        <w:t>Toll-like receptors</w:t>
      </w:r>
      <w:r>
        <w:t>,</w:t>
      </w:r>
      <w:r w:rsidR="00547279">
        <w:t xml:space="preserve"> MECP2,</w:t>
      </w:r>
      <w:r>
        <w:t xml:space="preserve"> and </w:t>
      </w:r>
      <w:r w:rsidR="00547279">
        <w:t>TP53</w:t>
      </w:r>
      <w:r>
        <w:t xml:space="preserve"> pathways (</w:t>
      </w:r>
      <w:r>
        <w:rPr>
          <w:b/>
        </w:rPr>
        <w:t>Supplementary Fig. S3C</w:t>
      </w:r>
      <w:r>
        <w:t xml:space="preserve">). </w:t>
      </w:r>
      <w:r w:rsidR="00230D68">
        <w:t>NR1I2</w:t>
      </w:r>
      <w:r w:rsidR="005E0738">
        <w:t xml:space="preserve"> </w:t>
      </w:r>
      <w:r>
        <w:t xml:space="preserve">regulates </w:t>
      </w:r>
      <w:r w:rsidR="00230D68">
        <w:t>HLA-G</w:t>
      </w:r>
      <w:r>
        <w:t>, which</w:t>
      </w:r>
      <w:r w:rsidR="00230D68">
        <w:t xml:space="preserve"> plays an important role in RA susceptibility and regulation</w:t>
      </w:r>
      <w:r>
        <w:t>.</w:t>
      </w:r>
    </w:p>
    <w:p w14:paraId="1ECE6002" w14:textId="77777777" w:rsidR="006F371C" w:rsidRDefault="006F371C">
      <w:pPr>
        <w:spacing w:line="360" w:lineRule="auto"/>
      </w:pPr>
    </w:p>
    <w:p w14:paraId="6E45E751" w14:textId="22E7749D" w:rsidR="006F371C" w:rsidRDefault="003C3B5E">
      <w:pPr>
        <w:spacing w:line="360" w:lineRule="auto"/>
      </w:pPr>
      <w:r>
        <w:rPr>
          <w:i/>
        </w:rPr>
        <w:t>RUNX2 and NOTCH3 pathways</w:t>
      </w:r>
      <w:r>
        <w:t xml:space="preserve">. While most signature pathways possessed distinctive sets of active TFs, the RUNX2 pathway shared </w:t>
      </w:r>
      <w:r w:rsidR="00751031">
        <w:t>3</w:t>
      </w:r>
      <w:r w:rsidR="00AF5BED">
        <w:t>7</w:t>
      </w:r>
      <w:r w:rsidR="00751031">
        <w:t>.5</w:t>
      </w:r>
      <w:r>
        <w:t>% TFs with other signature pathways, particularly with the NOTCH3 pathway (</w:t>
      </w:r>
      <w:r>
        <w:rPr>
          <w:b/>
        </w:rPr>
        <w:t>Supplementary Fig. S3D</w:t>
      </w:r>
      <w:r>
        <w:t>)</w:t>
      </w:r>
      <w:r w:rsidR="00A3461A">
        <w:t>,</w:t>
      </w:r>
      <w:r w:rsidR="00A3461A" w:rsidRPr="00A3461A">
        <w:t xml:space="preserve"> </w:t>
      </w:r>
      <w:r w:rsidR="00A3461A">
        <w:t>which suggests the interdependence between RUNX2 and other signature pathways.</w:t>
      </w:r>
      <w:r>
        <w:t xml:space="preserve"> For instance, three TFs (HEY1, HEY2, and HES1) were identified in both NOTCH3 and RUNX2 pathways and regulate osteoblast function</w:t>
      </w:r>
      <w:r w:rsidR="00C32D85">
        <w:fldChar w:fldCharType="begin"/>
      </w:r>
      <w:r w:rsidR="003B593D">
        <w:instrText xml:space="preserve"> ADDIN ZOTERO_ITEM CSL_CITATION {"citationID":"XwLYahma","properties":{"formattedCitation":"\\super 45\\nosupersub{}","plainCitation":"45","noteIndex":0},"citationItems":[{"id":44,"uris":["http://zotero.org/users/local/JZClHNIm/items/WKDUGRKF","http://zotero.org/users/16227889/items/WKDUGRKF"],"itemData":{"id":44,"type":"article-journal","abstract":"Postnatal bone marrow houses mesenchymal progenitor cells that are osteoblast precursors. These cells have established therapeutic potential, but they are difficult to maintain and expand in vitro, presumably because little is known about the mechanisms controlling their fate decisions. To investigate the potential role of Notch signaling in osteoblastogenesis, we used conditional alleles to genetically remove components of the Notch signaling system during skeletal development. We found that disruption of Notch signaling in the limb skeletogenic mesenchyme markedly increased trabecular bone mass in adolescent mice. Notably, mesenchymal progenitors were undetectable in the bone marrow of mice with high bone mass. As a result, these mice developed severe osteopenia as they aged. Moreover, Notch signaling seemed to inhibit osteoblast differentiation through Hes or Hey proteins, which diminished Runx2 transcriptional activity via physical interaction. These results support a model wherein Notch signaling in bone marrow normally acts to maintain a pool of mesenchymal progenitors by suppressing osteoblast differentiation. Thus, mesenchymal progenitors may be expanded in vitro by activating the Notch pathway, whereas bone formation in vivo may be enhanced by transiently suppressing this pathway.","container-title":"Nat. Med.","issue":"3","language":"en","note":"publisher: Nature Publishing Group","page":"306–314","title":"Notch signaling maintains bone marrow mesenchymal progenitors by suppressing osteoblast differentiation","volume":"14","author":[{"family":"Hilton","given":"Matthew J"},{"family":"Tu","given":"Xiaolin"},{"family":"Wu","given":"Ximei"},{"family":"Bai","given":"Shuting"},{"family":"Zhao","given":"Haibo"},{"family":"Kobayashi","given":"Tatsuya"},{"family":"Kronenberg","given":"Henry M"},{"family":"Teitelbaum","given":"Steven L"},{"family":"Ross","given":"F Patrick"},{"family":"Kopan","given":"Raphael"},{"family":"Long","given":"Fanxin"}],"issued":{"date-parts":[["2008",2]]}}}],"schema":"https://github.com/citation-style-language/schema/raw/master/csl-citation.json"} </w:instrText>
      </w:r>
      <w:r w:rsidR="00C32D85">
        <w:fldChar w:fldCharType="separate"/>
      </w:r>
      <w:r w:rsidR="00C32D85" w:rsidRPr="003E257F">
        <w:rPr>
          <w:vertAlign w:val="superscript"/>
        </w:rPr>
        <w:t>45</w:t>
      </w:r>
      <w:r w:rsidR="00C32D85">
        <w:fldChar w:fldCharType="end"/>
      </w:r>
      <w:r>
        <w:t>. NOTCH genes and signaling also play a critical role in the differentiation of synovial fibroblasts into pathogenic cells</w:t>
      </w:r>
      <w:r w:rsidR="00C32D85">
        <w:fldChar w:fldCharType="begin"/>
      </w:r>
      <w:r w:rsidR="003B593D">
        <w:instrText xml:space="preserve"> ADDIN ZOTERO_ITEM CSL_CITATION {"citationID":"N5RWF4O4","properties":{"formattedCitation":"\\super 46\\nosupersub{}","plainCitation":"46","noteIndex":0},"citationItems":[{"id":34,"uris":["http://zotero.org/users/local/JZClHNIm/items/P84E6TX2","http://zotero.org/users/16227889/items/P84E6TX2"],"itemData":{"id":34,"type":"article-journal","abstract":"The synovium is a mesenchymal tissue composed mainly of fibroblasts with a lining and sublining that surrounds the joints. In rheumatoid arthritis (RA), the synovial tissue undergoes marked hyperplasia, becomes inflamed and invasive and destroys the joint[,] ...","container-title":"Nature","issue":"7811","language":"en","note":"publisher: NIH Public Access","page":"259–264","title":"Notch signaling drives synovial fibroblast identity and arthritis pathology","volume":"582","author":[{"family":"Wei","given":"Kevin"},{"family":"Korsunsky","given":"Ilya"},{"family":"Marshall","given":"Jennifer L"},{"family":"Gao","given":"Anqi"},{"family":"Watts","given":"Gerald F M"},{"family":"Major","given":"Triin"},{"family":"Croft","given":"Adam P"},{"family":"Watts","given":"Jordan"},{"family":"Blazar","given":"Philip"},{"family":"Lange","given":"Jeffrey"},{"family":"Thornhill","given":"Thomas"},{"family":"Filer","given":"Andrew"},{"family":"Raza","given":"Karim"},{"family":"Donlin","given":"Laura T"},{"literal":"Accelerating Medicines Partnership Rheumatoid arthritis and Systemic Lupus Erythematosus (AMP RA/SLE) Consortium"},{"family":"Siebel","given":"Christian W"},{"family":"Buckley","given":"Christopher D"},{"family":"Raychaudhuri","given":"Soumya"},{"family":"Brenner","given":"Michael B"}],"issued":{"date-parts":[["2020",6]]}}}],"schema":"https://github.com/citation-style-language/schema/raw/master/csl-citation.json"} </w:instrText>
      </w:r>
      <w:r w:rsidR="00C32D85">
        <w:fldChar w:fldCharType="separate"/>
      </w:r>
      <w:r w:rsidR="00C32D85" w:rsidRPr="003E257F">
        <w:rPr>
          <w:vertAlign w:val="superscript"/>
        </w:rPr>
        <w:t>46</w:t>
      </w:r>
      <w:r w:rsidR="00C32D85">
        <w:fldChar w:fldCharType="end"/>
      </w:r>
      <w:r>
        <w:t xml:space="preserve">. </w:t>
      </w:r>
    </w:p>
    <w:p w14:paraId="0AC81048" w14:textId="77777777" w:rsidR="006F371C" w:rsidRDefault="006F371C">
      <w:pPr>
        <w:spacing w:line="360" w:lineRule="auto"/>
      </w:pPr>
    </w:p>
    <w:p w14:paraId="38254564" w14:textId="2FC470EA" w:rsidR="006F371C" w:rsidRDefault="003C3B5E">
      <w:pPr>
        <w:spacing w:line="360" w:lineRule="auto"/>
      </w:pPr>
      <w:r>
        <w:rPr>
          <w:i/>
        </w:rPr>
        <w:t xml:space="preserve">YAP1 pathway. </w:t>
      </w:r>
      <w:r>
        <w:t>Recent evidence suggests a critical regulatory role of the Hippo pathway in the RA pathogenesis. As one of the key components, YAP promotes the localization of SMAD3 in RA fibroblast-like synoviocytes and enhances aggressiveness</w:t>
      </w:r>
      <w:r w:rsidR="00C32D85">
        <w:fldChar w:fldCharType="begin"/>
      </w:r>
      <w:r w:rsidR="003B593D">
        <w:instrText xml:space="preserve"> ADDIN ZOTERO_ITEM CSL_CITATION {"citationID":"jklCZYBt","properties":{"formattedCitation":"\\super 47\\nosupersub{}","plainCitation":"47","noteIndex":0},"citationItems":[{"id":57,"uris":["http://zotero.org/users/local/JZClHNIm/items/TAA5V6MR","http://zotero.org/users/16227889/items/TAA5V6MR"],"itemData":{"id":57,"type":"article-journal","abstract":"OBJECTIVE: We aimed to understand the role of the tyrosine phosphatase PTPN14-which in cancer cells modulates the Hippo pathway by retaining YAP in the cytosol-in fibroblast-like synoviocytes (FLS) from patients with rheumatoid arthritis (RA). METHODS: Gene/protein expression levels were measured by quantitative PCR and/or Western blotting. Gene knockdown in RA FLS was achieved using antisense oligonucleotides. The interaction between PTPN14 and YAP was assessed by immunoprecipitation. The cellular localisation of YAP and SMAD3 was examined via immunofluorescence. SMAD reporter studies were carried out in HEK293T cells. The RA FLS/cartilage coimplantation and passive K/BxN models were used to examine the role of YAP in arthritis. RESULTS: RA FLS displayed overexpression of PTPN14 when compared with FLS from patients with osteoarthritis (OA). PTPN14 knockdown in RA FLS impaired TGFβ-dependent expression of MMP13 and potentiation of TNF signalling. In RA FLS, PTPN14 formed a complex with YAP. Expression of PTPN14 or nuclear YAP-but not of a non-YAP-interacting PTPN14 mutant-enhanced SMAD reporter activity. YAP promoted TGFβ-dependent SMAD3 nuclear localisation in RA FLS. Differences in epigenetic marks within Hippo pathway genes, including YAP, were found between RA FLS and OA FLS. Inhibition of YAP reduced RA FLS pathogenic behaviour and ameliorated arthritis severity. CONCLUSION: In RA FLS, PTPN14 and YAP promote nuclear localisation of SMAD3. YAP enhances a range of RA FLS pathogenic behaviours which, together with epigenetic evidence, points to the Hippo pathway as an important regulator of RA FLS behaviour.","container-title":"Ann. Rheum. Dis.","issue":"5","language":"en","page":"600–609","title":"PTPN14 phosphatase and YAP promote TGFβ signalling in rheumatoid synoviocytes","volume":"78","author":[{"family":"Bottini","given":"Angel"},{"family":"Wu","given":"Dennis J"},{"family":"Ai","given":"Rizi"},{"family":"Le Roux","given":"Michelle"},{"family":"Bartok","given":"Beatrix"},{"family":"Bombardieri","given":"Michele"},{"family":"Doody","given":"Karen M"},{"family":"Zhang","given":"Vida"},{"family":"Sacchetti","given":"Cristiano"},{"family":"Zoccheddu","given":"Martina"},{"family":"Lonic","given":"Ana"},{"family":"Li","given":"Xiaochun"},{"family":"Boyle","given":"David L"},{"family":"Hammaker","given":"Deepa"},{"family":"Meng","given":"Tzu-Ching"},{"family":"Liu","given":"Lin"},{"family":"Corr","given":"Maripat"},{"family":"Stanford","given":"Stephanie M"},{"family":"Lewis","given":"Myles"},{"family":"Wang","given":"Wei"},{"family":"Firestein","given":"Gary S"},{"family":"Khew-Goodall","given":"Yeesim"},{"family":"Pitzalis","given":"Costantino"},{"family":"Bottini","given":"Nunzio"}],"issued":{"date-parts":[["2019",5]]}}}],"schema":"https://github.com/citation-style-language/schema/raw/master/csl-citation.json"} </w:instrText>
      </w:r>
      <w:r w:rsidR="00C32D85">
        <w:fldChar w:fldCharType="separate"/>
      </w:r>
      <w:r w:rsidR="00C32D85" w:rsidRPr="003E257F">
        <w:rPr>
          <w:vertAlign w:val="superscript"/>
        </w:rPr>
        <w:t>47</w:t>
      </w:r>
      <w:r w:rsidR="00C32D85">
        <w:fldChar w:fldCharType="end"/>
      </w:r>
      <w:r>
        <w:t>. Unlike RUNX2 and NOTCH3 pathways, YAP1 pathway did not share any TFs with other signature pathways (</w:t>
      </w:r>
      <w:r>
        <w:rPr>
          <w:b/>
        </w:rPr>
        <w:t>Supplementary Fig. S3D</w:t>
      </w:r>
      <w:r>
        <w:t>). Multiple TEAD family members were also identified as important in the YAP1/TAZ pathway by binding and promoting gene expression. Previous studies indicate that inhibiting YAP-TEAD interaction reduces RA synoviocytes invasion</w:t>
      </w:r>
      <w:r w:rsidR="00C32D85">
        <w:fldChar w:fldCharType="begin"/>
      </w:r>
      <w:r w:rsidR="003B593D">
        <w:instrText xml:space="preserve"> ADDIN ZOTERO_ITEM CSL_CITATION {"citationID":"P1UZG6xi","properties":{"formattedCitation":"\\super 20\\nosupersub{}","plainCitation":"20","noteIndex":0},"citationItems":[{"id":39,"uris":["http://zotero.org/users/local/JZClHNIm/items/H3Q8FSVD","http://zotero.org/users/16227889/items/H3Q8FSVD"],"itemData":{"id":39,"type":"article-journal","abstract":"The role of YAP/TAZ, two transcriptional co-activators involved in several cancers, was investigated in rheumatoid arthritis (RA).Fibroblast like synoviocytes (FLS) from patients with RA or osteoarthritis were cultured in 2D or into 3D synovial organoids. ...","container-title":"Front. Immunol.","language":"en","note":"publisher: Frontiers Media SA","page":"791907","title":"YAP/TAZ: Key Players for Rheumatoid Arthritis Severity by Driving Fibroblast Like Synoviocytes Phenotype and Fibro-Inflammatory Response","volume":"12","author":[{"family":"Caire","given":"Robin"},{"family":"Audoux","given":"Estelle"},{"family":"Courbon","given":"Guillaume"},{"family":"Michaud","given":"Eva"},{"family":"Petit","given":"Claudie"},{"family":"Dalix","given":"Elisa"},{"family":"Chafchafi","given":"Marwa"},{"family":"Thomas","given":"Mireille"},{"family":"Vanden-Bossche","given":"Arnaud"},{"family":"Navarro","given":"Laurent"},{"family":"Linossier","given":"Marie-Thérèse"},{"family":"Peyroche","given":"Sylvie"},{"family":"Guignandon","given":"Alain"},{"family":"Vico","given":"Laurence"},{"family":"Paul","given":"Stephane"},{"family":"Marotte","given":"Hubert"}],"issued":{"date-parts":[["2021"]]}}}],"schema":"https://github.com/citation-style-language/schema/raw/master/csl-citation.json"} </w:instrText>
      </w:r>
      <w:r w:rsidR="00C32D85">
        <w:fldChar w:fldCharType="separate"/>
      </w:r>
      <w:r w:rsidR="00D17F1E" w:rsidRPr="003E257F">
        <w:rPr>
          <w:vertAlign w:val="superscript"/>
        </w:rPr>
        <w:t>20</w:t>
      </w:r>
      <w:r w:rsidR="00C32D85">
        <w:fldChar w:fldCharType="end"/>
      </w:r>
      <w:r>
        <w:t>.</w:t>
      </w:r>
    </w:p>
    <w:p w14:paraId="08E3DFC1" w14:textId="77777777" w:rsidR="006F371C" w:rsidRDefault="006F371C">
      <w:pPr>
        <w:spacing w:line="360" w:lineRule="auto"/>
        <w:rPr>
          <w:i/>
        </w:rPr>
      </w:pPr>
    </w:p>
    <w:p w14:paraId="290B9B19" w14:textId="6AD8CDBB" w:rsidR="006F371C" w:rsidRDefault="003C3B5E">
      <w:pPr>
        <w:spacing w:line="360" w:lineRule="auto"/>
      </w:pPr>
      <w:r>
        <w:rPr>
          <w:i/>
        </w:rPr>
        <w:t>β-catenin pathway</w:t>
      </w:r>
      <w:r>
        <w:t>. Although only a few TFs were enriched in β-catenin pathways, many of the TFs including DLX3</w:t>
      </w:r>
      <w:r w:rsidR="00622E9E">
        <w:t xml:space="preserve">, </w:t>
      </w:r>
      <w:r w:rsidR="0019095E">
        <w:t>MEF2B</w:t>
      </w:r>
      <w:r>
        <w:t xml:space="preserve">, </w:t>
      </w:r>
      <w:r w:rsidR="007E5036">
        <w:t>POU</w:t>
      </w:r>
      <w:r w:rsidR="00622E9E">
        <w:t>3</w:t>
      </w:r>
      <w:r w:rsidR="007E5036">
        <w:t>F</w:t>
      </w:r>
      <w:r w:rsidR="00622E9E">
        <w:t>1</w:t>
      </w:r>
      <w:r>
        <w:t xml:space="preserve">, </w:t>
      </w:r>
      <w:r w:rsidR="007E5036">
        <w:t>RAX2</w:t>
      </w:r>
      <w:r>
        <w:t xml:space="preserve">, </w:t>
      </w:r>
      <w:r w:rsidR="007E5036">
        <w:t xml:space="preserve">TLX2 </w:t>
      </w:r>
      <w:r>
        <w:t>from different families had regulatees involved in β-catenin-related pathways (</w:t>
      </w:r>
      <w:r>
        <w:rPr>
          <w:b/>
        </w:rPr>
        <w:t>Supplementary Fig. S3B</w:t>
      </w:r>
      <w:r>
        <w:t>). For example, PAX4 regulates many functional genes including BCL9L, CARD11, AURKB, NR3C1, and BIRC2 that are significantly enriched in the signature pathways.</w:t>
      </w:r>
    </w:p>
    <w:p w14:paraId="3D49D976" w14:textId="77777777" w:rsidR="006F371C" w:rsidRDefault="006F371C">
      <w:pPr>
        <w:spacing w:line="360" w:lineRule="auto"/>
      </w:pPr>
    </w:p>
    <w:p w14:paraId="5528535D" w14:textId="1A5976F9" w:rsidR="006F371C" w:rsidRDefault="003C3B5E">
      <w:pPr>
        <w:spacing w:line="360" w:lineRule="auto"/>
      </w:pPr>
      <w:r>
        <w:t>Other pathways. Besides of the signature pathways which are well known to be involved in RA pathogenesis, we also found some novel pathways of potential interest in RA (</w:t>
      </w:r>
      <w:r>
        <w:rPr>
          <w:b/>
        </w:rPr>
        <w:t xml:space="preserve">Supplementary </w:t>
      </w:r>
      <w:r>
        <w:rPr>
          <w:b/>
        </w:rPr>
        <w:lastRenderedPageBreak/>
        <w:t xml:space="preserve">Table </w:t>
      </w:r>
      <w:r w:rsidR="00EB0147">
        <w:rPr>
          <w:b/>
        </w:rPr>
        <w:t>S</w:t>
      </w:r>
      <w:r>
        <w:rPr>
          <w:b/>
        </w:rPr>
        <w:t>10</w:t>
      </w:r>
      <w:r>
        <w:t xml:space="preserve">). For example, regulation of beta-cell development was ranked as one of the top G2-specific pathways, in which many TFs from HNF and NKX families are involved. Other examples are transcriptional regulation of pluripotent stem cells pathway and regulation of gene expression in </w:t>
      </w:r>
      <w:r w:rsidR="000A269E">
        <w:t>late-stage</w:t>
      </w:r>
      <w:r>
        <w:t xml:space="preserve"> pancreatic bud precursor cells pathway.</w:t>
      </w:r>
    </w:p>
    <w:p w14:paraId="07130C47" w14:textId="77777777" w:rsidR="006F371C" w:rsidRDefault="006F371C">
      <w:pPr>
        <w:spacing w:line="360" w:lineRule="auto"/>
      </w:pPr>
    </w:p>
    <w:p w14:paraId="7A383C26" w14:textId="10F07C0E" w:rsidR="006F371C" w:rsidRDefault="003C3B5E">
      <w:pPr>
        <w:spacing w:line="360" w:lineRule="auto"/>
      </w:pPr>
      <w:r>
        <w:t>G4 is significantly enriched in the CON cohort (32% higher in CON, p-value &lt; 0.0001; Chi-squared test) (</w:t>
      </w:r>
      <w:r>
        <w:rPr>
          <w:b/>
        </w:rPr>
        <w:t>Fig. 2C</w:t>
      </w:r>
      <w:r>
        <w:t>). β-catenin, Wnt, and RUNX related pathways were enriched in both G2 and G4 (</w:t>
      </w:r>
      <w:r>
        <w:rPr>
          <w:b/>
        </w:rPr>
        <w:t>Fig. 3E</w:t>
      </w:r>
      <w:r>
        <w:t>), suggesting potential multifaceted roles for specific signature pathways across different participant groups. However, the genes implicated in G4 were distinct from G2. For example, the former was enriched in the formation of the β-catenin:TCF transactivating complex while latter was associated with the deactivation of the β-catenin transactivating complex. This is consistent with the observations that Wnt/β-catenin signaling can exert either anti-inflammatory and proinflammatory functions depending on the context</w:t>
      </w:r>
      <w:r w:rsidR="00FB51B7">
        <w:fldChar w:fldCharType="begin"/>
      </w:r>
      <w:r w:rsidR="003B593D">
        <w:instrText xml:space="preserve"> ADDIN ZOTERO_ITEM CSL_CITATION {"citationID":"K6defiKk","properties":{"formattedCitation":"\\super 48\\nosupersub{}","plainCitation":"48","noteIndex":0},"citationItems":[{"id":51,"uris":["http://zotero.org/users/local/JZClHNIm/items/QEX4PW6P","http://zotero.org/users/16227889/items/QEX4PW6P"],"itemData":{"id":51,"type":"article-journal","abstract":"Besides its important role in embryonic development and homeostatic self-renewal in adult tissues, Wnt/β-catenin signaling exerts both anti-inflammatory and proinflammatory functions. This is, at least partially, due to either repressing or enhancing ...","container-title":"Front. Immunol.","language":"en","note":"publisher: Frontiers Media SA","page":"221254","title":"Crosstalk between Wnt/β-Catenin and NF-κB Signaling Pathway during Inflammation","volume":"7","author":[{"family":"Ma","given":"Bin"},{"family":"Hottiger","given":"Michael O"}],"issued":{"date-parts":[["2016"]]}}}],"schema":"https://github.com/citation-style-language/schema/raw/master/csl-citation.json"} </w:instrText>
      </w:r>
      <w:r w:rsidR="00FB51B7">
        <w:fldChar w:fldCharType="separate"/>
      </w:r>
      <w:r w:rsidR="00FB51B7" w:rsidRPr="003E257F">
        <w:rPr>
          <w:vertAlign w:val="superscript"/>
        </w:rPr>
        <w:t>48</w:t>
      </w:r>
      <w:r w:rsidR="00FB51B7">
        <w:fldChar w:fldCharType="end"/>
      </w:r>
      <w:r>
        <w:t>. Similarly, RUNX3, which is also a pathway associated with CON, is chondroprotective in preclinical models of arthritis</w:t>
      </w:r>
      <w:r w:rsidR="00FB51B7">
        <w:fldChar w:fldCharType="begin"/>
      </w:r>
      <w:r w:rsidR="003B593D">
        <w:instrText xml:space="preserve"> ADDIN ZOTERO_ITEM CSL_CITATION {"citationID":"GWeUYvRY","properties":{"formattedCitation":"\\super 49\\nosupersub{}","plainCitation":"49","noteIndex":0},"citationItems":[{"id":47,"uris":["http://zotero.org/users/local/JZClHNIm/items/BK47AF9T","http://zotero.org/users/16227889/items/BK47AF9T"],"itemData":{"id":47,"type":"article-journal","abstract":"The Runt-related transcription factor (Runx) family plays various roles in the homeostasis of cartilage. Here, we examined the role of Runx2 and Runx3 for osteoarthritis development in vivo and in vitro. Runx3-knockout mice exhibited accelerated osteoarthritis following surgical induction, accompanied by decreased expression of lubricin and aggrecan. Meanwhile, Runx2 conditional knockout mice showed biphasic phenotypes: heterozygous knockout inhibited osteoarthritis and decreased matrix metallopeptidase 13 (Mmp13) expression, while homozygous knockout of Runx2 accelerated osteoarthritis and reduced type II collagen (Col2a1) expression. Comprehensive transcriptional analyses revealed lubricin and aggrecan as transcriptional target genes of Runx3, and indicated that Runx2 sustained Col2a1 expression through an intron 6 enhancer when Sox9 was decreased. Intra-articular administration of Runx3 adenovirus ameliorated development of surgically induced osteoarthritis. Runx3 protects adult articular cartilage through extracellular matrix protein production under normal conditions, while Runx2 exerts both catabolic and anabolic effects under the inflammatory condition. Possible distinct contributions of Runx 2 and Runx3 in osteoarthritis have not been clarified. Nagata et al. show that Runx3 protects adult articular cartilage by extracellular matrix protein production in normal conditions, while Runx2 exerts both catabolic and anabolic effects during inflammation.","container-title":"Nat. Commun.","issue":"1","language":"en","note":"publisher: Nature Publishing Group","page":"6187","title":"Runx2 and Runx3 differentially regulate articular chondrocytes during surgically induced osteoarthritis development","volume":"13","author":[{"family":"Nagata","given":"Kosei"},{"family":"Hojo","given":"Hironori"},{"family":"Chang","given":"Song Ho"},{"family":"Okada","given":"Hiroyuki"},{"family":"Yano","given":"Fumiko"},{"family":"Chijimatsu","given":"Ryota"},{"family":"Omata","given":"Yasunori"},{"family":"Mori","given":"Daisuke"},{"family":"Makii","given":"Yuma"},{"family":"Kawata","given":"Manabu"},{"family":"Kaneko","given":"Taizo"},{"family":"Iwanaga","given":"Yasuhide"},{"family":"Nakamoto","given":"Hideki"},{"family":"Maenohara","given":"Yuji"},{"family":"Tachibana","given":"Naohiro"},{"family":"Ishikura","given":"Hisatoshi"},{"family":"Higuchi","given":"Junya"},{"family":"Taniguchi","given":"Yuki"},{"family":"Ohba","given":"Shinsuke"},{"family":"Chung","given":"Ung-Il"},{"family":"Tanaka","given":"Sakae"},{"family":"Saito","given":"Taku"}],"issued":{"date-parts":[["2022",10]]}}}],"schema":"https://github.com/citation-style-language/schema/raw/master/csl-citation.json"} </w:instrText>
      </w:r>
      <w:r w:rsidR="00FB51B7">
        <w:fldChar w:fldCharType="separate"/>
      </w:r>
      <w:r w:rsidR="00FB51B7" w:rsidRPr="003E257F">
        <w:rPr>
          <w:vertAlign w:val="superscript"/>
        </w:rPr>
        <w:t>49</w:t>
      </w:r>
      <w:r w:rsidR="00FB51B7">
        <w:fldChar w:fldCharType="end"/>
      </w:r>
      <w:r>
        <w:t xml:space="preserve">. </w:t>
      </w:r>
    </w:p>
    <w:p w14:paraId="5C7E358F" w14:textId="77777777" w:rsidR="006F371C" w:rsidRDefault="006F371C">
      <w:pPr>
        <w:widowControl w:val="0"/>
        <w:pBdr>
          <w:top w:val="nil"/>
          <w:left w:val="nil"/>
          <w:bottom w:val="nil"/>
          <w:right w:val="nil"/>
          <w:between w:val="nil"/>
        </w:pBdr>
        <w:spacing w:after="220" w:line="360" w:lineRule="auto"/>
      </w:pPr>
    </w:p>
    <w:p w14:paraId="70D99E11" w14:textId="77777777" w:rsidR="006F371C" w:rsidRDefault="006F371C">
      <w:pPr>
        <w:widowControl w:val="0"/>
        <w:pBdr>
          <w:top w:val="nil"/>
          <w:left w:val="nil"/>
          <w:bottom w:val="nil"/>
          <w:right w:val="nil"/>
          <w:between w:val="nil"/>
        </w:pBdr>
        <w:spacing w:line="360" w:lineRule="auto"/>
      </w:pPr>
    </w:p>
    <w:sectPr w:rsidR="006F371C">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DF1B51" w14:textId="77777777" w:rsidR="00D51F2F" w:rsidRDefault="00D51F2F" w:rsidP="005A51A8">
      <w:r>
        <w:separator/>
      </w:r>
    </w:p>
  </w:endnote>
  <w:endnote w:type="continuationSeparator" w:id="0">
    <w:p w14:paraId="05F39172" w14:textId="77777777" w:rsidR="00D51F2F" w:rsidRDefault="00D51F2F" w:rsidP="005A5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2608568D-2E62-42FD-B551-74938BE4C838}"/>
  </w:font>
  <w:font w:name="Cambria">
    <w:panose1 w:val="02040503050406030204"/>
    <w:charset w:val="00"/>
    <w:family w:val="roman"/>
    <w:pitch w:val="variable"/>
    <w:sig w:usb0="E00006FF" w:usb1="420024FF" w:usb2="02000000" w:usb3="00000000" w:csb0="0000019F" w:csb1="00000000"/>
    <w:embedRegular r:id="rId2" w:fontKey="{DE8F7B5A-E755-43BC-9F21-F49C199D72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D5F37A" w14:textId="77777777" w:rsidR="00D51F2F" w:rsidRDefault="00D51F2F" w:rsidP="005A51A8">
      <w:r>
        <w:separator/>
      </w:r>
    </w:p>
  </w:footnote>
  <w:footnote w:type="continuationSeparator" w:id="0">
    <w:p w14:paraId="2DF1682F" w14:textId="77777777" w:rsidR="00D51F2F" w:rsidRDefault="00D51F2F" w:rsidP="005A51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9110F"/>
    <w:multiLevelType w:val="multilevel"/>
    <w:tmpl w:val="58309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737309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371C"/>
    <w:rsid w:val="000038DD"/>
    <w:rsid w:val="00004982"/>
    <w:rsid w:val="00005881"/>
    <w:rsid w:val="0000690F"/>
    <w:rsid w:val="0001438D"/>
    <w:rsid w:val="000164EF"/>
    <w:rsid w:val="00023617"/>
    <w:rsid w:val="00023C9A"/>
    <w:rsid w:val="00033807"/>
    <w:rsid w:val="00037FBA"/>
    <w:rsid w:val="000514D7"/>
    <w:rsid w:val="00052455"/>
    <w:rsid w:val="00056ABD"/>
    <w:rsid w:val="00056C8F"/>
    <w:rsid w:val="000600F6"/>
    <w:rsid w:val="000669AE"/>
    <w:rsid w:val="0007077C"/>
    <w:rsid w:val="0007232A"/>
    <w:rsid w:val="000814DA"/>
    <w:rsid w:val="00083675"/>
    <w:rsid w:val="00086BD3"/>
    <w:rsid w:val="00086BF0"/>
    <w:rsid w:val="0009345C"/>
    <w:rsid w:val="00095304"/>
    <w:rsid w:val="0009542E"/>
    <w:rsid w:val="000A269E"/>
    <w:rsid w:val="000A2A29"/>
    <w:rsid w:val="000A53B9"/>
    <w:rsid w:val="000B3D7A"/>
    <w:rsid w:val="000B54A7"/>
    <w:rsid w:val="000B62C7"/>
    <w:rsid w:val="000B6F3C"/>
    <w:rsid w:val="000C0811"/>
    <w:rsid w:val="000D72BA"/>
    <w:rsid w:val="000E06FA"/>
    <w:rsid w:val="000E45FD"/>
    <w:rsid w:val="000E4C99"/>
    <w:rsid w:val="000E6ACF"/>
    <w:rsid w:val="000F696E"/>
    <w:rsid w:val="000F786E"/>
    <w:rsid w:val="001069F7"/>
    <w:rsid w:val="00110C19"/>
    <w:rsid w:val="0011364C"/>
    <w:rsid w:val="001160A5"/>
    <w:rsid w:val="00121988"/>
    <w:rsid w:val="00123658"/>
    <w:rsid w:val="00123F6E"/>
    <w:rsid w:val="00123FF4"/>
    <w:rsid w:val="0012644F"/>
    <w:rsid w:val="00127426"/>
    <w:rsid w:val="001311CD"/>
    <w:rsid w:val="001551DD"/>
    <w:rsid w:val="0015538C"/>
    <w:rsid w:val="00156C87"/>
    <w:rsid w:val="00161BD0"/>
    <w:rsid w:val="001620CE"/>
    <w:rsid w:val="00163669"/>
    <w:rsid w:val="00164243"/>
    <w:rsid w:val="00164603"/>
    <w:rsid w:val="00166BD0"/>
    <w:rsid w:val="0017077F"/>
    <w:rsid w:val="0017177C"/>
    <w:rsid w:val="00172542"/>
    <w:rsid w:val="001756A2"/>
    <w:rsid w:val="001844BA"/>
    <w:rsid w:val="001849D4"/>
    <w:rsid w:val="0019095E"/>
    <w:rsid w:val="00192ABB"/>
    <w:rsid w:val="001935A7"/>
    <w:rsid w:val="001961CD"/>
    <w:rsid w:val="00197BD2"/>
    <w:rsid w:val="001A1344"/>
    <w:rsid w:val="001A482D"/>
    <w:rsid w:val="001A5A76"/>
    <w:rsid w:val="001A6540"/>
    <w:rsid w:val="001B32D9"/>
    <w:rsid w:val="001B37C4"/>
    <w:rsid w:val="001B6A0B"/>
    <w:rsid w:val="001C0716"/>
    <w:rsid w:val="001C1C96"/>
    <w:rsid w:val="001C401D"/>
    <w:rsid w:val="001C451F"/>
    <w:rsid w:val="001D3C46"/>
    <w:rsid w:val="001D4CA1"/>
    <w:rsid w:val="001E2EB7"/>
    <w:rsid w:val="001E518D"/>
    <w:rsid w:val="001E5474"/>
    <w:rsid w:val="001E580D"/>
    <w:rsid w:val="001F0ACE"/>
    <w:rsid w:val="00202893"/>
    <w:rsid w:val="00206B57"/>
    <w:rsid w:val="00211769"/>
    <w:rsid w:val="002137C1"/>
    <w:rsid w:val="00215705"/>
    <w:rsid w:val="00216823"/>
    <w:rsid w:val="00220300"/>
    <w:rsid w:val="002229C0"/>
    <w:rsid w:val="00225ADD"/>
    <w:rsid w:val="00230D68"/>
    <w:rsid w:val="00231B3C"/>
    <w:rsid w:val="0023518D"/>
    <w:rsid w:val="00236B46"/>
    <w:rsid w:val="0024343B"/>
    <w:rsid w:val="00246D06"/>
    <w:rsid w:val="0025662A"/>
    <w:rsid w:val="00256718"/>
    <w:rsid w:val="00262DB8"/>
    <w:rsid w:val="00267030"/>
    <w:rsid w:val="00270B93"/>
    <w:rsid w:val="002716A1"/>
    <w:rsid w:val="00276D93"/>
    <w:rsid w:val="00284EBA"/>
    <w:rsid w:val="00287E31"/>
    <w:rsid w:val="00293382"/>
    <w:rsid w:val="002B4E90"/>
    <w:rsid w:val="002B7C8B"/>
    <w:rsid w:val="002C0F20"/>
    <w:rsid w:val="002C4F8D"/>
    <w:rsid w:val="002D18D0"/>
    <w:rsid w:val="002D1C00"/>
    <w:rsid w:val="002D30D1"/>
    <w:rsid w:val="002D5FDE"/>
    <w:rsid w:val="002D77B8"/>
    <w:rsid w:val="002E0D02"/>
    <w:rsid w:val="002E4C95"/>
    <w:rsid w:val="002F28AD"/>
    <w:rsid w:val="00300096"/>
    <w:rsid w:val="00303F6C"/>
    <w:rsid w:val="0030526A"/>
    <w:rsid w:val="00314864"/>
    <w:rsid w:val="00335E7E"/>
    <w:rsid w:val="00336C3E"/>
    <w:rsid w:val="0034274A"/>
    <w:rsid w:val="00342C49"/>
    <w:rsid w:val="003431EB"/>
    <w:rsid w:val="00352EDD"/>
    <w:rsid w:val="00353E1C"/>
    <w:rsid w:val="00353EF8"/>
    <w:rsid w:val="00357C3A"/>
    <w:rsid w:val="00360AC8"/>
    <w:rsid w:val="003619EB"/>
    <w:rsid w:val="00361B0D"/>
    <w:rsid w:val="0038116C"/>
    <w:rsid w:val="003874E7"/>
    <w:rsid w:val="00391188"/>
    <w:rsid w:val="0039223E"/>
    <w:rsid w:val="00392AC8"/>
    <w:rsid w:val="00392CBF"/>
    <w:rsid w:val="00394320"/>
    <w:rsid w:val="00394ABE"/>
    <w:rsid w:val="003A17FE"/>
    <w:rsid w:val="003A3AF8"/>
    <w:rsid w:val="003A778D"/>
    <w:rsid w:val="003B1085"/>
    <w:rsid w:val="003B593D"/>
    <w:rsid w:val="003B69B6"/>
    <w:rsid w:val="003C1040"/>
    <w:rsid w:val="003C1ED9"/>
    <w:rsid w:val="003C2C79"/>
    <w:rsid w:val="003C3083"/>
    <w:rsid w:val="003C3B5E"/>
    <w:rsid w:val="003C4A10"/>
    <w:rsid w:val="003D4EE9"/>
    <w:rsid w:val="003D6F6B"/>
    <w:rsid w:val="003D70CC"/>
    <w:rsid w:val="003E0039"/>
    <w:rsid w:val="003E1D94"/>
    <w:rsid w:val="003E257F"/>
    <w:rsid w:val="003E28E9"/>
    <w:rsid w:val="003E6E6A"/>
    <w:rsid w:val="003F09FB"/>
    <w:rsid w:val="003F5B5F"/>
    <w:rsid w:val="003F610E"/>
    <w:rsid w:val="003F6700"/>
    <w:rsid w:val="0040609E"/>
    <w:rsid w:val="004112E3"/>
    <w:rsid w:val="00413688"/>
    <w:rsid w:val="00414B33"/>
    <w:rsid w:val="00430320"/>
    <w:rsid w:val="00431887"/>
    <w:rsid w:val="004565A3"/>
    <w:rsid w:val="004569C3"/>
    <w:rsid w:val="00463C35"/>
    <w:rsid w:val="004651A0"/>
    <w:rsid w:val="00465BFF"/>
    <w:rsid w:val="004703C5"/>
    <w:rsid w:val="0047793C"/>
    <w:rsid w:val="0048179E"/>
    <w:rsid w:val="004938C9"/>
    <w:rsid w:val="00494E06"/>
    <w:rsid w:val="00497B3F"/>
    <w:rsid w:val="004A2981"/>
    <w:rsid w:val="004A5360"/>
    <w:rsid w:val="004B5833"/>
    <w:rsid w:val="004C19B7"/>
    <w:rsid w:val="004C7FEA"/>
    <w:rsid w:val="004D1999"/>
    <w:rsid w:val="004D2899"/>
    <w:rsid w:val="004D6536"/>
    <w:rsid w:val="004E3172"/>
    <w:rsid w:val="004E33C4"/>
    <w:rsid w:val="004E4798"/>
    <w:rsid w:val="004F550E"/>
    <w:rsid w:val="004F60B5"/>
    <w:rsid w:val="004F643B"/>
    <w:rsid w:val="005017CC"/>
    <w:rsid w:val="00501E09"/>
    <w:rsid w:val="00503BA7"/>
    <w:rsid w:val="00504AC3"/>
    <w:rsid w:val="00513CB4"/>
    <w:rsid w:val="00516CEF"/>
    <w:rsid w:val="005342D2"/>
    <w:rsid w:val="0053535B"/>
    <w:rsid w:val="0054024E"/>
    <w:rsid w:val="00541276"/>
    <w:rsid w:val="005415A3"/>
    <w:rsid w:val="00541B09"/>
    <w:rsid w:val="0054566D"/>
    <w:rsid w:val="00547279"/>
    <w:rsid w:val="00547881"/>
    <w:rsid w:val="00547D65"/>
    <w:rsid w:val="0055182D"/>
    <w:rsid w:val="00556048"/>
    <w:rsid w:val="0056048E"/>
    <w:rsid w:val="005629AA"/>
    <w:rsid w:val="005759AC"/>
    <w:rsid w:val="00576C26"/>
    <w:rsid w:val="005857EC"/>
    <w:rsid w:val="00592B79"/>
    <w:rsid w:val="005A3B66"/>
    <w:rsid w:val="005A51A8"/>
    <w:rsid w:val="005B14F4"/>
    <w:rsid w:val="005B3D3A"/>
    <w:rsid w:val="005B412C"/>
    <w:rsid w:val="005B6382"/>
    <w:rsid w:val="005D2D15"/>
    <w:rsid w:val="005E0738"/>
    <w:rsid w:val="005F077D"/>
    <w:rsid w:val="005F12D8"/>
    <w:rsid w:val="00603E6A"/>
    <w:rsid w:val="00606F04"/>
    <w:rsid w:val="00610A8F"/>
    <w:rsid w:val="00622E9E"/>
    <w:rsid w:val="00625BB0"/>
    <w:rsid w:val="00627B09"/>
    <w:rsid w:val="00635001"/>
    <w:rsid w:val="0063653F"/>
    <w:rsid w:val="00636CB1"/>
    <w:rsid w:val="00637755"/>
    <w:rsid w:val="00642FE2"/>
    <w:rsid w:val="0065755E"/>
    <w:rsid w:val="00662018"/>
    <w:rsid w:val="00663585"/>
    <w:rsid w:val="006637C1"/>
    <w:rsid w:val="006647A1"/>
    <w:rsid w:val="00667487"/>
    <w:rsid w:val="00672015"/>
    <w:rsid w:val="00672E2F"/>
    <w:rsid w:val="00674534"/>
    <w:rsid w:val="0067693C"/>
    <w:rsid w:val="00676C7B"/>
    <w:rsid w:val="00684BAF"/>
    <w:rsid w:val="00693AB0"/>
    <w:rsid w:val="00694038"/>
    <w:rsid w:val="00697D48"/>
    <w:rsid w:val="006A5F0F"/>
    <w:rsid w:val="006A796D"/>
    <w:rsid w:val="006B2FCA"/>
    <w:rsid w:val="006B60DE"/>
    <w:rsid w:val="006C6707"/>
    <w:rsid w:val="006C68C6"/>
    <w:rsid w:val="006C6F90"/>
    <w:rsid w:val="006D6204"/>
    <w:rsid w:val="006E1706"/>
    <w:rsid w:val="006E2922"/>
    <w:rsid w:val="006E64C3"/>
    <w:rsid w:val="006E69A6"/>
    <w:rsid w:val="006F0C37"/>
    <w:rsid w:val="006F371C"/>
    <w:rsid w:val="006F590C"/>
    <w:rsid w:val="007016F7"/>
    <w:rsid w:val="00703681"/>
    <w:rsid w:val="007069CF"/>
    <w:rsid w:val="00720032"/>
    <w:rsid w:val="0072089A"/>
    <w:rsid w:val="00721125"/>
    <w:rsid w:val="007263FD"/>
    <w:rsid w:val="0073177A"/>
    <w:rsid w:val="00733F1E"/>
    <w:rsid w:val="007460FF"/>
    <w:rsid w:val="00751031"/>
    <w:rsid w:val="007518F7"/>
    <w:rsid w:val="00763F8A"/>
    <w:rsid w:val="00772955"/>
    <w:rsid w:val="00773B62"/>
    <w:rsid w:val="00777FD8"/>
    <w:rsid w:val="00784928"/>
    <w:rsid w:val="007864B7"/>
    <w:rsid w:val="007876CC"/>
    <w:rsid w:val="00791D30"/>
    <w:rsid w:val="00791FC0"/>
    <w:rsid w:val="007977F1"/>
    <w:rsid w:val="007A6DC2"/>
    <w:rsid w:val="007A7049"/>
    <w:rsid w:val="007A7CE8"/>
    <w:rsid w:val="007B024B"/>
    <w:rsid w:val="007B1A75"/>
    <w:rsid w:val="007C4D47"/>
    <w:rsid w:val="007C5DCD"/>
    <w:rsid w:val="007E1651"/>
    <w:rsid w:val="007E4223"/>
    <w:rsid w:val="007E5036"/>
    <w:rsid w:val="007F4760"/>
    <w:rsid w:val="007F6E92"/>
    <w:rsid w:val="00803599"/>
    <w:rsid w:val="00813552"/>
    <w:rsid w:val="00820DDD"/>
    <w:rsid w:val="00836423"/>
    <w:rsid w:val="00842320"/>
    <w:rsid w:val="008437FD"/>
    <w:rsid w:val="00845243"/>
    <w:rsid w:val="00853CFD"/>
    <w:rsid w:val="0085526D"/>
    <w:rsid w:val="008560C2"/>
    <w:rsid w:val="008575D9"/>
    <w:rsid w:val="00865CD9"/>
    <w:rsid w:val="0088073F"/>
    <w:rsid w:val="008821CA"/>
    <w:rsid w:val="00882BC7"/>
    <w:rsid w:val="00882C52"/>
    <w:rsid w:val="008917D2"/>
    <w:rsid w:val="008930EA"/>
    <w:rsid w:val="00896E45"/>
    <w:rsid w:val="008A2957"/>
    <w:rsid w:val="008A4730"/>
    <w:rsid w:val="008B3B88"/>
    <w:rsid w:val="008D1F32"/>
    <w:rsid w:val="008D555F"/>
    <w:rsid w:val="008E0FA8"/>
    <w:rsid w:val="008E153A"/>
    <w:rsid w:val="008E2937"/>
    <w:rsid w:val="008E3A08"/>
    <w:rsid w:val="008E3BBE"/>
    <w:rsid w:val="008E3C12"/>
    <w:rsid w:val="008E4146"/>
    <w:rsid w:val="008E7785"/>
    <w:rsid w:val="008F35FF"/>
    <w:rsid w:val="008F5935"/>
    <w:rsid w:val="008F682E"/>
    <w:rsid w:val="008F7FF0"/>
    <w:rsid w:val="00902E14"/>
    <w:rsid w:val="009042C7"/>
    <w:rsid w:val="00907F5C"/>
    <w:rsid w:val="00916012"/>
    <w:rsid w:val="00917391"/>
    <w:rsid w:val="009177A5"/>
    <w:rsid w:val="00921139"/>
    <w:rsid w:val="0092769D"/>
    <w:rsid w:val="009329C5"/>
    <w:rsid w:val="00936537"/>
    <w:rsid w:val="009376DF"/>
    <w:rsid w:val="009402AF"/>
    <w:rsid w:val="00941FD9"/>
    <w:rsid w:val="009429F5"/>
    <w:rsid w:val="00946EFC"/>
    <w:rsid w:val="00952F92"/>
    <w:rsid w:val="009563EF"/>
    <w:rsid w:val="00957898"/>
    <w:rsid w:val="00971E50"/>
    <w:rsid w:val="00987AEB"/>
    <w:rsid w:val="0099498B"/>
    <w:rsid w:val="009A0DFA"/>
    <w:rsid w:val="009A1309"/>
    <w:rsid w:val="009A15E2"/>
    <w:rsid w:val="009A39C6"/>
    <w:rsid w:val="009B4CA2"/>
    <w:rsid w:val="009B7A8B"/>
    <w:rsid w:val="009C3226"/>
    <w:rsid w:val="009C71E7"/>
    <w:rsid w:val="009C7FF2"/>
    <w:rsid w:val="009D0A11"/>
    <w:rsid w:val="009D21A0"/>
    <w:rsid w:val="009D7080"/>
    <w:rsid w:val="009E416F"/>
    <w:rsid w:val="009E7968"/>
    <w:rsid w:val="009F56B7"/>
    <w:rsid w:val="009F5955"/>
    <w:rsid w:val="009F72D6"/>
    <w:rsid w:val="009F7FA3"/>
    <w:rsid w:val="00A00F47"/>
    <w:rsid w:val="00A022CD"/>
    <w:rsid w:val="00A02BB1"/>
    <w:rsid w:val="00A04E1E"/>
    <w:rsid w:val="00A0722A"/>
    <w:rsid w:val="00A1035F"/>
    <w:rsid w:val="00A11130"/>
    <w:rsid w:val="00A12AB3"/>
    <w:rsid w:val="00A15B06"/>
    <w:rsid w:val="00A2091F"/>
    <w:rsid w:val="00A22D79"/>
    <w:rsid w:val="00A3461A"/>
    <w:rsid w:val="00A4229E"/>
    <w:rsid w:val="00A51581"/>
    <w:rsid w:val="00A51745"/>
    <w:rsid w:val="00A53A28"/>
    <w:rsid w:val="00A63137"/>
    <w:rsid w:val="00A636E9"/>
    <w:rsid w:val="00A6639A"/>
    <w:rsid w:val="00A775E4"/>
    <w:rsid w:val="00A77CA2"/>
    <w:rsid w:val="00A817F5"/>
    <w:rsid w:val="00A8511F"/>
    <w:rsid w:val="00A86870"/>
    <w:rsid w:val="00A90C86"/>
    <w:rsid w:val="00A92483"/>
    <w:rsid w:val="00A928E5"/>
    <w:rsid w:val="00A9456B"/>
    <w:rsid w:val="00AA15D7"/>
    <w:rsid w:val="00AB5A20"/>
    <w:rsid w:val="00AC2031"/>
    <w:rsid w:val="00AD0CA7"/>
    <w:rsid w:val="00AD1BF4"/>
    <w:rsid w:val="00AD2490"/>
    <w:rsid w:val="00AD6475"/>
    <w:rsid w:val="00AE04D3"/>
    <w:rsid w:val="00AE18B2"/>
    <w:rsid w:val="00AE2274"/>
    <w:rsid w:val="00AE70E2"/>
    <w:rsid w:val="00AF05CD"/>
    <w:rsid w:val="00AF5BED"/>
    <w:rsid w:val="00B04759"/>
    <w:rsid w:val="00B12D7D"/>
    <w:rsid w:val="00B13D73"/>
    <w:rsid w:val="00B141F4"/>
    <w:rsid w:val="00B170A5"/>
    <w:rsid w:val="00B20934"/>
    <w:rsid w:val="00B23D3B"/>
    <w:rsid w:val="00B25FBF"/>
    <w:rsid w:val="00B31C27"/>
    <w:rsid w:val="00B31F22"/>
    <w:rsid w:val="00B320F5"/>
    <w:rsid w:val="00B37EDC"/>
    <w:rsid w:val="00B41978"/>
    <w:rsid w:val="00B43BF0"/>
    <w:rsid w:val="00B47747"/>
    <w:rsid w:val="00B51451"/>
    <w:rsid w:val="00B51CEC"/>
    <w:rsid w:val="00B54E06"/>
    <w:rsid w:val="00B60685"/>
    <w:rsid w:val="00B60CAC"/>
    <w:rsid w:val="00B637BB"/>
    <w:rsid w:val="00B66D91"/>
    <w:rsid w:val="00B7175A"/>
    <w:rsid w:val="00B73553"/>
    <w:rsid w:val="00B741C7"/>
    <w:rsid w:val="00B74928"/>
    <w:rsid w:val="00B97198"/>
    <w:rsid w:val="00BA0960"/>
    <w:rsid w:val="00BA1347"/>
    <w:rsid w:val="00BA1E01"/>
    <w:rsid w:val="00BA6D4B"/>
    <w:rsid w:val="00BB3DB7"/>
    <w:rsid w:val="00BC1431"/>
    <w:rsid w:val="00BC70B9"/>
    <w:rsid w:val="00BE3858"/>
    <w:rsid w:val="00BE7077"/>
    <w:rsid w:val="00BF1233"/>
    <w:rsid w:val="00C00C15"/>
    <w:rsid w:val="00C010B6"/>
    <w:rsid w:val="00C021B1"/>
    <w:rsid w:val="00C14AA1"/>
    <w:rsid w:val="00C203B0"/>
    <w:rsid w:val="00C2220E"/>
    <w:rsid w:val="00C307DD"/>
    <w:rsid w:val="00C30CD2"/>
    <w:rsid w:val="00C31151"/>
    <w:rsid w:val="00C32D85"/>
    <w:rsid w:val="00C33327"/>
    <w:rsid w:val="00C404BC"/>
    <w:rsid w:val="00C40D92"/>
    <w:rsid w:val="00C45555"/>
    <w:rsid w:val="00C46C4E"/>
    <w:rsid w:val="00C47918"/>
    <w:rsid w:val="00C52475"/>
    <w:rsid w:val="00C5367A"/>
    <w:rsid w:val="00C60189"/>
    <w:rsid w:val="00C7064F"/>
    <w:rsid w:val="00C76E4C"/>
    <w:rsid w:val="00C923C0"/>
    <w:rsid w:val="00C925CB"/>
    <w:rsid w:val="00C95424"/>
    <w:rsid w:val="00CA1886"/>
    <w:rsid w:val="00CA6BF3"/>
    <w:rsid w:val="00CA71B2"/>
    <w:rsid w:val="00CB6BA0"/>
    <w:rsid w:val="00CC0E0A"/>
    <w:rsid w:val="00CC1836"/>
    <w:rsid w:val="00CD1BA9"/>
    <w:rsid w:val="00CE4E1E"/>
    <w:rsid w:val="00D0002C"/>
    <w:rsid w:val="00D00679"/>
    <w:rsid w:val="00D00722"/>
    <w:rsid w:val="00D03CEB"/>
    <w:rsid w:val="00D07CA3"/>
    <w:rsid w:val="00D11E70"/>
    <w:rsid w:val="00D17F1E"/>
    <w:rsid w:val="00D232EF"/>
    <w:rsid w:val="00D24575"/>
    <w:rsid w:val="00D262D3"/>
    <w:rsid w:val="00D26301"/>
    <w:rsid w:val="00D264BC"/>
    <w:rsid w:val="00D26D6B"/>
    <w:rsid w:val="00D365CA"/>
    <w:rsid w:val="00D3770D"/>
    <w:rsid w:val="00D43EEA"/>
    <w:rsid w:val="00D45960"/>
    <w:rsid w:val="00D50C6B"/>
    <w:rsid w:val="00D5128F"/>
    <w:rsid w:val="00D51F2F"/>
    <w:rsid w:val="00D54C24"/>
    <w:rsid w:val="00D54C84"/>
    <w:rsid w:val="00D55F06"/>
    <w:rsid w:val="00D613FD"/>
    <w:rsid w:val="00D6201D"/>
    <w:rsid w:val="00D63CCB"/>
    <w:rsid w:val="00D63CDE"/>
    <w:rsid w:val="00D65050"/>
    <w:rsid w:val="00D70410"/>
    <w:rsid w:val="00D76426"/>
    <w:rsid w:val="00D80D9A"/>
    <w:rsid w:val="00D86815"/>
    <w:rsid w:val="00D9489D"/>
    <w:rsid w:val="00D97B49"/>
    <w:rsid w:val="00DA2665"/>
    <w:rsid w:val="00DA353B"/>
    <w:rsid w:val="00DB01A6"/>
    <w:rsid w:val="00DB0620"/>
    <w:rsid w:val="00DB7781"/>
    <w:rsid w:val="00DC1BA9"/>
    <w:rsid w:val="00DC3E0A"/>
    <w:rsid w:val="00DC49F1"/>
    <w:rsid w:val="00DD4229"/>
    <w:rsid w:val="00DD7962"/>
    <w:rsid w:val="00DE2C39"/>
    <w:rsid w:val="00DE74B8"/>
    <w:rsid w:val="00DF2890"/>
    <w:rsid w:val="00DF7C3C"/>
    <w:rsid w:val="00E0191E"/>
    <w:rsid w:val="00E118BB"/>
    <w:rsid w:val="00E15833"/>
    <w:rsid w:val="00E31312"/>
    <w:rsid w:val="00E354AC"/>
    <w:rsid w:val="00E35B63"/>
    <w:rsid w:val="00E437CD"/>
    <w:rsid w:val="00E438A7"/>
    <w:rsid w:val="00E44E24"/>
    <w:rsid w:val="00E46077"/>
    <w:rsid w:val="00E467A2"/>
    <w:rsid w:val="00E5471E"/>
    <w:rsid w:val="00E553E2"/>
    <w:rsid w:val="00E55C63"/>
    <w:rsid w:val="00E621E5"/>
    <w:rsid w:val="00E64953"/>
    <w:rsid w:val="00E65220"/>
    <w:rsid w:val="00E705C1"/>
    <w:rsid w:val="00E72B6E"/>
    <w:rsid w:val="00E74E3C"/>
    <w:rsid w:val="00E76B9A"/>
    <w:rsid w:val="00E7704B"/>
    <w:rsid w:val="00E84EAF"/>
    <w:rsid w:val="00E85757"/>
    <w:rsid w:val="00E92676"/>
    <w:rsid w:val="00E94C40"/>
    <w:rsid w:val="00E95110"/>
    <w:rsid w:val="00EB0147"/>
    <w:rsid w:val="00EB22B6"/>
    <w:rsid w:val="00EB2E0F"/>
    <w:rsid w:val="00EB697A"/>
    <w:rsid w:val="00EC0079"/>
    <w:rsid w:val="00EC0ABE"/>
    <w:rsid w:val="00EC2FB3"/>
    <w:rsid w:val="00EC3257"/>
    <w:rsid w:val="00EC7741"/>
    <w:rsid w:val="00ED29D4"/>
    <w:rsid w:val="00ED352A"/>
    <w:rsid w:val="00ED60C2"/>
    <w:rsid w:val="00EE0824"/>
    <w:rsid w:val="00EE3C50"/>
    <w:rsid w:val="00EF1416"/>
    <w:rsid w:val="00EF4064"/>
    <w:rsid w:val="00EF5903"/>
    <w:rsid w:val="00F01B4E"/>
    <w:rsid w:val="00F03122"/>
    <w:rsid w:val="00F1048E"/>
    <w:rsid w:val="00F117F6"/>
    <w:rsid w:val="00F139F8"/>
    <w:rsid w:val="00F221FA"/>
    <w:rsid w:val="00F27421"/>
    <w:rsid w:val="00F30A04"/>
    <w:rsid w:val="00F31A65"/>
    <w:rsid w:val="00F31E84"/>
    <w:rsid w:val="00F36E13"/>
    <w:rsid w:val="00F41E40"/>
    <w:rsid w:val="00F472AD"/>
    <w:rsid w:val="00F5356B"/>
    <w:rsid w:val="00F53E17"/>
    <w:rsid w:val="00F601E8"/>
    <w:rsid w:val="00F6055C"/>
    <w:rsid w:val="00F615E8"/>
    <w:rsid w:val="00F62ED0"/>
    <w:rsid w:val="00F6374F"/>
    <w:rsid w:val="00F7382E"/>
    <w:rsid w:val="00F76122"/>
    <w:rsid w:val="00FA25F1"/>
    <w:rsid w:val="00FA331D"/>
    <w:rsid w:val="00FB4CD7"/>
    <w:rsid w:val="00FB51B7"/>
    <w:rsid w:val="00FB77A4"/>
    <w:rsid w:val="00FD1434"/>
    <w:rsid w:val="00FD4B02"/>
    <w:rsid w:val="00FD5426"/>
    <w:rsid w:val="00FD6222"/>
    <w:rsid w:val="00FE3590"/>
    <w:rsid w:val="00FF4126"/>
    <w:rsid w:val="00FF45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7EED3"/>
  <w15:docId w15:val="{8C661C86-4000-E642-A07A-7D0F1FF8E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SimSun"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CB1"/>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40"/>
      <w:outlineLvl w:val="2"/>
    </w:pPr>
    <w:rPr>
      <w:b/>
    </w:rPr>
  </w:style>
  <w:style w:type="paragraph" w:styleId="Heading4">
    <w:name w:val="heading 4"/>
    <w:basedOn w:val="Normal"/>
    <w:next w:val="Normal"/>
    <w:uiPriority w:val="9"/>
    <w:unhideWhenUsed/>
    <w:qFormat/>
    <w:pPr>
      <w:keepNext/>
      <w:keepLines/>
      <w:spacing w:before="280" w:after="80"/>
      <w:outlineLvl w:val="3"/>
    </w:pPr>
    <w:rPr>
      <w:b/>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F53E17"/>
    <w:rPr>
      <w:color w:val="0000FF" w:themeColor="hyperlink"/>
      <w:u w:val="single"/>
    </w:rPr>
  </w:style>
  <w:style w:type="character" w:styleId="UnresolvedMention">
    <w:name w:val="Unresolved Mention"/>
    <w:basedOn w:val="DefaultParagraphFont"/>
    <w:uiPriority w:val="99"/>
    <w:semiHidden/>
    <w:unhideWhenUsed/>
    <w:rsid w:val="00F53E17"/>
    <w:rPr>
      <w:color w:val="605E5C"/>
      <w:shd w:val="clear" w:color="auto" w:fill="E1DFDD"/>
    </w:rPr>
  </w:style>
  <w:style w:type="paragraph" w:styleId="Header">
    <w:name w:val="header"/>
    <w:basedOn w:val="Normal"/>
    <w:link w:val="HeaderChar"/>
    <w:uiPriority w:val="99"/>
    <w:unhideWhenUsed/>
    <w:rsid w:val="005A51A8"/>
    <w:pPr>
      <w:tabs>
        <w:tab w:val="center" w:pos="4680"/>
        <w:tab w:val="right" w:pos="9360"/>
      </w:tabs>
    </w:pPr>
  </w:style>
  <w:style w:type="character" w:customStyle="1" w:styleId="HeaderChar">
    <w:name w:val="Header Char"/>
    <w:basedOn w:val="DefaultParagraphFont"/>
    <w:link w:val="Header"/>
    <w:uiPriority w:val="99"/>
    <w:rsid w:val="005A51A8"/>
  </w:style>
  <w:style w:type="paragraph" w:styleId="Footer">
    <w:name w:val="footer"/>
    <w:basedOn w:val="Normal"/>
    <w:link w:val="FooterChar"/>
    <w:uiPriority w:val="99"/>
    <w:unhideWhenUsed/>
    <w:rsid w:val="005A51A8"/>
    <w:pPr>
      <w:tabs>
        <w:tab w:val="center" w:pos="4680"/>
        <w:tab w:val="right" w:pos="9360"/>
      </w:tabs>
    </w:pPr>
  </w:style>
  <w:style w:type="character" w:customStyle="1" w:styleId="FooterChar">
    <w:name w:val="Footer Char"/>
    <w:basedOn w:val="DefaultParagraphFont"/>
    <w:link w:val="Footer"/>
    <w:uiPriority w:val="99"/>
    <w:rsid w:val="005A51A8"/>
  </w:style>
  <w:style w:type="paragraph" w:styleId="Revision">
    <w:name w:val="Revision"/>
    <w:hidden/>
    <w:uiPriority w:val="99"/>
    <w:semiHidden/>
    <w:rsid w:val="00AE18B2"/>
  </w:style>
  <w:style w:type="character" w:styleId="FollowedHyperlink">
    <w:name w:val="FollowedHyperlink"/>
    <w:basedOn w:val="DefaultParagraphFont"/>
    <w:uiPriority w:val="99"/>
    <w:semiHidden/>
    <w:unhideWhenUsed/>
    <w:rsid w:val="00D45960"/>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391188"/>
    <w:rPr>
      <w:b/>
      <w:bCs/>
    </w:rPr>
  </w:style>
  <w:style w:type="character" w:customStyle="1" w:styleId="CommentSubjectChar">
    <w:name w:val="Comment Subject Char"/>
    <w:basedOn w:val="CommentTextChar"/>
    <w:link w:val="CommentSubject"/>
    <w:uiPriority w:val="99"/>
    <w:semiHidden/>
    <w:rsid w:val="00391188"/>
    <w:rPr>
      <w:b/>
      <w:bCs/>
      <w:sz w:val="20"/>
      <w:szCs w:val="20"/>
    </w:rPr>
  </w:style>
  <w:style w:type="paragraph" w:styleId="Bibliography">
    <w:name w:val="Bibliography"/>
    <w:basedOn w:val="Normal"/>
    <w:next w:val="Normal"/>
    <w:uiPriority w:val="37"/>
    <w:unhideWhenUsed/>
    <w:rsid w:val="005415A3"/>
    <w:pPr>
      <w:tabs>
        <w:tab w:val="left" w:pos="380"/>
      </w:tabs>
      <w:spacing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83419">
      <w:bodyDiv w:val="1"/>
      <w:marLeft w:val="0"/>
      <w:marRight w:val="0"/>
      <w:marTop w:val="0"/>
      <w:marBottom w:val="0"/>
      <w:divBdr>
        <w:top w:val="none" w:sz="0" w:space="0" w:color="auto"/>
        <w:left w:val="none" w:sz="0" w:space="0" w:color="auto"/>
        <w:bottom w:val="none" w:sz="0" w:space="0" w:color="auto"/>
        <w:right w:val="none" w:sz="0" w:space="0" w:color="auto"/>
      </w:divBdr>
    </w:div>
    <w:div w:id="681318863">
      <w:bodyDiv w:val="1"/>
      <w:marLeft w:val="0"/>
      <w:marRight w:val="0"/>
      <w:marTop w:val="0"/>
      <w:marBottom w:val="0"/>
      <w:divBdr>
        <w:top w:val="none" w:sz="0" w:space="0" w:color="auto"/>
        <w:left w:val="none" w:sz="0" w:space="0" w:color="auto"/>
        <w:bottom w:val="none" w:sz="0" w:space="0" w:color="auto"/>
        <w:right w:val="none" w:sz="0" w:space="0" w:color="auto"/>
      </w:divBdr>
    </w:div>
    <w:div w:id="808978041">
      <w:bodyDiv w:val="1"/>
      <w:marLeft w:val="0"/>
      <w:marRight w:val="0"/>
      <w:marTop w:val="0"/>
      <w:marBottom w:val="0"/>
      <w:divBdr>
        <w:top w:val="none" w:sz="0" w:space="0" w:color="auto"/>
        <w:left w:val="none" w:sz="0" w:space="0" w:color="auto"/>
        <w:bottom w:val="none" w:sz="0" w:space="0" w:color="auto"/>
        <w:right w:val="none" w:sz="0" w:space="0" w:color="auto"/>
      </w:divBdr>
    </w:div>
    <w:div w:id="1491868204">
      <w:bodyDiv w:val="1"/>
      <w:marLeft w:val="0"/>
      <w:marRight w:val="0"/>
      <w:marTop w:val="0"/>
      <w:marBottom w:val="0"/>
      <w:divBdr>
        <w:top w:val="none" w:sz="0" w:space="0" w:color="auto"/>
        <w:left w:val="none" w:sz="0" w:space="0" w:color="auto"/>
        <w:bottom w:val="none" w:sz="0" w:space="0" w:color="auto"/>
        <w:right w:val="none" w:sz="0" w:space="0" w:color="auto"/>
      </w:divBdr>
    </w:div>
    <w:div w:id="1493138633">
      <w:bodyDiv w:val="1"/>
      <w:marLeft w:val="0"/>
      <w:marRight w:val="0"/>
      <w:marTop w:val="0"/>
      <w:marBottom w:val="0"/>
      <w:divBdr>
        <w:top w:val="none" w:sz="0" w:space="0" w:color="auto"/>
        <w:left w:val="none" w:sz="0" w:space="0" w:color="auto"/>
        <w:bottom w:val="none" w:sz="0" w:space="0" w:color="auto"/>
        <w:right w:val="none" w:sz="0" w:space="0" w:color="auto"/>
      </w:divBdr>
    </w:div>
    <w:div w:id="2107991436">
      <w:bodyDiv w:val="1"/>
      <w:marLeft w:val="0"/>
      <w:marRight w:val="0"/>
      <w:marTop w:val="0"/>
      <w:marBottom w:val="0"/>
      <w:divBdr>
        <w:top w:val="none" w:sz="0" w:space="0" w:color="auto"/>
        <w:left w:val="none" w:sz="0" w:space="0" w:color="auto"/>
        <w:bottom w:val="none" w:sz="0" w:space="0" w:color="auto"/>
        <w:right w:val="none" w:sz="0" w:space="0" w:color="auto"/>
      </w:divBdr>
    </w:div>
    <w:div w:id="21298146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7E1634-778C-8E4C-8163-9C74A4D8A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15</Pages>
  <Words>5043</Words>
  <Characters>28749</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cp:lastPrinted>2025-02-08T03:07:00Z</cp:lastPrinted>
  <dcterms:created xsi:type="dcterms:W3CDTF">2025-03-27T07:58:00Z</dcterms:created>
  <dcterms:modified xsi:type="dcterms:W3CDTF">2025-03-27T07:58:00Z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zotero-version="7.0.11"&gt;&lt;session id="k40YmAbp"/&gt;&lt;style id="http://www.zotero.org/styles/nature" hasBibliography="1" bibliographyStyleHasBeenSet="1"/&gt;&lt;prefs&gt;&lt;pref name="fieldType" value="Field"/&gt;&lt;/prefs&gt;&lt;/data&gt;</vt:lpwstr>
  </property>
</Properties>
</file>