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275AD" w:rsidP="004835F4" w:rsidRDefault="003275AD" w14:paraId="683E38F7" w14:textId="77777777">
      <w:pPr>
        <w:jc w:val="both"/>
        <w:rPr>
          <w:rFonts w:ascii="Times New Roman" w:hAnsi="Times New Roman" w:cs="Times New Roman"/>
          <w:b/>
          <w:bCs/>
          <w:sz w:val="22"/>
          <w:szCs w:val="22"/>
        </w:rPr>
      </w:pPr>
      <w:r>
        <w:rPr>
          <w:rFonts w:ascii="Times New Roman" w:hAnsi="Times New Roman" w:cs="Times New Roman"/>
          <w:b/>
          <w:bCs/>
          <w:noProof/>
          <w:sz w:val="22"/>
          <w:szCs w:val="22"/>
        </w:rPr>
        <w:drawing>
          <wp:inline distT="0" distB="0" distL="0" distR="0" wp14:anchorId="56231922" wp14:editId="1B882158">
            <wp:extent cx="6482715" cy="80930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2715" cy="8093075"/>
                    </a:xfrm>
                    <a:prstGeom prst="rect">
                      <a:avLst/>
                    </a:prstGeom>
                    <a:noFill/>
                    <a:ln>
                      <a:noFill/>
                    </a:ln>
                  </pic:spPr>
                </pic:pic>
              </a:graphicData>
            </a:graphic>
          </wp:inline>
        </w:drawing>
      </w:r>
    </w:p>
    <w:p w:rsidR="003275AD" w:rsidRDefault="003275AD" w14:paraId="1206912C" w14:textId="5ABF65B8">
      <w:pPr>
        <w:rPr>
          <w:rFonts w:ascii="Times New Roman" w:hAnsi="Times New Roman" w:cs="Times New Roman"/>
          <w:b/>
          <w:bCs/>
          <w:sz w:val="22"/>
          <w:szCs w:val="22"/>
        </w:rPr>
      </w:pPr>
      <w:r>
        <w:rPr>
          <w:rFonts w:ascii="Times New Roman" w:hAnsi="Times New Roman" w:cs="Times New Roman"/>
          <w:b/>
          <w:bCs/>
          <w:sz w:val="22"/>
          <w:szCs w:val="22"/>
        </w:rPr>
        <w:br w:type="page"/>
      </w:r>
    </w:p>
    <w:p w:rsidR="003275AD" w:rsidP="004835F4" w:rsidRDefault="008B34CD" w14:paraId="03A56ABD" w14:textId="385ABBA3">
      <w:pPr>
        <w:jc w:val="both"/>
        <w:rPr>
          <w:rFonts w:ascii="Times New Roman" w:hAnsi="Times New Roman" w:cs="Times New Roman"/>
          <w:bCs/>
          <w:sz w:val="22"/>
          <w:szCs w:val="22"/>
        </w:rPr>
      </w:pPr>
      <w:r w:rsidRPr="004835F4">
        <w:rPr>
          <w:rFonts w:ascii="Times New Roman" w:hAnsi="Times New Roman" w:cs="Times New Roman"/>
          <w:b/>
          <w:bCs/>
          <w:sz w:val="22"/>
          <w:szCs w:val="22"/>
        </w:rPr>
        <w:lastRenderedPageBreak/>
        <w:t>E</w:t>
      </w:r>
      <w:r>
        <w:rPr>
          <w:rFonts w:ascii="Times New Roman" w:hAnsi="Times New Roman" w:cs="Times New Roman"/>
          <w:b/>
          <w:bCs/>
          <w:sz w:val="22"/>
          <w:szCs w:val="22"/>
        </w:rPr>
        <w:t>xtended Data</w:t>
      </w:r>
      <w:r w:rsidRPr="004835F4">
        <w:rPr>
          <w:rFonts w:ascii="Times New Roman" w:hAnsi="Times New Roman" w:cs="Times New Roman"/>
          <w:b/>
          <w:bCs/>
          <w:sz w:val="22"/>
          <w:szCs w:val="22"/>
        </w:rPr>
        <w:t xml:space="preserve"> Fig. </w:t>
      </w:r>
      <w:r w:rsidR="00A343DA">
        <w:rPr>
          <w:rFonts w:ascii="Times New Roman" w:hAnsi="Times New Roman" w:cs="Times New Roman"/>
          <w:b/>
          <w:bCs/>
          <w:sz w:val="22"/>
          <w:szCs w:val="22"/>
        </w:rPr>
        <w:t>1</w:t>
      </w:r>
      <w:r>
        <w:rPr>
          <w:rFonts w:ascii="Times New Roman" w:hAnsi="Times New Roman" w:cs="Times New Roman"/>
          <w:b/>
          <w:bCs/>
          <w:sz w:val="22"/>
          <w:szCs w:val="22"/>
        </w:rPr>
        <w:t xml:space="preserve"> |</w:t>
      </w:r>
      <w:r w:rsidRPr="00447418" w:rsidR="00447418">
        <w:rPr>
          <w:rFonts w:ascii="Times New Roman" w:hAnsi="Times New Roman" w:cs="Times New Roman"/>
          <w:b/>
          <w:bCs/>
          <w:sz w:val="22"/>
          <w:szCs w:val="22"/>
        </w:rPr>
        <w:t xml:space="preserve"> Patient characteristics and survival analysis. </w:t>
      </w:r>
      <w:r w:rsidR="00A343DA">
        <w:rPr>
          <w:rFonts w:ascii="Times New Roman" w:hAnsi="Times New Roman" w:cs="Times New Roman"/>
          <w:b/>
          <w:bCs/>
          <w:sz w:val="22"/>
          <w:szCs w:val="22"/>
        </w:rPr>
        <w:t xml:space="preserve">a, </w:t>
      </w:r>
      <w:r w:rsidRPr="00EA1306" w:rsidR="00EA1306">
        <w:rPr>
          <w:rFonts w:ascii="Times New Roman" w:hAnsi="Times New Roman" w:cs="Times New Roman"/>
          <w:bCs/>
          <w:sz w:val="22"/>
          <w:szCs w:val="22"/>
        </w:rPr>
        <w:t>Descriptive table of clinical characteristics of all participants and stratified by CAR-T cell product. P-values for discrete covariates were obtained by Fisher's exact test and for continuous covariates by Wilcoxon's rank-sum test. b-c, Kaplan-Meier curves showing the impact of age greater than 65 years, type of lymphodepleting chemotherapy and prior administration of BCMA targeted therapy (excluding during bridging therapy) on progression-free survival (PFS). Log-rank tests were performed to evaluate probabilities of PFS between two patient groups. The tables show the estimated log hazard ratios (</w:t>
      </w:r>
      <w:proofErr w:type="spellStart"/>
      <w:r w:rsidRPr="00EA1306" w:rsidR="00EA1306">
        <w:rPr>
          <w:rFonts w:ascii="Times New Roman" w:hAnsi="Times New Roman" w:cs="Times New Roman"/>
          <w:bCs/>
          <w:sz w:val="22"/>
          <w:szCs w:val="22"/>
        </w:rPr>
        <w:t>logHR</w:t>
      </w:r>
      <w:proofErr w:type="spellEnd"/>
      <w:r w:rsidRPr="00EA1306" w:rsidR="00EA1306">
        <w:rPr>
          <w:rFonts w:ascii="Times New Roman" w:hAnsi="Times New Roman" w:cs="Times New Roman"/>
          <w:bCs/>
          <w:sz w:val="22"/>
          <w:szCs w:val="22"/>
        </w:rPr>
        <w:t>) using a univariate Cox-regression analysis. Statistical significance was estimated using the Wald test. CI = confidence interval.</w:t>
      </w:r>
    </w:p>
    <w:p w:rsidR="00D76F8C" w:rsidP="003E1CEE" w:rsidRDefault="003E1CEE" w14:paraId="72AFFB8A" w14:textId="40A06C50">
      <w:pPr>
        <w:rPr>
          <w:rFonts w:ascii="Times New Roman" w:hAnsi="Times New Roman" w:cs="Times New Roman"/>
          <w:bCs/>
          <w:sz w:val="22"/>
          <w:szCs w:val="22"/>
        </w:rPr>
      </w:pPr>
      <w:r>
        <w:rPr>
          <w:rFonts w:ascii="Times New Roman" w:hAnsi="Times New Roman" w:cs="Times New Roman"/>
          <w:bCs/>
          <w:sz w:val="22"/>
          <w:szCs w:val="22"/>
        </w:rPr>
        <w:br w:type="page"/>
      </w:r>
    </w:p>
    <w:p w:rsidR="00D76F8C" w:rsidP="003E1CEE" w:rsidRDefault="00D76F8C" w14:paraId="1FDA7117" w14:textId="6323CB8A">
      <w:pPr>
        <w:jc w:val="both"/>
        <w:rPr>
          <w:rFonts w:ascii="Times New Roman" w:hAnsi="Times New Roman" w:cs="Times New Roman"/>
          <w:b/>
          <w:bCs/>
          <w:sz w:val="22"/>
          <w:szCs w:val="22"/>
        </w:rPr>
      </w:pPr>
      <w:r>
        <w:rPr>
          <w:rFonts w:ascii="Times New Roman" w:hAnsi="Times New Roman" w:cs="Times New Roman"/>
          <w:b/>
          <w:bCs/>
          <w:noProof/>
          <w:sz w:val="22"/>
          <w:szCs w:val="22"/>
        </w:rPr>
        <w:lastRenderedPageBreak/>
        <w:drawing>
          <wp:inline distT="0" distB="0" distL="0" distR="0" wp14:anchorId="3D15F7F3" wp14:editId="44E99C2B">
            <wp:extent cx="6479540" cy="60066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5873"/>
                    <a:stretch/>
                  </pic:blipFill>
                  <pic:spPr bwMode="auto">
                    <a:xfrm>
                      <a:off x="0" y="0"/>
                      <a:ext cx="6479540" cy="6006662"/>
                    </a:xfrm>
                    <a:prstGeom prst="rect">
                      <a:avLst/>
                    </a:prstGeom>
                    <a:noFill/>
                    <a:ln>
                      <a:noFill/>
                    </a:ln>
                    <a:extLst>
                      <a:ext uri="{53640926-AAD7-44D8-BBD7-CCE9431645EC}">
                        <a14:shadowObscured xmlns:a14="http://schemas.microsoft.com/office/drawing/2010/main"/>
                      </a:ext>
                    </a:extLst>
                  </pic:spPr>
                </pic:pic>
              </a:graphicData>
            </a:graphic>
          </wp:inline>
        </w:drawing>
      </w:r>
    </w:p>
    <w:p w:rsidR="00196C92" w:rsidP="004835F4" w:rsidRDefault="000C7259" w14:paraId="4E1E2B31" w14:textId="3A90C9B0">
      <w:pPr>
        <w:jc w:val="both"/>
        <w:rPr>
          <w:rFonts w:ascii="Times New Roman" w:hAnsi="Times New Roman" w:cs="Times New Roman"/>
          <w:sz w:val="22"/>
          <w:szCs w:val="22"/>
        </w:rPr>
      </w:pPr>
      <w:r w:rsidRPr="62D6170C">
        <w:rPr>
          <w:rFonts w:ascii="Times New Roman" w:hAnsi="Times New Roman" w:cs="Times New Roman"/>
          <w:b/>
          <w:bCs/>
          <w:sz w:val="22"/>
          <w:szCs w:val="22"/>
        </w:rPr>
        <w:t>E</w:t>
      </w:r>
      <w:r w:rsidRPr="62D6170C" w:rsidR="002D3B54">
        <w:rPr>
          <w:rFonts w:ascii="Times New Roman" w:hAnsi="Times New Roman" w:cs="Times New Roman"/>
          <w:b/>
          <w:bCs/>
          <w:sz w:val="22"/>
          <w:szCs w:val="22"/>
        </w:rPr>
        <w:t>xtended Data</w:t>
      </w:r>
      <w:r w:rsidRPr="62D6170C">
        <w:rPr>
          <w:rFonts w:ascii="Times New Roman" w:hAnsi="Times New Roman" w:cs="Times New Roman"/>
          <w:b/>
          <w:bCs/>
          <w:sz w:val="22"/>
          <w:szCs w:val="22"/>
        </w:rPr>
        <w:t xml:space="preserve"> Fig. </w:t>
      </w:r>
      <w:r w:rsidRPr="62D6170C" w:rsidR="00507F0C">
        <w:rPr>
          <w:rFonts w:ascii="Times New Roman" w:hAnsi="Times New Roman" w:cs="Times New Roman"/>
          <w:b/>
          <w:bCs/>
          <w:sz w:val="22"/>
          <w:szCs w:val="22"/>
        </w:rPr>
        <w:t>2 |</w:t>
      </w:r>
      <w:r w:rsidRPr="62D6170C">
        <w:rPr>
          <w:rFonts w:ascii="Times New Roman" w:hAnsi="Times New Roman" w:cs="Times New Roman"/>
          <w:b/>
          <w:bCs/>
          <w:sz w:val="22"/>
          <w:szCs w:val="22"/>
        </w:rPr>
        <w:t xml:space="preserve"> Metrics for quality control of analyzed samples</w:t>
      </w:r>
      <w:r w:rsidRPr="62D6170C">
        <w:rPr>
          <w:rFonts w:ascii="Times New Roman" w:hAnsi="Times New Roman" w:cs="Times New Roman"/>
          <w:sz w:val="22"/>
          <w:szCs w:val="22"/>
        </w:rPr>
        <w:t xml:space="preserve">. </w:t>
      </w:r>
      <w:r w:rsidRPr="62D6170C">
        <w:rPr>
          <w:rFonts w:ascii="Times New Roman" w:hAnsi="Times New Roman" w:cs="Times New Roman"/>
          <w:b/>
          <w:bCs/>
          <w:sz w:val="22"/>
          <w:szCs w:val="22"/>
        </w:rPr>
        <w:t>a</w:t>
      </w:r>
      <w:r w:rsidRPr="62D6170C">
        <w:rPr>
          <w:rFonts w:ascii="Times New Roman" w:hAnsi="Times New Roman" w:cs="Times New Roman"/>
          <w:sz w:val="22"/>
          <w:szCs w:val="22"/>
        </w:rPr>
        <w:t xml:space="preserve">, </w:t>
      </w:r>
      <w:proofErr w:type="gramStart"/>
      <w:r w:rsidRPr="62D6170C">
        <w:rPr>
          <w:rFonts w:ascii="Times New Roman" w:hAnsi="Times New Roman" w:cs="Times New Roman"/>
          <w:sz w:val="22"/>
          <w:szCs w:val="22"/>
        </w:rPr>
        <w:t>The</w:t>
      </w:r>
      <w:proofErr w:type="gramEnd"/>
      <w:r w:rsidRPr="62D6170C">
        <w:rPr>
          <w:rFonts w:ascii="Times New Roman" w:hAnsi="Times New Roman" w:cs="Times New Roman"/>
          <w:sz w:val="22"/>
          <w:szCs w:val="22"/>
        </w:rPr>
        <w:t xml:space="preserve"> number of cells </w:t>
      </w:r>
      <w:r w:rsidRPr="62D6170C" w:rsidR="00C40C26">
        <w:rPr>
          <w:rFonts w:ascii="Times New Roman" w:hAnsi="Times New Roman" w:cs="Times New Roman"/>
          <w:sz w:val="22"/>
          <w:szCs w:val="22"/>
        </w:rPr>
        <w:t>for</w:t>
      </w:r>
      <w:r w:rsidRPr="62D6170C">
        <w:rPr>
          <w:rFonts w:ascii="Times New Roman" w:hAnsi="Times New Roman" w:cs="Times New Roman"/>
          <w:sz w:val="22"/>
          <w:szCs w:val="22"/>
        </w:rPr>
        <w:t xml:space="preserve"> each sample, grouped by sequencing run and colored by timepoint. </w:t>
      </w:r>
      <w:r w:rsidRPr="62D6170C">
        <w:rPr>
          <w:rFonts w:ascii="Times New Roman" w:hAnsi="Times New Roman" w:cs="Times New Roman"/>
          <w:b/>
          <w:bCs/>
          <w:sz w:val="22"/>
          <w:szCs w:val="22"/>
        </w:rPr>
        <w:t>b</w:t>
      </w:r>
      <w:r w:rsidRPr="62D6170C">
        <w:rPr>
          <w:rFonts w:ascii="Times New Roman" w:hAnsi="Times New Roman" w:cs="Times New Roman"/>
          <w:sz w:val="22"/>
          <w:szCs w:val="22"/>
        </w:rPr>
        <w:t xml:space="preserve">, </w:t>
      </w:r>
      <w:r w:rsidRPr="62D6170C" w:rsidR="2BA6B881">
        <w:rPr>
          <w:rFonts w:ascii="Times New Roman" w:hAnsi="Times New Roman" w:cs="Times New Roman"/>
          <w:sz w:val="22"/>
          <w:szCs w:val="22"/>
        </w:rPr>
        <w:t>M</w:t>
      </w:r>
      <w:r w:rsidRPr="62D6170C">
        <w:rPr>
          <w:rFonts w:ascii="Times New Roman" w:hAnsi="Times New Roman" w:cs="Times New Roman"/>
          <w:sz w:val="22"/>
          <w:szCs w:val="22"/>
        </w:rPr>
        <w:t>edian number of</w:t>
      </w:r>
      <w:r w:rsidRPr="62D6170C" w:rsidR="6D701A64">
        <w:rPr>
          <w:rFonts w:ascii="Times New Roman" w:hAnsi="Times New Roman" w:cs="Times New Roman"/>
          <w:sz w:val="22"/>
          <w:szCs w:val="22"/>
        </w:rPr>
        <w:t xml:space="preserve"> expressed</w:t>
      </w:r>
      <w:r w:rsidRPr="62D6170C">
        <w:rPr>
          <w:rFonts w:ascii="Times New Roman" w:hAnsi="Times New Roman" w:cs="Times New Roman"/>
          <w:sz w:val="22"/>
          <w:szCs w:val="22"/>
        </w:rPr>
        <w:t xml:space="preserve"> genes. </w:t>
      </w:r>
      <w:r w:rsidRPr="62D6170C">
        <w:rPr>
          <w:rFonts w:ascii="Times New Roman" w:hAnsi="Times New Roman" w:cs="Times New Roman"/>
          <w:b/>
          <w:bCs/>
          <w:sz w:val="22"/>
          <w:szCs w:val="22"/>
        </w:rPr>
        <w:t>c</w:t>
      </w:r>
      <w:r w:rsidRPr="62D6170C">
        <w:rPr>
          <w:rFonts w:ascii="Times New Roman" w:hAnsi="Times New Roman" w:cs="Times New Roman"/>
          <w:sz w:val="22"/>
          <w:szCs w:val="22"/>
        </w:rPr>
        <w:t xml:space="preserve">, </w:t>
      </w:r>
      <w:r w:rsidRPr="62D6170C" w:rsidR="6365F2E1">
        <w:rPr>
          <w:rFonts w:ascii="Times New Roman" w:hAnsi="Times New Roman" w:cs="Times New Roman"/>
          <w:sz w:val="22"/>
          <w:szCs w:val="22"/>
        </w:rPr>
        <w:t>M</w:t>
      </w:r>
      <w:r w:rsidRPr="62D6170C">
        <w:rPr>
          <w:rFonts w:ascii="Times New Roman" w:hAnsi="Times New Roman" w:cs="Times New Roman"/>
          <w:sz w:val="22"/>
          <w:szCs w:val="22"/>
        </w:rPr>
        <w:t>edian number of UMI counts</w:t>
      </w:r>
      <w:r w:rsidRPr="62D6170C" w:rsidR="4FF46C6E">
        <w:rPr>
          <w:rFonts w:ascii="Times New Roman" w:hAnsi="Times New Roman" w:cs="Times New Roman"/>
          <w:sz w:val="22"/>
          <w:szCs w:val="22"/>
        </w:rPr>
        <w:t xml:space="preserve"> per sample</w:t>
      </w:r>
      <w:r w:rsidRPr="62D6170C">
        <w:rPr>
          <w:rFonts w:ascii="Times New Roman" w:hAnsi="Times New Roman" w:cs="Times New Roman"/>
          <w:sz w:val="22"/>
          <w:szCs w:val="22"/>
        </w:rPr>
        <w:t xml:space="preserve">. </w:t>
      </w:r>
      <w:r w:rsidRPr="62D6170C">
        <w:rPr>
          <w:rFonts w:ascii="Times New Roman" w:hAnsi="Times New Roman" w:cs="Times New Roman"/>
          <w:b/>
          <w:bCs/>
          <w:sz w:val="22"/>
          <w:szCs w:val="22"/>
        </w:rPr>
        <w:t>d-e,</w:t>
      </w:r>
      <w:r w:rsidRPr="62D6170C">
        <w:rPr>
          <w:rFonts w:ascii="Times New Roman" w:hAnsi="Times New Roman" w:cs="Times New Roman"/>
          <w:sz w:val="22"/>
          <w:szCs w:val="22"/>
        </w:rPr>
        <w:t xml:space="preserve"> Potential batch effect between the sequencing runs were evaluated with the smoothed </w:t>
      </w:r>
      <w:proofErr w:type="spellStart"/>
      <w:r w:rsidRPr="62D6170C">
        <w:rPr>
          <w:rFonts w:ascii="Times New Roman" w:hAnsi="Times New Roman" w:cs="Times New Roman"/>
          <w:sz w:val="22"/>
          <w:szCs w:val="22"/>
        </w:rPr>
        <w:t>cms</w:t>
      </w:r>
      <w:proofErr w:type="spellEnd"/>
      <w:r w:rsidRPr="62D6170C">
        <w:rPr>
          <w:rFonts w:ascii="Times New Roman" w:hAnsi="Times New Roman" w:cs="Times New Roman"/>
          <w:sz w:val="22"/>
          <w:szCs w:val="22"/>
        </w:rPr>
        <w:t xml:space="preserve"> mixing metric using the R package </w:t>
      </w:r>
      <w:proofErr w:type="spellStart"/>
      <w:r w:rsidRPr="62D6170C">
        <w:rPr>
          <w:rFonts w:ascii="Times New Roman" w:hAnsi="Times New Roman" w:cs="Times New Roman"/>
          <w:sz w:val="22"/>
          <w:szCs w:val="22"/>
        </w:rPr>
        <w:t>CellMixS</w:t>
      </w:r>
      <w:proofErr w:type="spellEnd"/>
      <w:r w:rsidRPr="62D6170C">
        <w:rPr>
          <w:rFonts w:ascii="Times New Roman" w:hAnsi="Times New Roman" w:cs="Times New Roman"/>
          <w:sz w:val="22"/>
          <w:szCs w:val="22"/>
        </w:rPr>
        <w:t xml:space="preserve">. The </w:t>
      </w:r>
      <w:proofErr w:type="spellStart"/>
      <w:r w:rsidRPr="62D6170C">
        <w:rPr>
          <w:rFonts w:ascii="Times New Roman" w:hAnsi="Times New Roman" w:cs="Times New Roman"/>
          <w:sz w:val="22"/>
          <w:szCs w:val="22"/>
        </w:rPr>
        <w:t>cms</w:t>
      </w:r>
      <w:proofErr w:type="spellEnd"/>
      <w:r w:rsidRPr="62D6170C">
        <w:rPr>
          <w:rFonts w:ascii="Times New Roman" w:hAnsi="Times New Roman" w:cs="Times New Roman"/>
          <w:sz w:val="22"/>
          <w:szCs w:val="22"/>
        </w:rPr>
        <w:t xml:space="preserve"> scores are p-values from hypothesis testing. Smoothed </w:t>
      </w:r>
      <w:proofErr w:type="spellStart"/>
      <w:r w:rsidRPr="62D6170C">
        <w:rPr>
          <w:rFonts w:ascii="Times New Roman" w:hAnsi="Times New Roman" w:cs="Times New Roman"/>
          <w:sz w:val="22"/>
          <w:szCs w:val="22"/>
        </w:rPr>
        <w:t>cms</w:t>
      </w:r>
      <w:proofErr w:type="spellEnd"/>
      <w:r w:rsidRPr="62D6170C">
        <w:rPr>
          <w:rFonts w:ascii="Times New Roman" w:hAnsi="Times New Roman" w:cs="Times New Roman"/>
          <w:sz w:val="22"/>
          <w:szCs w:val="22"/>
        </w:rPr>
        <w:t xml:space="preserve"> scores represent the weighted mean of the </w:t>
      </w:r>
      <w:proofErr w:type="spellStart"/>
      <w:r w:rsidRPr="62D6170C">
        <w:rPr>
          <w:rFonts w:ascii="Times New Roman" w:hAnsi="Times New Roman" w:cs="Times New Roman"/>
          <w:sz w:val="22"/>
          <w:szCs w:val="22"/>
        </w:rPr>
        <w:t>cms</w:t>
      </w:r>
      <w:proofErr w:type="spellEnd"/>
      <w:r w:rsidRPr="62D6170C">
        <w:rPr>
          <w:rFonts w:ascii="Times New Roman" w:hAnsi="Times New Roman" w:cs="Times New Roman"/>
          <w:sz w:val="22"/>
          <w:szCs w:val="22"/>
        </w:rPr>
        <w:t xml:space="preserve"> within each cell’s neighborhood (k = 200). An increased number of small p-values indicates the presence of a batch-specific bias within data. </w:t>
      </w:r>
      <w:r w:rsidRPr="62D6170C">
        <w:rPr>
          <w:rFonts w:ascii="Times New Roman" w:hAnsi="Times New Roman" w:cs="Times New Roman"/>
          <w:b/>
          <w:bCs/>
          <w:sz w:val="22"/>
          <w:szCs w:val="22"/>
        </w:rPr>
        <w:t>g-</w:t>
      </w:r>
      <w:proofErr w:type="spellStart"/>
      <w:r w:rsidRPr="62D6170C">
        <w:rPr>
          <w:rFonts w:ascii="Times New Roman" w:hAnsi="Times New Roman" w:cs="Times New Roman"/>
          <w:b/>
          <w:bCs/>
          <w:sz w:val="22"/>
          <w:szCs w:val="22"/>
        </w:rPr>
        <w:t>i</w:t>
      </w:r>
      <w:proofErr w:type="spellEnd"/>
      <w:r w:rsidRPr="62D6170C">
        <w:rPr>
          <w:rFonts w:ascii="Times New Roman" w:hAnsi="Times New Roman" w:cs="Times New Roman"/>
          <w:b/>
          <w:bCs/>
          <w:sz w:val="22"/>
          <w:szCs w:val="22"/>
        </w:rPr>
        <w:t>,</w:t>
      </w:r>
      <w:r w:rsidRPr="62D6170C">
        <w:rPr>
          <w:rFonts w:ascii="Times New Roman" w:hAnsi="Times New Roman" w:cs="Times New Roman"/>
          <w:sz w:val="22"/>
          <w:szCs w:val="22"/>
        </w:rPr>
        <w:t xml:space="preserve"> Smoothed </w:t>
      </w:r>
      <w:proofErr w:type="spellStart"/>
      <w:r w:rsidRPr="62D6170C">
        <w:rPr>
          <w:rFonts w:ascii="Times New Roman" w:hAnsi="Times New Roman" w:cs="Times New Roman"/>
          <w:sz w:val="22"/>
          <w:szCs w:val="22"/>
        </w:rPr>
        <w:t>cms</w:t>
      </w:r>
      <w:proofErr w:type="spellEnd"/>
      <w:r w:rsidRPr="62D6170C">
        <w:rPr>
          <w:rFonts w:ascii="Times New Roman" w:hAnsi="Times New Roman" w:cs="Times New Roman"/>
          <w:sz w:val="22"/>
          <w:szCs w:val="22"/>
        </w:rPr>
        <w:t xml:space="preserve"> scores were grouped by cell type. </w:t>
      </w:r>
      <w:r w:rsidRPr="62D6170C">
        <w:rPr>
          <w:rFonts w:ascii="Times New Roman" w:hAnsi="Times New Roman" w:cs="Times New Roman"/>
          <w:b/>
          <w:bCs/>
          <w:sz w:val="22"/>
          <w:szCs w:val="22"/>
        </w:rPr>
        <w:t>j,</w:t>
      </w:r>
      <w:r w:rsidRPr="62D6170C">
        <w:rPr>
          <w:rFonts w:ascii="Times New Roman" w:hAnsi="Times New Roman" w:cs="Times New Roman"/>
          <w:sz w:val="22"/>
          <w:szCs w:val="22"/>
        </w:rPr>
        <w:t xml:space="preserve"> </w:t>
      </w:r>
      <w:proofErr w:type="gramStart"/>
      <w:r w:rsidRPr="62D6170C">
        <w:rPr>
          <w:rFonts w:ascii="Times New Roman" w:hAnsi="Times New Roman" w:cs="Times New Roman"/>
          <w:sz w:val="22"/>
          <w:szCs w:val="22"/>
        </w:rPr>
        <w:t>The</w:t>
      </w:r>
      <w:proofErr w:type="gramEnd"/>
      <w:r w:rsidRPr="62D6170C">
        <w:rPr>
          <w:rFonts w:ascii="Times New Roman" w:hAnsi="Times New Roman" w:cs="Times New Roman"/>
          <w:sz w:val="22"/>
          <w:szCs w:val="22"/>
        </w:rPr>
        <w:t xml:space="preserve"> first 20 principal components (PC) were calculated for each time point and cell type (if &gt;100 cells available). We then regressed these PCs (response variable) against the factor “sequencing run”. For a better overview, the estimated coefficients of determination were rounded to one decimal place (only R-squared &gt; 0</w:t>
      </w:r>
      <w:r w:rsidRPr="62D6170C" w:rsidR="5F5FDB69">
        <w:rPr>
          <w:rFonts w:ascii="Times New Roman" w:hAnsi="Times New Roman" w:cs="Times New Roman"/>
          <w:sz w:val="22"/>
          <w:szCs w:val="22"/>
        </w:rPr>
        <w:t>.1</w:t>
      </w:r>
      <w:r w:rsidRPr="62D6170C">
        <w:rPr>
          <w:rFonts w:ascii="Times New Roman" w:hAnsi="Times New Roman" w:cs="Times New Roman"/>
          <w:sz w:val="22"/>
          <w:szCs w:val="22"/>
        </w:rPr>
        <w:t xml:space="preserve"> are </w:t>
      </w:r>
      <w:r w:rsidRPr="62D6170C" w:rsidR="25011AA5">
        <w:rPr>
          <w:rFonts w:ascii="Times New Roman" w:hAnsi="Times New Roman" w:cs="Times New Roman"/>
          <w:sz w:val="22"/>
          <w:szCs w:val="22"/>
        </w:rPr>
        <w:t>depicted</w:t>
      </w:r>
      <w:r w:rsidRPr="62D6170C">
        <w:rPr>
          <w:rFonts w:ascii="Times New Roman" w:hAnsi="Times New Roman" w:cs="Times New Roman"/>
          <w:sz w:val="22"/>
          <w:szCs w:val="22"/>
        </w:rPr>
        <w:t xml:space="preserve">). </w:t>
      </w:r>
      <w:r w:rsidRPr="62D6170C">
        <w:rPr>
          <w:rFonts w:ascii="Times New Roman" w:hAnsi="Times New Roman" w:cs="Times New Roman"/>
          <w:b/>
          <w:bCs/>
          <w:sz w:val="22"/>
          <w:szCs w:val="22"/>
        </w:rPr>
        <w:t>k</w:t>
      </w:r>
      <w:r w:rsidRPr="62D6170C">
        <w:rPr>
          <w:rFonts w:ascii="Times New Roman" w:hAnsi="Times New Roman" w:cs="Times New Roman"/>
          <w:sz w:val="22"/>
          <w:szCs w:val="22"/>
        </w:rPr>
        <w:t>,</w:t>
      </w:r>
      <w:r w:rsidRPr="62D6170C" w:rsidR="00007650">
        <w:rPr>
          <w:rFonts w:ascii="Times New Roman" w:hAnsi="Times New Roman" w:cs="Times New Roman"/>
          <w:sz w:val="22"/>
          <w:szCs w:val="22"/>
        </w:rPr>
        <w:t xml:space="preserve"> </w:t>
      </w:r>
      <w:r w:rsidRPr="62D6170C" w:rsidR="003A15B3">
        <w:rPr>
          <w:rFonts w:ascii="Times New Roman" w:hAnsi="Times New Roman" w:cs="Times New Roman"/>
          <w:sz w:val="22"/>
          <w:szCs w:val="22"/>
        </w:rPr>
        <w:t xml:space="preserve">DE </w:t>
      </w:r>
      <w:r w:rsidRPr="62D6170C">
        <w:rPr>
          <w:rFonts w:ascii="Times New Roman" w:hAnsi="Times New Roman" w:cs="Times New Roman"/>
          <w:sz w:val="22"/>
          <w:szCs w:val="22"/>
        </w:rPr>
        <w:t>protein-coding genes for each cell identity were determined using a</w:t>
      </w:r>
      <w:r w:rsidRPr="62D6170C" w:rsidR="00BB6981">
        <w:rPr>
          <w:rFonts w:ascii="Times New Roman" w:hAnsi="Times New Roman" w:cs="Times New Roman"/>
          <w:sz w:val="22"/>
          <w:szCs w:val="22"/>
        </w:rPr>
        <w:t xml:space="preserve"> two-sided</w:t>
      </w:r>
      <w:r w:rsidRPr="62D6170C">
        <w:rPr>
          <w:rFonts w:ascii="Times New Roman" w:hAnsi="Times New Roman" w:cs="Times New Roman"/>
          <w:sz w:val="22"/>
          <w:szCs w:val="22"/>
        </w:rPr>
        <w:t xml:space="preserve"> Wilcoxon rank-sum test. Genes with an FDR &lt;0.05 and an absolute fold change &gt;1.25 were considered statistically significant. For each cell identity, 5 significant genes (ranked by log2FC) are shown. The dot size indicates the percentage of expressing cells within each cell identity of the corresponding genes.</w:t>
      </w:r>
    </w:p>
    <w:p w:rsidR="00B205B4" w:rsidP="002E5EC1" w:rsidRDefault="004D6257" w14:paraId="4A097AF2" w14:textId="5A277339">
      <w:pPr>
        <w:jc w:val="both"/>
        <w:rPr>
          <w:rFonts w:ascii="Times New Roman" w:hAnsi="Times New Roman" w:cs="Times New Roman"/>
          <w:b/>
          <w:bCs/>
          <w:sz w:val="22"/>
          <w:szCs w:val="22"/>
        </w:rPr>
      </w:pPr>
      <w:r>
        <w:rPr>
          <w:noProof/>
        </w:rPr>
        <w:lastRenderedPageBreak/>
        <w:drawing>
          <wp:inline distT="0" distB="0" distL="0" distR="0" wp14:anchorId="367C2810" wp14:editId="1B3AD974">
            <wp:extent cx="6563360" cy="820420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63360" cy="8204200"/>
                    </a:xfrm>
                    <a:prstGeom prst="rect">
                      <a:avLst/>
                    </a:prstGeom>
                  </pic:spPr>
                </pic:pic>
              </a:graphicData>
            </a:graphic>
          </wp:inline>
        </w:drawing>
      </w:r>
    </w:p>
    <w:p w:rsidR="00F357A4" w:rsidRDefault="00F357A4" w14:paraId="6DF74397" w14:textId="05857180">
      <w:pPr>
        <w:rPr>
          <w:rFonts w:ascii="Times New Roman" w:hAnsi="Times New Roman" w:cs="Times New Roman"/>
          <w:b/>
          <w:bCs/>
          <w:sz w:val="22"/>
          <w:szCs w:val="22"/>
        </w:rPr>
      </w:pPr>
      <w:r>
        <w:rPr>
          <w:rFonts w:ascii="Times New Roman" w:hAnsi="Times New Roman" w:cs="Times New Roman"/>
          <w:b/>
          <w:bCs/>
          <w:sz w:val="22"/>
          <w:szCs w:val="22"/>
        </w:rPr>
        <w:br w:type="page"/>
      </w:r>
    </w:p>
    <w:p w:rsidR="002E5EC1" w:rsidP="002E5EC1" w:rsidRDefault="002E5EC1" w14:paraId="6AD64E36" w14:textId="65B297BD">
      <w:pPr>
        <w:jc w:val="both"/>
        <w:rPr>
          <w:rFonts w:ascii="Times New Roman" w:hAnsi="Times New Roman" w:cs="Times New Roman"/>
          <w:sz w:val="22"/>
          <w:szCs w:val="22"/>
        </w:rPr>
      </w:pPr>
      <w:r w:rsidRPr="004835F4">
        <w:rPr>
          <w:rFonts w:ascii="Times New Roman" w:hAnsi="Times New Roman" w:cs="Times New Roman"/>
          <w:b/>
          <w:bCs/>
          <w:sz w:val="22"/>
          <w:szCs w:val="22"/>
        </w:rPr>
        <w:lastRenderedPageBreak/>
        <w:t>E</w:t>
      </w:r>
      <w:r>
        <w:rPr>
          <w:rFonts w:ascii="Times New Roman" w:hAnsi="Times New Roman" w:cs="Times New Roman"/>
          <w:b/>
          <w:bCs/>
          <w:sz w:val="22"/>
          <w:szCs w:val="22"/>
        </w:rPr>
        <w:t>xtended Data</w:t>
      </w:r>
      <w:r w:rsidRPr="004835F4">
        <w:rPr>
          <w:rFonts w:ascii="Times New Roman" w:hAnsi="Times New Roman" w:cs="Times New Roman"/>
          <w:b/>
          <w:bCs/>
          <w:sz w:val="22"/>
          <w:szCs w:val="22"/>
        </w:rPr>
        <w:t xml:space="preserve"> Fig. </w:t>
      </w:r>
      <w:r w:rsidR="0043045F">
        <w:rPr>
          <w:rFonts w:ascii="Times New Roman" w:hAnsi="Times New Roman" w:cs="Times New Roman"/>
          <w:b/>
          <w:bCs/>
          <w:sz w:val="22"/>
          <w:szCs w:val="22"/>
        </w:rPr>
        <w:t>3</w:t>
      </w:r>
      <w:r>
        <w:rPr>
          <w:rFonts w:ascii="Times New Roman" w:hAnsi="Times New Roman" w:cs="Times New Roman"/>
          <w:b/>
          <w:bCs/>
          <w:sz w:val="22"/>
          <w:szCs w:val="22"/>
        </w:rPr>
        <w:t xml:space="preserve"> |</w:t>
      </w:r>
      <w:r w:rsidR="008B3889">
        <w:rPr>
          <w:rFonts w:ascii="Times New Roman" w:hAnsi="Times New Roman" w:cs="Times New Roman"/>
          <w:b/>
          <w:bCs/>
          <w:sz w:val="22"/>
          <w:szCs w:val="22"/>
        </w:rPr>
        <w:t xml:space="preserve"> T cell marker </w:t>
      </w:r>
      <w:r w:rsidR="000F6A35">
        <w:rPr>
          <w:rFonts w:ascii="Times New Roman" w:hAnsi="Times New Roman" w:cs="Times New Roman"/>
          <w:b/>
          <w:bCs/>
          <w:sz w:val="22"/>
          <w:szCs w:val="22"/>
        </w:rPr>
        <w:t>and survival analysis.</w:t>
      </w:r>
      <w:r w:rsidR="002945CB">
        <w:rPr>
          <w:rFonts w:ascii="Times New Roman" w:hAnsi="Times New Roman" w:cs="Times New Roman"/>
          <w:b/>
          <w:bCs/>
          <w:sz w:val="22"/>
          <w:szCs w:val="22"/>
        </w:rPr>
        <w:t xml:space="preserve"> a</w:t>
      </w:r>
      <w:r w:rsidRPr="00F70F63" w:rsidR="00F70F63">
        <w:rPr>
          <w:rFonts w:ascii="Times New Roman" w:hAnsi="Times New Roman" w:cs="Times New Roman"/>
          <w:sz w:val="22"/>
          <w:szCs w:val="22"/>
        </w:rPr>
        <w:t xml:space="preserve"> and </w:t>
      </w:r>
      <w:r w:rsidR="00F70F63">
        <w:rPr>
          <w:rFonts w:ascii="Times New Roman" w:hAnsi="Times New Roman" w:cs="Times New Roman"/>
          <w:b/>
          <w:bCs/>
          <w:sz w:val="22"/>
          <w:szCs w:val="22"/>
        </w:rPr>
        <w:t>b</w:t>
      </w:r>
      <w:r w:rsidR="002945CB">
        <w:rPr>
          <w:rFonts w:ascii="Times New Roman" w:hAnsi="Times New Roman" w:cs="Times New Roman"/>
          <w:sz w:val="22"/>
          <w:szCs w:val="22"/>
        </w:rPr>
        <w:t xml:space="preserve">, </w:t>
      </w:r>
      <w:r w:rsidR="00E20792">
        <w:rPr>
          <w:rFonts w:ascii="Times New Roman" w:hAnsi="Times New Roman" w:cs="Times New Roman"/>
          <w:sz w:val="22"/>
          <w:szCs w:val="22"/>
        </w:rPr>
        <w:t>Cell type</w:t>
      </w:r>
      <w:r w:rsidR="009E31F8">
        <w:rPr>
          <w:rFonts w:ascii="Times New Roman" w:hAnsi="Times New Roman" w:cs="Times New Roman"/>
          <w:sz w:val="22"/>
          <w:szCs w:val="22"/>
        </w:rPr>
        <w:t>s</w:t>
      </w:r>
      <w:r w:rsidR="00E20792">
        <w:rPr>
          <w:rFonts w:ascii="Times New Roman" w:hAnsi="Times New Roman" w:cs="Times New Roman"/>
          <w:sz w:val="22"/>
          <w:szCs w:val="22"/>
        </w:rPr>
        <w:t xml:space="preserve"> and cluster assignment</w:t>
      </w:r>
      <w:r w:rsidR="00750781">
        <w:rPr>
          <w:rFonts w:ascii="Times New Roman" w:hAnsi="Times New Roman" w:cs="Times New Roman"/>
          <w:sz w:val="22"/>
          <w:szCs w:val="22"/>
        </w:rPr>
        <w:t xml:space="preserve"> estimated</w:t>
      </w:r>
      <w:r w:rsidRPr="00750781" w:rsidR="00750781">
        <w:rPr>
          <w:rFonts w:ascii="Times New Roman" w:hAnsi="Times New Roman" w:cs="Times New Roman"/>
          <w:sz w:val="22"/>
          <w:szCs w:val="22"/>
        </w:rPr>
        <w:t xml:space="preserve"> by the </w:t>
      </w:r>
      <w:proofErr w:type="spellStart"/>
      <w:r w:rsidRPr="00750781" w:rsidR="00750781">
        <w:rPr>
          <w:rFonts w:ascii="Times New Roman" w:hAnsi="Times New Roman" w:cs="Times New Roman"/>
          <w:sz w:val="22"/>
          <w:szCs w:val="22"/>
        </w:rPr>
        <w:t>FindCluster</w:t>
      </w:r>
      <w:proofErr w:type="spellEnd"/>
      <w:r w:rsidRPr="00750781" w:rsidR="00750781">
        <w:rPr>
          <w:rFonts w:ascii="Times New Roman" w:hAnsi="Times New Roman" w:cs="Times New Roman"/>
          <w:sz w:val="22"/>
          <w:szCs w:val="22"/>
        </w:rPr>
        <w:t xml:space="preserve"> function</w:t>
      </w:r>
      <w:r w:rsidR="00A52967">
        <w:rPr>
          <w:rFonts w:ascii="Times New Roman" w:hAnsi="Times New Roman" w:cs="Times New Roman"/>
          <w:sz w:val="22"/>
          <w:szCs w:val="22"/>
        </w:rPr>
        <w:t xml:space="preserve"> (resolution = 0.1)</w:t>
      </w:r>
      <w:r w:rsidR="00750781">
        <w:rPr>
          <w:rFonts w:ascii="Times New Roman" w:hAnsi="Times New Roman" w:cs="Times New Roman"/>
          <w:sz w:val="22"/>
          <w:szCs w:val="22"/>
        </w:rPr>
        <w:t xml:space="preserve"> with Seurat</w:t>
      </w:r>
      <w:r w:rsidR="00E20792">
        <w:rPr>
          <w:rFonts w:ascii="Times New Roman" w:hAnsi="Times New Roman" w:cs="Times New Roman"/>
          <w:sz w:val="22"/>
          <w:szCs w:val="22"/>
        </w:rPr>
        <w:t xml:space="preserve"> for all CD8 cells.</w:t>
      </w:r>
      <w:r w:rsidR="009E31F8">
        <w:rPr>
          <w:rFonts w:ascii="Times New Roman" w:hAnsi="Times New Roman" w:cs="Times New Roman"/>
          <w:sz w:val="22"/>
          <w:szCs w:val="22"/>
        </w:rPr>
        <w:t xml:space="preserve"> </w:t>
      </w:r>
      <w:r w:rsidR="00F70F63">
        <w:rPr>
          <w:rFonts w:ascii="Times New Roman" w:hAnsi="Times New Roman" w:cs="Times New Roman"/>
          <w:sz w:val="22"/>
          <w:szCs w:val="22"/>
        </w:rPr>
        <w:t xml:space="preserve">Normalized </w:t>
      </w:r>
      <w:r w:rsidR="004A6590">
        <w:rPr>
          <w:rFonts w:ascii="Times New Roman" w:hAnsi="Times New Roman" w:cs="Times New Roman"/>
          <w:sz w:val="22"/>
          <w:szCs w:val="22"/>
        </w:rPr>
        <w:t>e</w:t>
      </w:r>
      <w:r w:rsidR="009E31F8">
        <w:rPr>
          <w:rFonts w:ascii="Times New Roman" w:hAnsi="Times New Roman" w:cs="Times New Roman"/>
          <w:sz w:val="22"/>
          <w:szCs w:val="22"/>
        </w:rPr>
        <w:t xml:space="preserve">xpression </w:t>
      </w:r>
      <w:r w:rsidR="00223112">
        <w:rPr>
          <w:rFonts w:ascii="Times New Roman" w:hAnsi="Times New Roman" w:cs="Times New Roman"/>
          <w:sz w:val="22"/>
          <w:szCs w:val="22"/>
        </w:rPr>
        <w:t>for</w:t>
      </w:r>
      <w:r w:rsidR="009E31F8">
        <w:rPr>
          <w:rFonts w:ascii="Times New Roman" w:hAnsi="Times New Roman" w:cs="Times New Roman"/>
          <w:sz w:val="22"/>
          <w:szCs w:val="22"/>
        </w:rPr>
        <w:t xml:space="preserve"> most prominent marker genes</w:t>
      </w:r>
      <w:r w:rsidR="0009422A">
        <w:rPr>
          <w:rFonts w:ascii="Times New Roman" w:hAnsi="Times New Roman" w:cs="Times New Roman"/>
          <w:sz w:val="22"/>
          <w:szCs w:val="22"/>
        </w:rPr>
        <w:t xml:space="preserve"> between cluster 0</w:t>
      </w:r>
      <w:r w:rsidR="0095515A">
        <w:rPr>
          <w:rFonts w:ascii="Times New Roman" w:hAnsi="Times New Roman" w:cs="Times New Roman"/>
          <w:sz w:val="22"/>
          <w:szCs w:val="22"/>
        </w:rPr>
        <w:t xml:space="preserve"> </w:t>
      </w:r>
      <w:r w:rsidR="00EC7FBC">
        <w:rPr>
          <w:rFonts w:ascii="Times New Roman" w:hAnsi="Times New Roman" w:cs="Times New Roman"/>
          <w:sz w:val="22"/>
          <w:szCs w:val="22"/>
        </w:rPr>
        <w:t>(</w:t>
      </w:r>
      <w:r w:rsidR="000620B2">
        <w:rPr>
          <w:rFonts w:ascii="Times New Roman" w:hAnsi="Times New Roman" w:cs="Times New Roman"/>
          <w:sz w:val="22"/>
          <w:szCs w:val="22"/>
        </w:rPr>
        <w:t>labeled as EMRA.1</w:t>
      </w:r>
      <w:r w:rsidR="00EC7FBC">
        <w:rPr>
          <w:rFonts w:ascii="Times New Roman" w:hAnsi="Times New Roman" w:cs="Times New Roman"/>
          <w:sz w:val="22"/>
          <w:szCs w:val="22"/>
        </w:rPr>
        <w:t>)</w:t>
      </w:r>
      <w:r w:rsidR="0009422A">
        <w:rPr>
          <w:rFonts w:ascii="Times New Roman" w:hAnsi="Times New Roman" w:cs="Times New Roman"/>
          <w:sz w:val="22"/>
          <w:szCs w:val="22"/>
        </w:rPr>
        <w:t xml:space="preserve"> and 2</w:t>
      </w:r>
      <w:r w:rsidR="000620B2">
        <w:rPr>
          <w:rFonts w:ascii="Times New Roman" w:hAnsi="Times New Roman" w:cs="Times New Roman"/>
          <w:sz w:val="22"/>
          <w:szCs w:val="22"/>
        </w:rPr>
        <w:t xml:space="preserve"> (s EMRA.2)</w:t>
      </w:r>
      <w:r w:rsidR="00F70F63">
        <w:rPr>
          <w:rFonts w:ascii="Times New Roman" w:hAnsi="Times New Roman" w:cs="Times New Roman"/>
          <w:sz w:val="22"/>
          <w:szCs w:val="22"/>
        </w:rPr>
        <w:t xml:space="preserve"> </w:t>
      </w:r>
      <w:r w:rsidR="00C57A1F">
        <w:rPr>
          <w:rFonts w:ascii="Times New Roman" w:hAnsi="Times New Roman" w:cs="Times New Roman"/>
          <w:sz w:val="22"/>
          <w:szCs w:val="22"/>
        </w:rPr>
        <w:t>is</w:t>
      </w:r>
      <w:r w:rsidR="0095515A">
        <w:rPr>
          <w:rFonts w:ascii="Times New Roman" w:hAnsi="Times New Roman" w:cs="Times New Roman"/>
          <w:sz w:val="22"/>
          <w:szCs w:val="22"/>
        </w:rPr>
        <w:t xml:space="preserve"> </w:t>
      </w:r>
      <w:r w:rsidR="00F70F63">
        <w:rPr>
          <w:rFonts w:ascii="Times New Roman" w:hAnsi="Times New Roman" w:cs="Times New Roman"/>
          <w:sz w:val="22"/>
          <w:szCs w:val="22"/>
        </w:rPr>
        <w:t xml:space="preserve">shown in </w:t>
      </w:r>
      <w:r w:rsidRPr="00F70F63" w:rsidR="00F70F63">
        <w:rPr>
          <w:rFonts w:ascii="Times New Roman" w:hAnsi="Times New Roman" w:cs="Times New Roman"/>
          <w:b/>
          <w:bCs/>
          <w:sz w:val="22"/>
          <w:szCs w:val="22"/>
        </w:rPr>
        <w:t>c</w:t>
      </w:r>
      <w:r w:rsidR="00F70F63">
        <w:rPr>
          <w:rFonts w:ascii="Times New Roman" w:hAnsi="Times New Roman" w:cs="Times New Roman"/>
          <w:sz w:val="22"/>
          <w:szCs w:val="22"/>
        </w:rPr>
        <w:t>.</w:t>
      </w:r>
      <w:r w:rsidR="00F70F63">
        <w:rPr>
          <w:rFonts w:ascii="Times New Roman" w:hAnsi="Times New Roman" w:cs="Times New Roman"/>
          <w:b/>
          <w:bCs/>
          <w:sz w:val="22"/>
          <w:szCs w:val="22"/>
        </w:rPr>
        <w:t xml:space="preserve"> </w:t>
      </w:r>
      <w:r w:rsidR="00CF25A3">
        <w:rPr>
          <w:rFonts w:ascii="Times New Roman" w:hAnsi="Times New Roman" w:cs="Times New Roman"/>
          <w:b/>
          <w:bCs/>
          <w:sz w:val="22"/>
          <w:szCs w:val="22"/>
        </w:rPr>
        <w:t>d</w:t>
      </w:r>
      <w:r w:rsidRPr="002E5EC1">
        <w:rPr>
          <w:rFonts w:ascii="Times New Roman" w:hAnsi="Times New Roman" w:cs="Times New Roman"/>
          <w:b/>
          <w:bCs/>
          <w:sz w:val="22"/>
          <w:szCs w:val="22"/>
        </w:rPr>
        <w:t xml:space="preserve"> and </w:t>
      </w:r>
      <w:r w:rsidR="00CF25A3">
        <w:rPr>
          <w:rFonts w:ascii="Times New Roman" w:hAnsi="Times New Roman" w:cs="Times New Roman"/>
          <w:b/>
          <w:bCs/>
          <w:sz w:val="22"/>
          <w:szCs w:val="22"/>
        </w:rPr>
        <w:t>e</w:t>
      </w:r>
      <w:r w:rsidRPr="002E5EC1">
        <w:rPr>
          <w:rFonts w:ascii="Times New Roman" w:hAnsi="Times New Roman" w:cs="Times New Roman"/>
          <w:b/>
          <w:bCs/>
          <w:sz w:val="22"/>
          <w:szCs w:val="22"/>
        </w:rPr>
        <w:t>,</w:t>
      </w:r>
      <w:r w:rsidRPr="002E5EC1">
        <w:rPr>
          <w:rFonts w:ascii="Times New Roman" w:hAnsi="Times New Roman" w:cs="Times New Roman"/>
          <w:sz w:val="22"/>
          <w:szCs w:val="22"/>
        </w:rPr>
        <w:t xml:space="preserve"> </w:t>
      </w:r>
      <w:proofErr w:type="gramStart"/>
      <w:r w:rsidRPr="002E5EC1">
        <w:rPr>
          <w:rFonts w:ascii="Times New Roman" w:hAnsi="Times New Roman" w:cs="Times New Roman"/>
          <w:sz w:val="22"/>
          <w:szCs w:val="22"/>
        </w:rPr>
        <w:t>Significantly</w:t>
      </w:r>
      <w:proofErr w:type="gramEnd"/>
      <w:r w:rsidRPr="002E5EC1">
        <w:rPr>
          <w:rFonts w:ascii="Times New Roman" w:hAnsi="Times New Roman" w:cs="Times New Roman"/>
          <w:sz w:val="22"/>
          <w:szCs w:val="22"/>
        </w:rPr>
        <w:t xml:space="preserve"> differentially expressed protein-coding genes for CD4 and CD8 T cells were determined using a Wilcoxon rank-sum test. Genes with an FDR &lt;0.05 and an absolute fold change &gt;1.25 were considered statistically significant. Only test genes that are detected in a minimum fraction of 25% cells in either of the two groups were considered for the test. For each cell identity, 10 significant genes (ranked by log2FC) are shown. The color intensity indicates the standardized average expression level in a cell identity. The dot size indicates the percentage of expressing cells within each cell identity of the corresponding genes. </w:t>
      </w:r>
      <w:r w:rsidR="00CF25A3">
        <w:rPr>
          <w:rFonts w:ascii="Times New Roman" w:hAnsi="Times New Roman" w:cs="Times New Roman"/>
          <w:b/>
          <w:bCs/>
          <w:sz w:val="22"/>
          <w:szCs w:val="22"/>
        </w:rPr>
        <w:t>f</w:t>
      </w:r>
      <w:r w:rsidRPr="002E5EC1">
        <w:rPr>
          <w:rFonts w:ascii="Times New Roman" w:hAnsi="Times New Roman" w:cs="Times New Roman"/>
          <w:sz w:val="22"/>
          <w:szCs w:val="22"/>
        </w:rPr>
        <w:t xml:space="preserve">, Average expression values of the CAR construct for each CAR product for CD4 and CD8 cells, grouped by time point. </w:t>
      </w:r>
      <w:r w:rsidR="00CF25A3">
        <w:rPr>
          <w:rFonts w:ascii="Times New Roman" w:hAnsi="Times New Roman" w:cs="Times New Roman"/>
          <w:b/>
          <w:bCs/>
          <w:sz w:val="22"/>
          <w:szCs w:val="22"/>
        </w:rPr>
        <w:t>g</w:t>
      </w:r>
      <w:r w:rsidRPr="002E5EC1">
        <w:rPr>
          <w:rFonts w:ascii="Times New Roman" w:hAnsi="Times New Roman" w:cs="Times New Roman"/>
          <w:sz w:val="22"/>
          <w:szCs w:val="22"/>
        </w:rPr>
        <w:t>, Log-rank tests were performed for each cell type and time point to evaluate probabilities of PFS between patients with scaled cell type proportion &gt; 0 compared to patients with proportion ≤ 0. Log hazard ratios (</w:t>
      </w:r>
      <w:proofErr w:type="spellStart"/>
      <w:r w:rsidRPr="002E5EC1">
        <w:rPr>
          <w:rFonts w:ascii="Times New Roman" w:hAnsi="Times New Roman" w:cs="Times New Roman"/>
          <w:sz w:val="22"/>
          <w:szCs w:val="22"/>
        </w:rPr>
        <w:t>logHR</w:t>
      </w:r>
      <w:proofErr w:type="spellEnd"/>
      <w:r w:rsidRPr="002E5EC1">
        <w:rPr>
          <w:rFonts w:ascii="Times New Roman" w:hAnsi="Times New Roman" w:cs="Times New Roman"/>
          <w:sz w:val="22"/>
          <w:szCs w:val="22"/>
        </w:rPr>
        <w:t xml:space="preserve">) were estimated by Cox-regression with standardized cell type fraction on a continuous scale. </w:t>
      </w:r>
      <w:r w:rsidR="00CF25A3">
        <w:rPr>
          <w:rFonts w:ascii="Times New Roman" w:hAnsi="Times New Roman" w:cs="Times New Roman"/>
          <w:b/>
          <w:bCs/>
          <w:sz w:val="22"/>
          <w:szCs w:val="22"/>
        </w:rPr>
        <w:t>h</w:t>
      </w:r>
      <w:r w:rsidRPr="002E5EC1">
        <w:rPr>
          <w:rFonts w:ascii="Times New Roman" w:hAnsi="Times New Roman" w:cs="Times New Roman"/>
          <w:sz w:val="22"/>
          <w:szCs w:val="22"/>
        </w:rPr>
        <w:t xml:space="preserve">, Forest plot of the overall </w:t>
      </w:r>
      <w:proofErr w:type="spellStart"/>
      <w:r w:rsidRPr="002E5EC1">
        <w:rPr>
          <w:rFonts w:ascii="Times New Roman" w:hAnsi="Times New Roman" w:cs="Times New Roman"/>
          <w:sz w:val="22"/>
          <w:szCs w:val="22"/>
        </w:rPr>
        <w:t>logHRs</w:t>
      </w:r>
      <w:proofErr w:type="spellEnd"/>
      <w:r w:rsidRPr="002E5EC1">
        <w:rPr>
          <w:rFonts w:ascii="Times New Roman" w:hAnsi="Times New Roman" w:cs="Times New Roman"/>
          <w:sz w:val="22"/>
          <w:szCs w:val="22"/>
        </w:rPr>
        <w:t xml:space="preserve"> and corresponding 90% confidence intervals (90% CI) estimated by multivariate Cox-regression with standardized cell type fraction on a continuous scale and CAR product as covariate. </w:t>
      </w:r>
      <w:proofErr w:type="spellStart"/>
      <w:r w:rsidRPr="002E5EC1">
        <w:rPr>
          <w:rFonts w:ascii="Times New Roman" w:hAnsi="Times New Roman" w:cs="Times New Roman"/>
          <w:sz w:val="22"/>
          <w:szCs w:val="22"/>
        </w:rPr>
        <w:t>logHRs</w:t>
      </w:r>
      <w:proofErr w:type="spellEnd"/>
      <w:r w:rsidRPr="002E5EC1">
        <w:rPr>
          <w:rFonts w:ascii="Times New Roman" w:hAnsi="Times New Roman" w:cs="Times New Roman"/>
          <w:sz w:val="22"/>
          <w:szCs w:val="22"/>
        </w:rPr>
        <w:t xml:space="preserve"> with a p-value &lt; 0.1 are highlighted with an asterisk.</w:t>
      </w:r>
    </w:p>
    <w:p w:rsidR="003D1993" w:rsidRDefault="003D1993" w14:paraId="718A0895" w14:textId="0A3CF51E">
      <w:pPr>
        <w:rPr>
          <w:rFonts w:ascii="Times New Roman" w:hAnsi="Times New Roman" w:cs="Times New Roman"/>
          <w:sz w:val="22"/>
          <w:szCs w:val="22"/>
        </w:rPr>
      </w:pPr>
      <w:r>
        <w:rPr>
          <w:rFonts w:ascii="Times New Roman" w:hAnsi="Times New Roman" w:cs="Times New Roman"/>
          <w:sz w:val="22"/>
          <w:szCs w:val="22"/>
        </w:rPr>
        <w:br w:type="page"/>
      </w:r>
    </w:p>
    <w:p w:rsidR="001F40F9" w:rsidP="002E5EC1" w:rsidRDefault="001F40F9" w14:paraId="5F94316D" w14:textId="77777777">
      <w:pPr>
        <w:jc w:val="both"/>
        <w:rPr>
          <w:rFonts w:ascii="Times New Roman" w:hAnsi="Times New Roman" w:cs="Times New Roman"/>
          <w:sz w:val="22"/>
          <w:szCs w:val="22"/>
        </w:rPr>
      </w:pPr>
    </w:p>
    <w:p w:rsidR="001F40F9" w:rsidP="002E5EC1" w:rsidRDefault="001F40F9" w14:paraId="108C8A87" w14:textId="0FBADA0B">
      <w:pPr>
        <w:jc w:val="both"/>
        <w:rPr>
          <w:rFonts w:ascii="Times New Roman" w:hAnsi="Times New Roman" w:cs="Times New Roman"/>
          <w:sz w:val="22"/>
          <w:szCs w:val="22"/>
        </w:rPr>
      </w:pPr>
      <w:r>
        <w:rPr>
          <w:rFonts w:ascii="Times New Roman" w:hAnsi="Times New Roman" w:cs="Times New Roman"/>
          <w:b/>
          <w:bCs/>
          <w:noProof/>
          <w:sz w:val="22"/>
          <w:szCs w:val="22"/>
        </w:rPr>
        <w:drawing>
          <wp:inline distT="0" distB="0" distL="0" distR="0" wp14:anchorId="0E4B9A89" wp14:editId="58218FC9">
            <wp:extent cx="6477000" cy="613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1606" r="1606"/>
                    <a:stretch>
                      <a:fillRect/>
                    </a:stretch>
                  </pic:blipFill>
                  <pic:spPr bwMode="auto">
                    <a:xfrm>
                      <a:off x="0" y="0"/>
                      <a:ext cx="6477000" cy="6134100"/>
                    </a:xfrm>
                    <a:prstGeom prst="rect">
                      <a:avLst/>
                    </a:prstGeom>
                    <a:noFill/>
                    <a:ln>
                      <a:noFill/>
                    </a:ln>
                    <a:extLst>
                      <a:ext uri="{53640926-AAD7-44D8-BBD7-CCE9431645EC}">
                        <a14:shadowObscured xmlns:a14="http://schemas.microsoft.com/office/drawing/2010/main"/>
                      </a:ext>
                    </a:extLst>
                  </pic:spPr>
                </pic:pic>
              </a:graphicData>
            </a:graphic>
          </wp:inline>
        </w:drawing>
      </w:r>
    </w:p>
    <w:p w:rsidR="00F913C5" w:rsidP="002E5EC1" w:rsidRDefault="00F913C5" w14:paraId="4A5B68D2" w14:textId="53D26B49">
      <w:pPr>
        <w:jc w:val="both"/>
        <w:rPr>
          <w:rFonts w:ascii="Times New Roman" w:hAnsi="Times New Roman" w:cs="Times New Roman"/>
          <w:sz w:val="22"/>
          <w:szCs w:val="22"/>
        </w:rPr>
      </w:pPr>
      <w:r w:rsidRPr="004835F4">
        <w:rPr>
          <w:rFonts w:ascii="Times New Roman" w:hAnsi="Times New Roman" w:cs="Times New Roman"/>
          <w:b/>
          <w:bCs/>
          <w:sz w:val="22"/>
          <w:szCs w:val="22"/>
        </w:rPr>
        <w:t>E</w:t>
      </w:r>
      <w:r>
        <w:rPr>
          <w:rFonts w:ascii="Times New Roman" w:hAnsi="Times New Roman" w:cs="Times New Roman"/>
          <w:b/>
          <w:bCs/>
          <w:sz w:val="22"/>
          <w:szCs w:val="22"/>
        </w:rPr>
        <w:t>xtended Data</w:t>
      </w:r>
      <w:r w:rsidRPr="004835F4">
        <w:rPr>
          <w:rFonts w:ascii="Times New Roman" w:hAnsi="Times New Roman" w:cs="Times New Roman"/>
          <w:b/>
          <w:bCs/>
          <w:sz w:val="22"/>
          <w:szCs w:val="22"/>
        </w:rPr>
        <w:t xml:space="preserve"> Fig. </w:t>
      </w:r>
      <w:r>
        <w:rPr>
          <w:rFonts w:ascii="Times New Roman" w:hAnsi="Times New Roman" w:cs="Times New Roman"/>
          <w:b/>
          <w:bCs/>
          <w:sz w:val="22"/>
          <w:szCs w:val="22"/>
        </w:rPr>
        <w:t xml:space="preserve">4 </w:t>
      </w:r>
      <w:r w:rsidRPr="00134F21">
        <w:rPr>
          <w:rFonts w:ascii="Times New Roman" w:hAnsi="Times New Roman" w:cs="Times New Roman"/>
          <w:b/>
          <w:bCs/>
          <w:sz w:val="22"/>
          <w:szCs w:val="22"/>
        </w:rPr>
        <w:t xml:space="preserve">| </w:t>
      </w:r>
      <w:r w:rsidRPr="00134F21">
        <w:rPr>
          <w:rFonts w:ascii="Times New Roman" w:hAnsi="Times New Roman" w:cs="Times New Roman"/>
          <w:b/>
          <w:sz w:val="22"/>
          <w:szCs w:val="22"/>
        </w:rPr>
        <w:t xml:space="preserve">Analysis of T cell landscape following CAR T cell infusion. </w:t>
      </w:r>
      <w:r w:rsidR="006C3593">
        <w:rPr>
          <w:rFonts w:ascii="Times New Roman" w:hAnsi="Times New Roman" w:cs="Times New Roman"/>
          <w:b/>
          <w:sz w:val="22"/>
          <w:szCs w:val="22"/>
        </w:rPr>
        <w:t xml:space="preserve">a </w:t>
      </w:r>
      <w:r w:rsidRPr="00F86059" w:rsidR="006C3593">
        <w:rPr>
          <w:rFonts w:ascii="Times New Roman" w:hAnsi="Times New Roman" w:cs="Times New Roman"/>
          <w:bCs/>
          <w:sz w:val="22"/>
          <w:szCs w:val="22"/>
        </w:rPr>
        <w:t>and</w:t>
      </w:r>
      <w:r w:rsidR="006C3593">
        <w:rPr>
          <w:rFonts w:ascii="Times New Roman" w:hAnsi="Times New Roman" w:cs="Times New Roman"/>
          <w:b/>
          <w:sz w:val="22"/>
          <w:szCs w:val="22"/>
        </w:rPr>
        <w:t xml:space="preserve"> b</w:t>
      </w:r>
      <w:r w:rsidRPr="00F913C5">
        <w:rPr>
          <w:rFonts w:ascii="Times New Roman" w:hAnsi="Times New Roman" w:cs="Times New Roman"/>
          <w:sz w:val="22"/>
          <w:szCs w:val="22"/>
        </w:rPr>
        <w:t xml:space="preserve">, Differential gene expression analysis for T cell subtypes comparing non-CR with CR at time of leukapheresis and very late time points. Only subtypes with significant (FDR &lt; 0.05) changes in gene expression are shown. A positive log2 fold change indicates upregulation in patients with non-CR. </w:t>
      </w:r>
      <w:r w:rsidR="00F86059">
        <w:rPr>
          <w:rFonts w:ascii="Times New Roman" w:hAnsi="Times New Roman" w:cs="Times New Roman"/>
          <w:b/>
          <w:sz w:val="22"/>
          <w:szCs w:val="22"/>
        </w:rPr>
        <w:t>c</w:t>
      </w:r>
      <w:r w:rsidRPr="00F913C5">
        <w:rPr>
          <w:rFonts w:ascii="Times New Roman" w:hAnsi="Times New Roman" w:cs="Times New Roman"/>
          <w:sz w:val="22"/>
          <w:szCs w:val="22"/>
        </w:rPr>
        <w:t>, Gene ontology term (for biological processes) enrichment analysis for significantly differentially expressed (DE) genes from all three time points. Terms are ranked by rich factor, which is the number of DE genes in the term divided by the number of background genes in that term. The dot plot depicts the most enriched GO terms (FDR &lt; 0.05). The color indicates the term direction, which is the number of DE genes with a log fold change of &gt;0 minus the number of DE genes with a log fold change of &lt;0 divided by the square root of the number of term-associated genes</w:t>
      </w:r>
    </w:p>
    <w:p w:rsidR="003D1993" w:rsidRDefault="003D1993" w14:paraId="500A1E60" w14:textId="2F3C3273">
      <w:pPr>
        <w:rPr>
          <w:rFonts w:ascii="Times New Roman" w:hAnsi="Times New Roman" w:cs="Times New Roman"/>
          <w:sz w:val="22"/>
          <w:szCs w:val="22"/>
        </w:rPr>
      </w:pPr>
      <w:r>
        <w:rPr>
          <w:rFonts w:ascii="Times New Roman" w:hAnsi="Times New Roman" w:cs="Times New Roman"/>
          <w:sz w:val="22"/>
          <w:szCs w:val="22"/>
        </w:rPr>
        <w:br w:type="page"/>
      </w:r>
    </w:p>
    <w:p w:rsidR="003D1993" w:rsidP="002E5EC1" w:rsidRDefault="009F7DBA" w14:paraId="33683CFF" w14:textId="5FD2960C">
      <w:pPr>
        <w:jc w:val="both"/>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750D5A64" wp14:editId="37B3B4EC">
            <wp:extent cx="6482715" cy="545910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l="509" r="509"/>
                    <a:stretch>
                      <a:fillRect/>
                    </a:stretch>
                  </pic:blipFill>
                  <pic:spPr bwMode="auto">
                    <a:xfrm>
                      <a:off x="0" y="0"/>
                      <a:ext cx="6482715" cy="5459105"/>
                    </a:xfrm>
                    <a:prstGeom prst="rect">
                      <a:avLst/>
                    </a:prstGeom>
                    <a:noFill/>
                    <a:ln>
                      <a:noFill/>
                    </a:ln>
                    <a:extLst>
                      <a:ext uri="{53640926-AAD7-44D8-BBD7-CCE9431645EC}">
                        <a14:shadowObscured xmlns:a14="http://schemas.microsoft.com/office/drawing/2010/main"/>
                      </a:ext>
                    </a:extLst>
                  </pic:spPr>
                </pic:pic>
              </a:graphicData>
            </a:graphic>
          </wp:inline>
        </w:drawing>
      </w:r>
    </w:p>
    <w:p w:rsidR="00C70716" w:rsidP="002E5EC1" w:rsidRDefault="002C6D7A" w14:paraId="5A16168A" w14:textId="0EC69DAE">
      <w:pPr>
        <w:jc w:val="both"/>
        <w:rPr>
          <w:rFonts w:ascii="Times New Roman" w:hAnsi="Times New Roman" w:cs="Times New Roman"/>
          <w:sz w:val="22"/>
          <w:szCs w:val="22"/>
        </w:rPr>
      </w:pPr>
      <w:r w:rsidRPr="00294166">
        <w:rPr>
          <w:rFonts w:ascii="Times New Roman" w:hAnsi="Times New Roman" w:cs="Times New Roman"/>
          <w:b/>
          <w:bCs/>
          <w:color w:val="000000" w:themeColor="text1"/>
          <w:sz w:val="22"/>
          <w:szCs w:val="22"/>
        </w:rPr>
        <w:t xml:space="preserve">Extended Data Fig. </w:t>
      </w:r>
      <w:r w:rsidRPr="00294166" w:rsidR="004D73ED">
        <w:rPr>
          <w:rFonts w:ascii="Times New Roman" w:hAnsi="Times New Roman" w:cs="Times New Roman"/>
          <w:b/>
          <w:bCs/>
          <w:color w:val="000000" w:themeColor="text1"/>
          <w:sz w:val="22"/>
          <w:szCs w:val="22"/>
        </w:rPr>
        <w:t>5</w:t>
      </w:r>
      <w:r w:rsidRPr="00294166">
        <w:rPr>
          <w:rFonts w:ascii="Times New Roman" w:hAnsi="Times New Roman" w:cs="Times New Roman"/>
          <w:b/>
          <w:bCs/>
          <w:color w:val="000000" w:themeColor="text1"/>
          <w:sz w:val="22"/>
          <w:szCs w:val="22"/>
        </w:rPr>
        <w:t xml:space="preserve"> | Analysis of T cell trajectories</w:t>
      </w:r>
      <w:r w:rsidRPr="00294166">
        <w:rPr>
          <w:rFonts w:ascii="Times New Roman" w:hAnsi="Times New Roman" w:cs="Times New Roman"/>
          <w:color w:val="000000" w:themeColor="text1"/>
          <w:sz w:val="22"/>
          <w:szCs w:val="22"/>
        </w:rPr>
        <w:t xml:space="preserve">. </w:t>
      </w:r>
      <w:r w:rsidRPr="00626D30" w:rsidR="00626D30">
        <w:rPr>
          <w:rFonts w:ascii="Times New Roman" w:hAnsi="Times New Roman" w:cs="Times New Roman"/>
          <w:b/>
          <w:sz w:val="22"/>
          <w:szCs w:val="22"/>
        </w:rPr>
        <w:t>a</w:t>
      </w:r>
      <w:r w:rsidRPr="00D41E90" w:rsidR="00D41E90">
        <w:rPr>
          <w:rFonts w:ascii="Times New Roman" w:hAnsi="Times New Roman" w:cs="Times New Roman"/>
          <w:sz w:val="22"/>
          <w:szCs w:val="22"/>
        </w:rPr>
        <w:t xml:space="preserve"> and </w:t>
      </w:r>
      <w:r w:rsidR="00D41E90">
        <w:rPr>
          <w:rFonts w:ascii="Times New Roman" w:hAnsi="Times New Roman" w:cs="Times New Roman"/>
          <w:b/>
          <w:sz w:val="22"/>
          <w:szCs w:val="22"/>
        </w:rPr>
        <w:t>b</w:t>
      </w:r>
      <w:r w:rsidR="00626D30">
        <w:rPr>
          <w:rFonts w:ascii="Times New Roman" w:hAnsi="Times New Roman" w:cs="Times New Roman"/>
          <w:sz w:val="22"/>
          <w:szCs w:val="22"/>
        </w:rPr>
        <w:t xml:space="preserve">, </w:t>
      </w:r>
      <w:proofErr w:type="gramStart"/>
      <w:r w:rsidR="00602B6D">
        <w:rPr>
          <w:rFonts w:ascii="Times New Roman" w:hAnsi="Times New Roman" w:cs="Times New Roman"/>
          <w:sz w:val="22"/>
          <w:szCs w:val="22"/>
        </w:rPr>
        <w:t>For</w:t>
      </w:r>
      <w:proofErr w:type="gramEnd"/>
      <w:r w:rsidR="00602B6D">
        <w:rPr>
          <w:rFonts w:ascii="Times New Roman" w:hAnsi="Times New Roman" w:cs="Times New Roman"/>
          <w:sz w:val="22"/>
          <w:szCs w:val="22"/>
        </w:rPr>
        <w:t xml:space="preserve"> enrichment analysis,</w:t>
      </w:r>
      <w:r w:rsidRPr="002E709E" w:rsidR="002E709E">
        <w:rPr>
          <w:rFonts w:ascii="Times New Roman" w:hAnsi="Times New Roman" w:cs="Times New Roman"/>
          <w:sz w:val="22"/>
          <w:szCs w:val="22"/>
        </w:rPr>
        <w:t xml:space="preserve"> the R package </w:t>
      </w:r>
      <w:proofErr w:type="spellStart"/>
      <w:r w:rsidRPr="002E709E" w:rsidR="002E709E">
        <w:rPr>
          <w:rFonts w:ascii="Times New Roman" w:hAnsi="Times New Roman" w:cs="Times New Roman"/>
          <w:sz w:val="22"/>
          <w:szCs w:val="22"/>
        </w:rPr>
        <w:t>UCell</w:t>
      </w:r>
      <w:proofErr w:type="spellEnd"/>
      <w:r w:rsidRPr="002E709E" w:rsidR="002E709E">
        <w:rPr>
          <w:rFonts w:ascii="Times New Roman" w:hAnsi="Times New Roman" w:cs="Times New Roman"/>
          <w:sz w:val="22"/>
          <w:szCs w:val="22"/>
        </w:rPr>
        <w:t xml:space="preserve"> with CD8</w:t>
      </w:r>
      <w:r w:rsidR="002E709E">
        <w:rPr>
          <w:rFonts w:ascii="Times New Roman" w:hAnsi="Times New Roman" w:cs="Times New Roman"/>
          <w:sz w:val="22"/>
          <w:szCs w:val="22"/>
        </w:rPr>
        <w:t xml:space="preserve"> and CD4</w:t>
      </w:r>
      <w:r w:rsidRPr="002E709E" w:rsidR="002E709E">
        <w:rPr>
          <w:rFonts w:ascii="Times New Roman" w:hAnsi="Times New Roman" w:cs="Times New Roman"/>
          <w:sz w:val="22"/>
          <w:szCs w:val="22"/>
        </w:rPr>
        <w:t xml:space="preserve"> </w:t>
      </w:r>
      <w:r w:rsidR="0022206F">
        <w:rPr>
          <w:rFonts w:ascii="Times New Roman" w:hAnsi="Times New Roman" w:cs="Times New Roman"/>
          <w:sz w:val="22"/>
          <w:szCs w:val="22"/>
        </w:rPr>
        <w:t>gene sets</w:t>
      </w:r>
      <w:r w:rsidRPr="002C6D7A" w:rsidR="00294166">
        <w:rPr>
          <w:rFonts w:ascii="Times New Roman" w:hAnsi="Times New Roman" w:cs="Times New Roman"/>
          <w:sz w:val="22"/>
          <w:szCs w:val="22"/>
        </w:rPr>
        <w:t xml:space="preserve"> </w:t>
      </w:r>
      <w:r w:rsidRPr="002E709E" w:rsidR="002E709E">
        <w:rPr>
          <w:rFonts w:ascii="Times New Roman" w:hAnsi="Times New Roman" w:cs="Times New Roman"/>
          <w:sz w:val="22"/>
          <w:szCs w:val="22"/>
        </w:rPr>
        <w:t>from Chu et al.​</w:t>
      </w:r>
      <w:r w:rsidR="003E1364">
        <w:rPr>
          <w:rFonts w:ascii="Times New Roman" w:hAnsi="Times New Roman" w:cs="Times New Roman"/>
          <w:sz w:val="22"/>
          <w:szCs w:val="22"/>
        </w:rPr>
        <w:t xml:space="preserve"> (</w:t>
      </w:r>
      <w:r w:rsidRPr="003E1364" w:rsidR="003E1364">
        <w:rPr>
          <w:rFonts w:ascii="Times New Roman" w:hAnsi="Times New Roman" w:cs="Times New Roman"/>
          <w:sz w:val="22"/>
          <w:szCs w:val="22"/>
        </w:rPr>
        <w:t>PMID: 37248301</w:t>
      </w:r>
      <w:r w:rsidR="003E1364">
        <w:rPr>
          <w:rFonts w:ascii="Times New Roman" w:hAnsi="Times New Roman" w:cs="Times New Roman"/>
          <w:sz w:val="22"/>
          <w:szCs w:val="22"/>
        </w:rPr>
        <w:t>)</w:t>
      </w:r>
      <w:r w:rsidRPr="002E709E" w:rsidR="002E709E">
        <w:rPr>
          <w:rFonts w:ascii="Times New Roman" w:hAnsi="Times New Roman" w:cs="Times New Roman"/>
          <w:sz w:val="22"/>
          <w:szCs w:val="22"/>
        </w:rPr>
        <w:t xml:space="preserve"> as reference</w:t>
      </w:r>
      <w:r w:rsidR="00602B6D">
        <w:rPr>
          <w:rFonts w:ascii="Times New Roman" w:hAnsi="Times New Roman" w:cs="Times New Roman"/>
          <w:sz w:val="22"/>
          <w:szCs w:val="22"/>
        </w:rPr>
        <w:t xml:space="preserve"> were used.</w:t>
      </w:r>
      <w:r w:rsidRPr="002E709E" w:rsidR="002E709E">
        <w:rPr>
          <w:rFonts w:ascii="Times New Roman" w:hAnsi="Times New Roman" w:cs="Times New Roman"/>
          <w:sz w:val="22"/>
          <w:szCs w:val="22"/>
        </w:rPr>
        <w:t xml:space="preserve"> </w:t>
      </w:r>
      <w:r w:rsidR="0022206F">
        <w:rPr>
          <w:rFonts w:ascii="Times New Roman" w:hAnsi="Times New Roman" w:cs="Times New Roman"/>
          <w:sz w:val="22"/>
          <w:szCs w:val="22"/>
        </w:rPr>
        <w:t>An</w:t>
      </w:r>
      <w:r w:rsidRPr="00626D30" w:rsidR="00626D30">
        <w:rPr>
          <w:rFonts w:ascii="Times New Roman" w:hAnsi="Times New Roman" w:cs="Times New Roman"/>
          <w:sz w:val="22"/>
          <w:szCs w:val="22"/>
        </w:rPr>
        <w:t xml:space="preserve"> average enrichment score was calculated for each gene set and each cell cluster (and each time point).</w:t>
      </w:r>
      <w:r w:rsidR="00D41E90">
        <w:rPr>
          <w:rFonts w:ascii="Times New Roman" w:hAnsi="Times New Roman" w:cs="Times New Roman"/>
          <w:sz w:val="22"/>
          <w:szCs w:val="22"/>
        </w:rPr>
        <w:t xml:space="preserve"> </w:t>
      </w:r>
      <w:r w:rsidRPr="00D41E90">
        <w:rPr>
          <w:rFonts w:ascii="Times New Roman" w:hAnsi="Times New Roman" w:cs="Times New Roman"/>
          <w:b/>
          <w:sz w:val="22"/>
          <w:szCs w:val="22"/>
        </w:rPr>
        <w:t>c</w:t>
      </w:r>
      <w:r w:rsidRPr="002C6D7A">
        <w:rPr>
          <w:rFonts w:ascii="Times New Roman" w:hAnsi="Times New Roman" w:cs="Times New Roman"/>
          <w:sz w:val="22"/>
          <w:szCs w:val="22"/>
        </w:rPr>
        <w:t xml:space="preserve">, </w:t>
      </w:r>
      <w:proofErr w:type="gramStart"/>
      <w:r w:rsidRPr="00F85AB7" w:rsidR="00F85AB7">
        <w:rPr>
          <w:rFonts w:ascii="Times New Roman" w:hAnsi="Times New Roman" w:cs="Times New Roman"/>
          <w:sz w:val="22"/>
          <w:szCs w:val="22"/>
        </w:rPr>
        <w:t>For</w:t>
      </w:r>
      <w:proofErr w:type="gramEnd"/>
      <w:r w:rsidRPr="00F85AB7" w:rsidR="00F85AB7">
        <w:rPr>
          <w:rFonts w:ascii="Times New Roman" w:hAnsi="Times New Roman" w:cs="Times New Roman"/>
          <w:sz w:val="22"/>
          <w:szCs w:val="22"/>
        </w:rPr>
        <w:t xml:space="preserve"> each cell cluster, differential expression of cells from non-CR was compared with CR, followed by enrichment analysis for </w:t>
      </w:r>
      <w:r w:rsidR="001E1A71">
        <w:rPr>
          <w:rFonts w:ascii="Times New Roman" w:hAnsi="Times New Roman" w:cs="Times New Roman"/>
          <w:sz w:val="22"/>
          <w:szCs w:val="22"/>
        </w:rPr>
        <w:t>corresponding</w:t>
      </w:r>
      <w:r w:rsidRPr="00F85AB7" w:rsidR="00F85AB7">
        <w:rPr>
          <w:rFonts w:ascii="Times New Roman" w:hAnsi="Times New Roman" w:cs="Times New Roman"/>
          <w:sz w:val="22"/>
          <w:szCs w:val="22"/>
        </w:rPr>
        <w:t xml:space="preserve"> DE genes with </w:t>
      </w:r>
      <w:r w:rsidRPr="002E709E" w:rsidR="00F85AB7">
        <w:rPr>
          <w:rFonts w:ascii="Times New Roman" w:hAnsi="Times New Roman" w:cs="Times New Roman"/>
          <w:sz w:val="22"/>
          <w:szCs w:val="22"/>
        </w:rPr>
        <w:t>CD8</w:t>
      </w:r>
      <w:r w:rsidR="00F85AB7">
        <w:rPr>
          <w:rFonts w:ascii="Times New Roman" w:hAnsi="Times New Roman" w:cs="Times New Roman"/>
          <w:sz w:val="22"/>
          <w:szCs w:val="22"/>
        </w:rPr>
        <w:t xml:space="preserve"> and CD4</w:t>
      </w:r>
      <w:r w:rsidRPr="002E709E" w:rsidR="00F85AB7">
        <w:rPr>
          <w:rFonts w:ascii="Times New Roman" w:hAnsi="Times New Roman" w:cs="Times New Roman"/>
          <w:sz w:val="22"/>
          <w:szCs w:val="22"/>
        </w:rPr>
        <w:t xml:space="preserve"> </w:t>
      </w:r>
      <w:r w:rsidRPr="00F85AB7" w:rsidR="00F85AB7">
        <w:rPr>
          <w:rFonts w:ascii="Times New Roman" w:hAnsi="Times New Roman" w:cs="Times New Roman"/>
          <w:sz w:val="22"/>
          <w:szCs w:val="22"/>
        </w:rPr>
        <w:t>gene sets.</w:t>
      </w:r>
      <w:r w:rsidR="00F85AB7">
        <w:rPr>
          <w:rFonts w:ascii="Times New Roman" w:hAnsi="Times New Roman" w:cs="Times New Roman"/>
          <w:sz w:val="22"/>
          <w:szCs w:val="22"/>
        </w:rPr>
        <w:t xml:space="preserve"> </w:t>
      </w:r>
      <w:r w:rsidRPr="002C6D7A">
        <w:rPr>
          <w:rFonts w:ascii="Times New Roman" w:hAnsi="Times New Roman" w:cs="Times New Roman"/>
          <w:sz w:val="22"/>
          <w:szCs w:val="22"/>
        </w:rPr>
        <w:t>Pathways are ranked by rich factor, which is the number of DE genes in the term divided by the number of background genes in that term. The dot plot depicts the most enriched pathways (FDR &lt; 0.05). The color indicates the pathway direction, which is the number of DE genes with a log fold change of &gt;0 minus the number of DE genes with a log fold change of &lt;0 divided by the square root of the number of pathway-associated genes</w:t>
      </w:r>
      <w:r w:rsidR="004D45AE">
        <w:rPr>
          <w:rFonts w:ascii="Times New Roman" w:hAnsi="Times New Roman" w:cs="Times New Roman"/>
          <w:sz w:val="22"/>
          <w:szCs w:val="22"/>
        </w:rPr>
        <w:t>.</w:t>
      </w:r>
    </w:p>
    <w:p w:rsidR="00C70716" w:rsidRDefault="00C70716" w14:paraId="749BD83A" w14:textId="77777777">
      <w:pPr>
        <w:rPr>
          <w:rFonts w:ascii="Times New Roman" w:hAnsi="Times New Roman" w:cs="Times New Roman"/>
          <w:sz w:val="22"/>
          <w:szCs w:val="22"/>
        </w:rPr>
      </w:pPr>
      <w:r>
        <w:rPr>
          <w:rFonts w:ascii="Times New Roman" w:hAnsi="Times New Roman" w:cs="Times New Roman"/>
          <w:sz w:val="22"/>
          <w:szCs w:val="22"/>
        </w:rPr>
        <w:br w:type="page"/>
      </w:r>
    </w:p>
    <w:p w:rsidR="00C70716" w:rsidP="002E5EC1" w:rsidRDefault="00C70716" w14:paraId="6C2AB598" w14:textId="14DF61B2">
      <w:pPr>
        <w:jc w:val="both"/>
        <w:rPr>
          <w:rFonts w:ascii="Times New Roman" w:hAnsi="Times New Roman" w:cs="Times New Roman"/>
          <w:b/>
          <w:bCs/>
          <w:sz w:val="22"/>
          <w:szCs w:val="22"/>
        </w:rPr>
      </w:pPr>
      <w:r>
        <w:rPr>
          <w:rFonts w:ascii="Times New Roman" w:hAnsi="Times New Roman" w:cs="Times New Roman"/>
          <w:b/>
          <w:bCs/>
          <w:noProof/>
          <w:sz w:val="22"/>
          <w:szCs w:val="22"/>
        </w:rPr>
        <w:lastRenderedPageBreak/>
        <w:drawing>
          <wp:inline distT="0" distB="0" distL="0" distR="0" wp14:anchorId="7A03B5D2" wp14:editId="543B1133">
            <wp:extent cx="6477000" cy="560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l="1818" r="1818"/>
                    <a:stretch>
                      <a:fillRect/>
                    </a:stretch>
                  </pic:blipFill>
                  <pic:spPr bwMode="auto">
                    <a:xfrm>
                      <a:off x="0" y="0"/>
                      <a:ext cx="6477000" cy="5600700"/>
                    </a:xfrm>
                    <a:prstGeom prst="rect">
                      <a:avLst/>
                    </a:prstGeom>
                    <a:noFill/>
                    <a:ln>
                      <a:noFill/>
                    </a:ln>
                    <a:extLst>
                      <a:ext uri="{53640926-AAD7-44D8-BBD7-CCE9431645EC}">
                        <a14:shadowObscured xmlns:a14="http://schemas.microsoft.com/office/drawing/2010/main"/>
                      </a:ext>
                    </a:extLst>
                  </pic:spPr>
                </pic:pic>
              </a:graphicData>
            </a:graphic>
          </wp:inline>
        </w:drawing>
      </w:r>
    </w:p>
    <w:p w:rsidR="00C70716" w:rsidP="002E5EC1" w:rsidRDefault="00E11C11" w14:paraId="55BCA89F" w14:textId="5F93D749">
      <w:pPr>
        <w:jc w:val="both"/>
        <w:rPr>
          <w:rFonts w:ascii="Times New Roman" w:hAnsi="Times New Roman" w:cs="Times New Roman"/>
          <w:sz w:val="22"/>
          <w:szCs w:val="22"/>
        </w:rPr>
      </w:pPr>
      <w:r w:rsidRPr="004835F4">
        <w:rPr>
          <w:rFonts w:ascii="Times New Roman" w:hAnsi="Times New Roman" w:cs="Times New Roman"/>
          <w:b/>
          <w:bCs/>
          <w:sz w:val="22"/>
          <w:szCs w:val="22"/>
        </w:rPr>
        <w:t>E</w:t>
      </w:r>
      <w:r>
        <w:rPr>
          <w:rFonts w:ascii="Times New Roman" w:hAnsi="Times New Roman" w:cs="Times New Roman"/>
          <w:b/>
          <w:bCs/>
          <w:sz w:val="22"/>
          <w:szCs w:val="22"/>
        </w:rPr>
        <w:t>xtended Data</w:t>
      </w:r>
      <w:r w:rsidRPr="004835F4">
        <w:rPr>
          <w:rFonts w:ascii="Times New Roman" w:hAnsi="Times New Roman" w:cs="Times New Roman"/>
          <w:b/>
          <w:bCs/>
          <w:sz w:val="22"/>
          <w:szCs w:val="22"/>
        </w:rPr>
        <w:t xml:space="preserve"> Fig. </w:t>
      </w:r>
      <w:r w:rsidRPr="00E15BF0">
        <w:rPr>
          <w:rFonts w:ascii="Times New Roman" w:hAnsi="Times New Roman" w:cs="Times New Roman"/>
          <w:b/>
          <w:bCs/>
          <w:sz w:val="22"/>
          <w:szCs w:val="22"/>
        </w:rPr>
        <w:t>6 |</w:t>
      </w:r>
      <w:r w:rsidR="00E15BF0">
        <w:rPr>
          <w:rFonts w:ascii="Times New Roman" w:hAnsi="Times New Roman" w:cs="Times New Roman"/>
          <w:b/>
          <w:bCs/>
          <w:sz w:val="22"/>
          <w:szCs w:val="22"/>
        </w:rPr>
        <w:t xml:space="preserve"> </w:t>
      </w:r>
      <w:r w:rsidRPr="00AF03F9">
        <w:rPr>
          <w:rFonts w:ascii="Times New Roman" w:hAnsi="Times New Roman" w:cs="Times New Roman"/>
          <w:b/>
          <w:sz w:val="22"/>
          <w:szCs w:val="22"/>
        </w:rPr>
        <w:t>Differential gene expression analysis for all cell types and time points comparing CRS with non-CRS patients.</w:t>
      </w:r>
      <w:r w:rsidRPr="00E11C11">
        <w:rPr>
          <w:rFonts w:ascii="Times New Roman" w:hAnsi="Times New Roman" w:cs="Times New Roman"/>
          <w:sz w:val="22"/>
          <w:szCs w:val="22"/>
        </w:rPr>
        <w:t xml:space="preserve"> Only cell types with significant (FDR &lt; 0.05) changes in gene expression are shown. A positive log2 fold change indicates upregulation in patients with CRS</w:t>
      </w:r>
    </w:p>
    <w:p w:rsidR="00C70716" w:rsidRDefault="00C70716" w14:paraId="45B706DA" w14:textId="77777777">
      <w:pPr>
        <w:rPr>
          <w:rFonts w:ascii="Times New Roman" w:hAnsi="Times New Roman" w:cs="Times New Roman"/>
          <w:sz w:val="22"/>
          <w:szCs w:val="22"/>
        </w:rPr>
      </w:pPr>
      <w:r>
        <w:rPr>
          <w:rFonts w:ascii="Times New Roman" w:hAnsi="Times New Roman" w:cs="Times New Roman"/>
          <w:sz w:val="22"/>
          <w:szCs w:val="22"/>
        </w:rPr>
        <w:br w:type="page"/>
      </w:r>
    </w:p>
    <w:p w:rsidR="00E11C11" w:rsidP="002E5EC1" w:rsidRDefault="001602C7" w14:paraId="34453F22" w14:textId="1FF96AED">
      <w:pPr>
        <w:jc w:val="both"/>
        <w:rPr>
          <w:rFonts w:ascii="Times New Roman" w:hAnsi="Times New Roman" w:cs="Times New Roman"/>
          <w:sz w:val="22"/>
          <w:szCs w:val="22"/>
        </w:rPr>
      </w:pPr>
      <w:r>
        <w:rPr>
          <w:noProof/>
        </w:rPr>
        <w:lastRenderedPageBreak/>
        <w:drawing>
          <wp:inline distT="0" distB="0" distL="0" distR="0" wp14:anchorId="3E87BC0C" wp14:editId="6A087CFD">
            <wp:extent cx="6473190" cy="29908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l="1930" r="1930"/>
                    <a:stretch>
                      <a:fillRect/>
                    </a:stretch>
                  </pic:blipFill>
                  <pic:spPr bwMode="auto">
                    <a:xfrm>
                      <a:off x="0" y="0"/>
                      <a:ext cx="6473190" cy="2990850"/>
                    </a:xfrm>
                    <a:prstGeom prst="rect">
                      <a:avLst/>
                    </a:prstGeom>
                    <a:noFill/>
                    <a:ln>
                      <a:noFill/>
                    </a:ln>
                    <a:extLst>
                      <a:ext uri="{53640926-AAD7-44D8-BBD7-CCE9431645EC}">
                        <a14:shadowObscured xmlns:a14="http://schemas.microsoft.com/office/drawing/2010/main"/>
                      </a:ext>
                    </a:extLst>
                  </pic:spPr>
                </pic:pic>
              </a:graphicData>
            </a:graphic>
          </wp:inline>
        </w:drawing>
      </w:r>
    </w:p>
    <w:p w:rsidR="001602C7" w:rsidP="002E5EC1" w:rsidRDefault="00E15BF0" w14:paraId="3AB61F71" w14:textId="44A5F565">
      <w:pPr>
        <w:jc w:val="both"/>
        <w:rPr>
          <w:rFonts w:ascii="Times New Roman" w:hAnsi="Times New Roman" w:cs="Times New Roman"/>
          <w:sz w:val="22"/>
          <w:szCs w:val="22"/>
        </w:rPr>
      </w:pPr>
      <w:r w:rsidRPr="004835F4">
        <w:rPr>
          <w:rFonts w:ascii="Times New Roman" w:hAnsi="Times New Roman" w:cs="Times New Roman"/>
          <w:b/>
          <w:bCs/>
          <w:sz w:val="22"/>
          <w:szCs w:val="22"/>
        </w:rPr>
        <w:t>E</w:t>
      </w:r>
      <w:r>
        <w:rPr>
          <w:rFonts w:ascii="Times New Roman" w:hAnsi="Times New Roman" w:cs="Times New Roman"/>
          <w:b/>
          <w:bCs/>
          <w:sz w:val="22"/>
          <w:szCs w:val="22"/>
        </w:rPr>
        <w:t>xtended Data</w:t>
      </w:r>
      <w:r w:rsidRPr="004835F4">
        <w:rPr>
          <w:rFonts w:ascii="Times New Roman" w:hAnsi="Times New Roman" w:cs="Times New Roman"/>
          <w:b/>
          <w:bCs/>
          <w:sz w:val="22"/>
          <w:szCs w:val="22"/>
        </w:rPr>
        <w:t xml:space="preserve"> Fig. </w:t>
      </w:r>
      <w:r>
        <w:rPr>
          <w:rFonts w:ascii="Times New Roman" w:hAnsi="Times New Roman" w:cs="Times New Roman"/>
          <w:b/>
          <w:bCs/>
          <w:sz w:val="22"/>
          <w:szCs w:val="22"/>
        </w:rPr>
        <w:t>7</w:t>
      </w:r>
      <w:r w:rsidRPr="00E15BF0">
        <w:rPr>
          <w:rFonts w:ascii="Times New Roman" w:hAnsi="Times New Roman" w:cs="Times New Roman"/>
          <w:b/>
          <w:bCs/>
          <w:sz w:val="22"/>
          <w:szCs w:val="22"/>
        </w:rPr>
        <w:t xml:space="preserve"> | Gene set enrichment analysis (GSEA) for all cell types and time points comparing CRS with non-CRS patients. </w:t>
      </w:r>
      <w:r w:rsidRPr="00E15BF0">
        <w:rPr>
          <w:rFonts w:ascii="Times New Roman" w:hAnsi="Times New Roman" w:cs="Times New Roman"/>
          <w:sz w:val="22"/>
          <w:szCs w:val="22"/>
        </w:rPr>
        <w:t>GSEA based on estimated log2 fold change from the differential gene expression analysis</w:t>
      </w:r>
      <w:r w:rsidR="003E290A">
        <w:rPr>
          <w:rFonts w:ascii="Times New Roman" w:hAnsi="Times New Roman" w:cs="Times New Roman"/>
          <w:sz w:val="22"/>
          <w:szCs w:val="22"/>
        </w:rPr>
        <w:t xml:space="preserve"> (</w:t>
      </w:r>
      <w:r w:rsidRPr="00C33A71" w:rsidR="00C33A71">
        <w:rPr>
          <w:rFonts w:ascii="Times New Roman" w:hAnsi="Times New Roman" w:cs="Times New Roman"/>
          <w:sz w:val="22"/>
          <w:szCs w:val="22"/>
        </w:rPr>
        <w:t xml:space="preserve">CRS </w:t>
      </w:r>
      <w:r w:rsidR="003E290A">
        <w:rPr>
          <w:rFonts w:ascii="Times New Roman" w:hAnsi="Times New Roman" w:cs="Times New Roman"/>
          <w:sz w:val="22"/>
          <w:szCs w:val="22"/>
        </w:rPr>
        <w:t>vs,</w:t>
      </w:r>
      <w:r w:rsidRPr="00C33A71" w:rsidR="00C33A71">
        <w:rPr>
          <w:rFonts w:ascii="Times New Roman" w:hAnsi="Times New Roman" w:cs="Times New Roman"/>
          <w:sz w:val="22"/>
          <w:szCs w:val="22"/>
        </w:rPr>
        <w:t xml:space="preserve"> non-CRS</w:t>
      </w:r>
      <w:r w:rsidR="003E290A">
        <w:rPr>
          <w:rFonts w:ascii="Times New Roman" w:hAnsi="Times New Roman" w:cs="Times New Roman"/>
          <w:sz w:val="22"/>
          <w:szCs w:val="22"/>
        </w:rPr>
        <w:t>)</w:t>
      </w:r>
      <w:r w:rsidRPr="00E15BF0">
        <w:rPr>
          <w:rFonts w:ascii="Times New Roman" w:hAnsi="Times New Roman" w:cs="Times New Roman"/>
          <w:sz w:val="22"/>
          <w:szCs w:val="22"/>
        </w:rPr>
        <w:t xml:space="preserve">. GSEA was performed with the </w:t>
      </w:r>
      <w:proofErr w:type="spellStart"/>
      <w:r w:rsidRPr="00E15BF0">
        <w:rPr>
          <w:rFonts w:ascii="Times New Roman" w:hAnsi="Times New Roman" w:cs="Times New Roman"/>
          <w:sz w:val="22"/>
          <w:szCs w:val="22"/>
        </w:rPr>
        <w:t>fgsea</w:t>
      </w:r>
      <w:proofErr w:type="spellEnd"/>
      <w:r w:rsidRPr="00E15BF0">
        <w:rPr>
          <w:rFonts w:ascii="Times New Roman" w:hAnsi="Times New Roman" w:cs="Times New Roman"/>
          <w:sz w:val="22"/>
          <w:szCs w:val="22"/>
        </w:rPr>
        <w:t xml:space="preserve"> function from the R package </w:t>
      </w:r>
      <w:proofErr w:type="spellStart"/>
      <w:r w:rsidRPr="00E15BF0">
        <w:rPr>
          <w:rFonts w:ascii="Times New Roman" w:hAnsi="Times New Roman" w:cs="Times New Roman"/>
          <w:sz w:val="22"/>
          <w:szCs w:val="22"/>
        </w:rPr>
        <w:t>fgsea</w:t>
      </w:r>
      <w:proofErr w:type="spellEnd"/>
      <w:r w:rsidRPr="00E15BF0">
        <w:rPr>
          <w:rFonts w:ascii="Times New Roman" w:hAnsi="Times New Roman" w:cs="Times New Roman"/>
          <w:sz w:val="22"/>
          <w:szCs w:val="22"/>
        </w:rPr>
        <w:t xml:space="preserve"> using the Hallmarks of Cancer gene sets from </w:t>
      </w:r>
      <w:proofErr w:type="spellStart"/>
      <w:r w:rsidRPr="00E15BF0">
        <w:rPr>
          <w:rFonts w:ascii="Times New Roman" w:hAnsi="Times New Roman" w:cs="Times New Roman"/>
          <w:sz w:val="22"/>
          <w:szCs w:val="22"/>
        </w:rPr>
        <w:t>MSigDb</w:t>
      </w:r>
      <w:proofErr w:type="spellEnd"/>
      <w:r w:rsidR="00317F1D">
        <w:rPr>
          <w:rFonts w:ascii="Times New Roman" w:hAnsi="Times New Roman" w:cs="Times New Roman"/>
          <w:sz w:val="22"/>
          <w:szCs w:val="22"/>
        </w:rPr>
        <w:t xml:space="preserve"> as reference</w:t>
      </w:r>
      <w:r w:rsidRPr="00E15BF0">
        <w:rPr>
          <w:rFonts w:ascii="Times New Roman" w:hAnsi="Times New Roman" w:cs="Times New Roman"/>
          <w:sz w:val="22"/>
          <w:szCs w:val="22"/>
        </w:rPr>
        <w:t>. Positive normalized enrichment scores (NES) indicate hallmarks that are enriched in patients with CRS. Only significantly enriched hallmarks are shown (FDR &lt; 0.1).</w:t>
      </w:r>
    </w:p>
    <w:p w:rsidR="001602C7" w:rsidRDefault="001602C7" w14:paraId="2DC40DF1" w14:textId="77777777">
      <w:pPr>
        <w:rPr>
          <w:rFonts w:ascii="Times New Roman" w:hAnsi="Times New Roman" w:cs="Times New Roman"/>
          <w:sz w:val="22"/>
          <w:szCs w:val="22"/>
        </w:rPr>
      </w:pPr>
      <w:r>
        <w:rPr>
          <w:rFonts w:ascii="Times New Roman" w:hAnsi="Times New Roman" w:cs="Times New Roman"/>
          <w:sz w:val="22"/>
          <w:szCs w:val="22"/>
        </w:rPr>
        <w:br w:type="page"/>
      </w:r>
    </w:p>
    <w:p w:rsidR="0057663E" w:rsidP="002E5EC1" w:rsidRDefault="007438EF" w14:paraId="4BDBA717" w14:textId="79CD0239">
      <w:pPr>
        <w:jc w:val="both"/>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466C68FC" wp14:editId="63760C1C">
            <wp:extent cx="6477000" cy="4781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l="1090" r="1090"/>
                    <a:stretch>
                      <a:fillRect/>
                    </a:stretch>
                  </pic:blipFill>
                  <pic:spPr bwMode="auto">
                    <a:xfrm>
                      <a:off x="0" y="0"/>
                      <a:ext cx="6477000" cy="4781550"/>
                    </a:xfrm>
                    <a:prstGeom prst="rect">
                      <a:avLst/>
                    </a:prstGeom>
                    <a:noFill/>
                    <a:ln>
                      <a:noFill/>
                    </a:ln>
                    <a:extLst>
                      <a:ext uri="{53640926-AAD7-44D8-BBD7-CCE9431645EC}">
                        <a14:shadowObscured xmlns:a14="http://schemas.microsoft.com/office/drawing/2010/main"/>
                      </a:ext>
                    </a:extLst>
                  </pic:spPr>
                </pic:pic>
              </a:graphicData>
            </a:graphic>
          </wp:inline>
        </w:drawing>
      </w:r>
    </w:p>
    <w:p w:rsidR="007438EF" w:rsidP="002E5EC1" w:rsidRDefault="0057663E" w14:paraId="07329666" w14:textId="6D537FB7">
      <w:pPr>
        <w:jc w:val="both"/>
        <w:rPr>
          <w:rFonts w:ascii="Times New Roman" w:hAnsi="Times New Roman" w:cs="Times New Roman"/>
          <w:sz w:val="22"/>
          <w:szCs w:val="22"/>
        </w:rPr>
      </w:pPr>
      <w:r w:rsidRPr="004835F4">
        <w:rPr>
          <w:rFonts w:ascii="Times New Roman" w:hAnsi="Times New Roman" w:cs="Times New Roman"/>
          <w:b/>
          <w:bCs/>
          <w:sz w:val="22"/>
          <w:szCs w:val="22"/>
        </w:rPr>
        <w:t>E</w:t>
      </w:r>
      <w:r>
        <w:rPr>
          <w:rFonts w:ascii="Times New Roman" w:hAnsi="Times New Roman" w:cs="Times New Roman"/>
          <w:b/>
          <w:bCs/>
          <w:sz w:val="22"/>
          <w:szCs w:val="22"/>
        </w:rPr>
        <w:t>xtended Data</w:t>
      </w:r>
      <w:r w:rsidRPr="004835F4">
        <w:rPr>
          <w:rFonts w:ascii="Times New Roman" w:hAnsi="Times New Roman" w:cs="Times New Roman"/>
          <w:b/>
          <w:bCs/>
          <w:sz w:val="22"/>
          <w:szCs w:val="22"/>
        </w:rPr>
        <w:t xml:space="preserve"> Fig. </w:t>
      </w:r>
      <w:r>
        <w:rPr>
          <w:rFonts w:ascii="Times New Roman" w:hAnsi="Times New Roman" w:cs="Times New Roman"/>
          <w:b/>
          <w:bCs/>
          <w:sz w:val="22"/>
          <w:szCs w:val="22"/>
        </w:rPr>
        <w:t>8</w:t>
      </w:r>
      <w:r w:rsidRPr="00E15BF0">
        <w:rPr>
          <w:rFonts w:ascii="Times New Roman" w:hAnsi="Times New Roman" w:cs="Times New Roman"/>
          <w:b/>
          <w:bCs/>
          <w:sz w:val="22"/>
          <w:szCs w:val="22"/>
        </w:rPr>
        <w:t xml:space="preserve"> |</w:t>
      </w:r>
      <w:r w:rsidR="00366EB7">
        <w:rPr>
          <w:rFonts w:ascii="Times New Roman" w:hAnsi="Times New Roman" w:cs="Times New Roman"/>
          <w:b/>
          <w:bCs/>
          <w:sz w:val="22"/>
          <w:szCs w:val="22"/>
        </w:rPr>
        <w:t xml:space="preserve"> Differential abundance analysis.</w:t>
      </w:r>
      <w:r w:rsidRPr="00E15BF0">
        <w:rPr>
          <w:rFonts w:ascii="Times New Roman" w:hAnsi="Times New Roman" w:cs="Times New Roman"/>
          <w:b/>
          <w:bCs/>
          <w:sz w:val="22"/>
          <w:szCs w:val="22"/>
        </w:rPr>
        <w:t xml:space="preserve"> </w:t>
      </w:r>
      <w:r w:rsidRPr="00E15BF0" w:rsidR="00E15BF0">
        <w:rPr>
          <w:rFonts w:ascii="Times New Roman" w:hAnsi="Times New Roman" w:cs="Times New Roman"/>
          <w:sz w:val="22"/>
          <w:szCs w:val="22"/>
        </w:rPr>
        <w:t>​</w:t>
      </w:r>
      <w:r w:rsidRPr="0087186D" w:rsidR="0087186D">
        <w:rPr>
          <w:rFonts w:ascii="Arial" w:hAnsi="Arial"/>
          <w:color w:val="000000"/>
          <w:kern w:val="24"/>
          <w:sz w:val="12"/>
          <w:szCs w:val="12"/>
        </w:rPr>
        <w:t xml:space="preserve"> </w:t>
      </w:r>
      <w:r w:rsidRPr="0087186D" w:rsidR="0087186D">
        <w:rPr>
          <w:rFonts w:ascii="Times New Roman" w:hAnsi="Times New Roman" w:cs="Times New Roman"/>
          <w:sz w:val="22"/>
          <w:szCs w:val="22"/>
        </w:rPr>
        <w:t xml:space="preserve">Differences in the cell type proportions between time points for patients treated with </w:t>
      </w:r>
      <w:proofErr w:type="spellStart"/>
      <w:r w:rsidRPr="0087186D" w:rsidR="0087186D">
        <w:rPr>
          <w:rFonts w:ascii="Times New Roman" w:hAnsi="Times New Roman" w:cs="Times New Roman"/>
          <w:sz w:val="22"/>
          <w:szCs w:val="22"/>
        </w:rPr>
        <w:t>Cilta-cel</w:t>
      </w:r>
      <w:proofErr w:type="spellEnd"/>
      <w:r w:rsidRPr="0087186D" w:rsidR="0087186D">
        <w:rPr>
          <w:rFonts w:ascii="Times New Roman" w:hAnsi="Times New Roman" w:cs="Times New Roman"/>
          <w:sz w:val="22"/>
          <w:szCs w:val="22"/>
        </w:rPr>
        <w:t xml:space="preserve"> or Ide-</w:t>
      </w:r>
      <w:proofErr w:type="spellStart"/>
      <w:r w:rsidRPr="0087186D" w:rsidR="0087186D">
        <w:rPr>
          <w:rFonts w:ascii="Times New Roman" w:hAnsi="Times New Roman" w:cs="Times New Roman"/>
          <w:sz w:val="22"/>
          <w:szCs w:val="22"/>
        </w:rPr>
        <w:t>cel</w:t>
      </w:r>
      <w:proofErr w:type="spellEnd"/>
      <w:r w:rsidRPr="0087186D" w:rsidR="0087186D">
        <w:rPr>
          <w:rFonts w:ascii="Times New Roman" w:hAnsi="Times New Roman" w:cs="Times New Roman"/>
          <w:sz w:val="22"/>
          <w:szCs w:val="22"/>
        </w:rPr>
        <w:t xml:space="preserve"> are shown (y-axis). P-values were estimated using the speckle package. Here, the design matrix takes the pairing information (Patient ID) into account. Shown are p-values &lt; .1</w:t>
      </w:r>
    </w:p>
    <w:p w:rsidR="007438EF" w:rsidRDefault="007438EF" w14:paraId="37577FA6" w14:textId="77777777">
      <w:pPr>
        <w:rPr>
          <w:rFonts w:ascii="Times New Roman" w:hAnsi="Times New Roman" w:cs="Times New Roman"/>
          <w:sz w:val="22"/>
          <w:szCs w:val="22"/>
        </w:rPr>
      </w:pPr>
      <w:r w:rsidRPr="3D531FC9">
        <w:rPr>
          <w:rFonts w:ascii="Times New Roman" w:hAnsi="Times New Roman" w:cs="Times New Roman"/>
          <w:sz w:val="22"/>
          <w:szCs w:val="22"/>
        </w:rPr>
        <w:br w:type="page"/>
      </w:r>
    </w:p>
    <w:p w:rsidRPr="002E5EC1" w:rsidR="00E15BF0" w:rsidP="002E5EC1" w:rsidRDefault="003F6440" w14:paraId="0C5D2B51" w14:textId="60631974">
      <w:pPr>
        <w:jc w:val="both"/>
      </w:pPr>
      <w:r w:rsidR="3EF5C206">
        <w:drawing>
          <wp:inline wp14:editId="31C15298" wp14:anchorId="65108E4B">
            <wp:extent cx="6705602" cy="5591176"/>
            <wp:effectExtent l="0" t="0" r="0" b="0"/>
            <wp:docPr id="1011400767" name="" title=""/>
            <wp:cNvGraphicFramePr>
              <a:graphicFrameLocks noChangeAspect="1"/>
            </wp:cNvGraphicFramePr>
            <a:graphic>
              <a:graphicData uri="http://schemas.openxmlformats.org/drawingml/2006/picture">
                <pic:pic>
                  <pic:nvPicPr>
                    <pic:cNvPr id="0" name=""/>
                    <pic:cNvPicPr/>
                  </pic:nvPicPr>
                  <pic:blipFill>
                    <a:blip r:embed="R1f1db985e4ac4503">
                      <a:extLst>
                        <a:ext xmlns:a="http://schemas.openxmlformats.org/drawingml/2006/main" uri="{28A0092B-C50C-407E-A947-70E740481C1C}">
                          <a14:useLocalDpi val="0"/>
                        </a:ext>
                      </a:extLst>
                    </a:blip>
                    <a:stretch>
                      <a:fillRect/>
                    </a:stretch>
                  </pic:blipFill>
                  <pic:spPr>
                    <a:xfrm>
                      <a:off x="0" y="0"/>
                      <a:ext cx="6705602" cy="5591176"/>
                    </a:xfrm>
                    <a:prstGeom prst="rect">
                      <a:avLst/>
                    </a:prstGeom>
                  </pic:spPr>
                </pic:pic>
              </a:graphicData>
            </a:graphic>
          </wp:inline>
        </w:drawing>
      </w:r>
    </w:p>
    <w:p w:rsidR="3EF5C206" w:rsidP="3D531FC9" w:rsidRDefault="3EF5C206" w14:paraId="127513BA" w14:textId="2FADEB65">
      <w:pPr>
        <w:spacing w:before="0" w:beforeAutospacing="off" w:after="160" w:afterAutospacing="off" w:line="279" w:lineRule="auto"/>
        <w:ind w:left="0" w:right="0"/>
        <w:jc w:val="both"/>
        <w:rPr>
          <w:rFonts w:ascii="Times New Roman" w:hAnsi="Times New Roman" w:eastAsia="Times New Roman" w:cs="Times New Roman"/>
          <w:noProof w:val="0"/>
          <w:sz w:val="22"/>
          <w:szCs w:val="22"/>
          <w:lang w:val="en-US"/>
        </w:rPr>
      </w:pPr>
      <w:r w:rsidRPr="3D531FC9" w:rsidR="3EF5C206">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 xml:space="preserve">Extended Data Fig. 9 | Analysis of BCMA expressing cell types. a </w:t>
      </w:r>
      <w:r w:rsidRPr="3D531FC9" w:rsidR="3EF5C20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Two-dimensional embedding of B- and plasma cells as presented in Fig. 6a. Cells are color coded for hallmark genes of B-cell differentiation (PMID: 36861964). In </w:t>
      </w:r>
      <w:r w:rsidRPr="3D531FC9" w:rsidR="3EF5C206">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b</w:t>
      </w:r>
      <w:r w:rsidRPr="3D531FC9" w:rsidR="3EF5C20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the distribution of plasma cells per patient and time point is shown. Only patients with ≥50 cells (highlighted by a dashed gray line) were included. </w:t>
      </w:r>
      <w:r w:rsidRPr="3D531FC9" w:rsidR="3EF5C206">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c</w:t>
      </w:r>
      <w:r w:rsidRPr="3D531FC9" w:rsidR="3EF5C20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Expression of therapeutic target genes in MM in circulating plasma cells separately for each patient and time point. Only patients with ≥50 cells are shown. </w:t>
      </w:r>
      <w:r w:rsidRPr="3D531FC9" w:rsidR="3EF5C206">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d</w:t>
      </w:r>
      <w:r w:rsidRPr="3D531FC9" w:rsidR="3EF5C20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illustrates the composition of B-cells subtypes derived from </w:t>
      </w:r>
      <w:r w:rsidRPr="3D531FC9" w:rsidR="3EF5C20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scRNA</w:t>
      </w:r>
      <w:r w:rsidRPr="3D531FC9" w:rsidR="3EF5C20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-seq data for each time point. </w:t>
      </w:r>
      <w:r w:rsidRPr="3D531FC9" w:rsidR="3EF5C206">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e</w:t>
      </w:r>
      <w:r w:rsidRPr="3D531FC9" w:rsidR="3EF5C20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Comparison of the proportion of B-cells derived from </w:t>
      </w:r>
      <w:r w:rsidRPr="3D531FC9" w:rsidR="3EF5C20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scRNA</w:t>
      </w:r>
      <w:r w:rsidRPr="3D531FC9" w:rsidR="3EF5C20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-seq between patients without infections, early infections (&lt;20 days after CAR-T infusion) and late infections (≥20 days after CAR-T infusion) for all time points. No significant differences were </w:t>
      </w:r>
      <w:r w:rsidRPr="3D531FC9" w:rsidR="3EF5C20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observed</w:t>
      </w:r>
      <w:r w:rsidRPr="3D531FC9" w:rsidR="3EF5C20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(Kruskal-</w:t>
      </w:r>
      <w:r w:rsidRPr="3D531FC9" w:rsidR="3EF5C20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Wallis</w:t>
      </w:r>
      <w:r w:rsidRPr="3D531FC9" w:rsidR="3EF5C20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test: p&gt;0.05 for all timepoints). </w:t>
      </w:r>
      <w:r w:rsidRPr="3D531FC9" w:rsidR="3EF5C206">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f</w:t>
      </w:r>
      <w:r w:rsidRPr="3D531FC9" w:rsidR="3EF5C20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3D531FC9" w:rsidR="3EF5C20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The</w:t>
      </w:r>
      <w:r w:rsidRPr="3D531FC9" w:rsidR="3EF5C20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number of B-cells per µl from routine blood work is compared between patients with CR and non-CR separately for patients treated with Ide-cel (top) and Cilta-cel (bottom). Thin lines </w:t>
      </w:r>
      <w:r w:rsidRPr="3D531FC9" w:rsidR="3EF5C20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represent</w:t>
      </w:r>
      <w:r w:rsidRPr="3D531FC9" w:rsidR="3EF5C20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individual patients. B-cell levels were linearly interpolated between -10 days up to 200 days after CAR-T infusion with a step size of 10 (highlighted by circles) and compared by Wilcoxon rank-sum tests (ns: p&gt;0.05; *: 0.01&lt;p≤0.05; **: p≤0.01). For Cilta-cel, the number of non-CR patients with available data was too small to allow a meaningful determination of statistical significance. </w:t>
      </w:r>
      <w:r w:rsidRPr="3D531FC9" w:rsidR="3EF5C206">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g</w:t>
      </w:r>
      <w:r w:rsidRPr="3D531FC9" w:rsidR="3EF5C20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Spearman correlation between </w:t>
      </w:r>
      <w:r w:rsidRPr="3D531FC9" w:rsidR="3EF5C20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sBCMA</w:t>
      </w:r>
      <w:r w:rsidRPr="3D531FC9" w:rsidR="3EF5C20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levels at day 0, day 30 and fold change between day30 and day 0, CRP baseline (CRP_BASE), maximal CRP levels (CRP_MAX) and the CRP fold change, maximal CAR-T expansion (maximal proportion of CAR+ cells among all CD3+ cells in percent) and CRS grade. Non-significant correlations (p&gt;0.05) are marked by gray crosses.</w:t>
      </w:r>
    </w:p>
    <w:p w:rsidR="00294F59" w:rsidRDefault="00294F59" w14:paraId="2C078E63" w14:textId="435E9EA8"/>
    <w:sectPr w:rsidR="00294F59" w:rsidSect="002B0DE6">
      <w:pgSz w:w="12240" w:h="15840" w:orient="portrait"/>
      <w:pgMar w:top="1134" w:right="851" w:bottom="1134"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76D0" w:rsidP="00AF03F9" w:rsidRDefault="007076D0" w14:paraId="7A3F997B" w14:textId="77777777">
      <w:pPr>
        <w:spacing w:after="0" w:line="240" w:lineRule="auto"/>
      </w:pPr>
      <w:r>
        <w:separator/>
      </w:r>
    </w:p>
  </w:endnote>
  <w:endnote w:type="continuationSeparator" w:id="0">
    <w:p w:rsidR="007076D0" w:rsidP="00AF03F9" w:rsidRDefault="007076D0" w14:paraId="35875C0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76D0" w:rsidP="00AF03F9" w:rsidRDefault="007076D0" w14:paraId="5F15E063" w14:textId="77777777">
      <w:pPr>
        <w:spacing w:after="0" w:line="240" w:lineRule="auto"/>
      </w:pPr>
      <w:r>
        <w:separator/>
      </w:r>
    </w:p>
  </w:footnote>
  <w:footnote w:type="continuationSeparator" w:id="0">
    <w:p w:rsidR="007076D0" w:rsidP="00AF03F9" w:rsidRDefault="007076D0" w14:paraId="023C3B6C" w14:textId="777777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5EAAC5C"/>
    <w:rsid w:val="00007650"/>
    <w:rsid w:val="000324C5"/>
    <w:rsid w:val="000404F1"/>
    <w:rsid w:val="000620B2"/>
    <w:rsid w:val="00085B36"/>
    <w:rsid w:val="0009422A"/>
    <w:rsid w:val="0009470A"/>
    <w:rsid w:val="000C7259"/>
    <w:rsid w:val="000F6A35"/>
    <w:rsid w:val="00134F21"/>
    <w:rsid w:val="001602C7"/>
    <w:rsid w:val="00196C92"/>
    <w:rsid w:val="001B0D30"/>
    <w:rsid w:val="001E1A71"/>
    <w:rsid w:val="001EE406"/>
    <w:rsid w:val="001F40F9"/>
    <w:rsid w:val="0021271D"/>
    <w:rsid w:val="0022206F"/>
    <w:rsid w:val="00223112"/>
    <w:rsid w:val="00233207"/>
    <w:rsid w:val="00294166"/>
    <w:rsid w:val="002945CB"/>
    <w:rsid w:val="00294F59"/>
    <w:rsid w:val="002B0DE6"/>
    <w:rsid w:val="002C6D7A"/>
    <w:rsid w:val="002D3B54"/>
    <w:rsid w:val="002E5EC1"/>
    <w:rsid w:val="002E709E"/>
    <w:rsid w:val="00317F1D"/>
    <w:rsid w:val="003275AD"/>
    <w:rsid w:val="00366EB7"/>
    <w:rsid w:val="00392F4E"/>
    <w:rsid w:val="003A15B3"/>
    <w:rsid w:val="003C3893"/>
    <w:rsid w:val="003D1993"/>
    <w:rsid w:val="003E1364"/>
    <w:rsid w:val="003E1CEE"/>
    <w:rsid w:val="003E290A"/>
    <w:rsid w:val="003F560D"/>
    <w:rsid w:val="003F6440"/>
    <w:rsid w:val="0043045F"/>
    <w:rsid w:val="00447418"/>
    <w:rsid w:val="00471EB4"/>
    <w:rsid w:val="004835F4"/>
    <w:rsid w:val="00484EF3"/>
    <w:rsid w:val="0049431D"/>
    <w:rsid w:val="004A35CB"/>
    <w:rsid w:val="004A6590"/>
    <w:rsid w:val="004B68CD"/>
    <w:rsid w:val="004D45AE"/>
    <w:rsid w:val="004D6257"/>
    <w:rsid w:val="004D73ED"/>
    <w:rsid w:val="005061E2"/>
    <w:rsid w:val="00507F0C"/>
    <w:rsid w:val="00557756"/>
    <w:rsid w:val="0057663E"/>
    <w:rsid w:val="005A2848"/>
    <w:rsid w:val="005B1F49"/>
    <w:rsid w:val="00602B6D"/>
    <w:rsid w:val="00626D30"/>
    <w:rsid w:val="00627ED6"/>
    <w:rsid w:val="00660B88"/>
    <w:rsid w:val="00691D9D"/>
    <w:rsid w:val="006B4B03"/>
    <w:rsid w:val="006C3593"/>
    <w:rsid w:val="006D25F1"/>
    <w:rsid w:val="007076D0"/>
    <w:rsid w:val="007438EF"/>
    <w:rsid w:val="00750781"/>
    <w:rsid w:val="00773FFB"/>
    <w:rsid w:val="007763CB"/>
    <w:rsid w:val="007A7C5F"/>
    <w:rsid w:val="007C2169"/>
    <w:rsid w:val="00855C87"/>
    <w:rsid w:val="00856CB0"/>
    <w:rsid w:val="0087186D"/>
    <w:rsid w:val="008840D5"/>
    <w:rsid w:val="008A7779"/>
    <w:rsid w:val="008B34CD"/>
    <w:rsid w:val="008B3889"/>
    <w:rsid w:val="00911430"/>
    <w:rsid w:val="0095515A"/>
    <w:rsid w:val="009709AB"/>
    <w:rsid w:val="009E31F8"/>
    <w:rsid w:val="009F3CD2"/>
    <w:rsid w:val="009F7DBA"/>
    <w:rsid w:val="00A11B8A"/>
    <w:rsid w:val="00A343DA"/>
    <w:rsid w:val="00A52967"/>
    <w:rsid w:val="00A97792"/>
    <w:rsid w:val="00AF03F9"/>
    <w:rsid w:val="00B205B4"/>
    <w:rsid w:val="00B96651"/>
    <w:rsid w:val="00BB5D76"/>
    <w:rsid w:val="00BB6981"/>
    <w:rsid w:val="00C314C0"/>
    <w:rsid w:val="00C33A71"/>
    <w:rsid w:val="00C40C26"/>
    <w:rsid w:val="00C57A1F"/>
    <w:rsid w:val="00C70716"/>
    <w:rsid w:val="00CE5D10"/>
    <w:rsid w:val="00CF25A3"/>
    <w:rsid w:val="00D41E90"/>
    <w:rsid w:val="00D449F3"/>
    <w:rsid w:val="00D66E54"/>
    <w:rsid w:val="00D76F8C"/>
    <w:rsid w:val="00D8290D"/>
    <w:rsid w:val="00E11C11"/>
    <w:rsid w:val="00E15BF0"/>
    <w:rsid w:val="00E20792"/>
    <w:rsid w:val="00E93402"/>
    <w:rsid w:val="00EA1306"/>
    <w:rsid w:val="00EC7FBC"/>
    <w:rsid w:val="00EFC208"/>
    <w:rsid w:val="00F0192B"/>
    <w:rsid w:val="00F357A4"/>
    <w:rsid w:val="00F414E5"/>
    <w:rsid w:val="00F46091"/>
    <w:rsid w:val="00F60F78"/>
    <w:rsid w:val="00F70F63"/>
    <w:rsid w:val="00F721A9"/>
    <w:rsid w:val="00F85AB7"/>
    <w:rsid w:val="00F86059"/>
    <w:rsid w:val="00F913C5"/>
    <w:rsid w:val="01B0FE8D"/>
    <w:rsid w:val="02469E78"/>
    <w:rsid w:val="034C62F7"/>
    <w:rsid w:val="0387E8F7"/>
    <w:rsid w:val="0433F602"/>
    <w:rsid w:val="053E32E0"/>
    <w:rsid w:val="05EAAC5C"/>
    <w:rsid w:val="06E5FAC4"/>
    <w:rsid w:val="0B2DC791"/>
    <w:rsid w:val="0C16A13F"/>
    <w:rsid w:val="0C4F5F64"/>
    <w:rsid w:val="0CB59445"/>
    <w:rsid w:val="0E60EEF2"/>
    <w:rsid w:val="0E9F80D5"/>
    <w:rsid w:val="0F1DCB34"/>
    <w:rsid w:val="12E6D628"/>
    <w:rsid w:val="1327FB85"/>
    <w:rsid w:val="19CBE916"/>
    <w:rsid w:val="1AF7420E"/>
    <w:rsid w:val="1C4E8379"/>
    <w:rsid w:val="1DA41ED8"/>
    <w:rsid w:val="1E882C7F"/>
    <w:rsid w:val="1ECEC5A6"/>
    <w:rsid w:val="2056126B"/>
    <w:rsid w:val="2293174B"/>
    <w:rsid w:val="233ADA30"/>
    <w:rsid w:val="23BC0547"/>
    <w:rsid w:val="25011AA5"/>
    <w:rsid w:val="276D1EAF"/>
    <w:rsid w:val="279A52DB"/>
    <w:rsid w:val="27BB9A97"/>
    <w:rsid w:val="27CCE0DD"/>
    <w:rsid w:val="29F4F2A2"/>
    <w:rsid w:val="2B478455"/>
    <w:rsid w:val="2BA6B881"/>
    <w:rsid w:val="2BD9C647"/>
    <w:rsid w:val="2C4A5F2B"/>
    <w:rsid w:val="2CD33CA7"/>
    <w:rsid w:val="2F77E591"/>
    <w:rsid w:val="2FD56701"/>
    <w:rsid w:val="315FFB45"/>
    <w:rsid w:val="33F6F8CB"/>
    <w:rsid w:val="34C472A5"/>
    <w:rsid w:val="362D3F2F"/>
    <w:rsid w:val="362EE777"/>
    <w:rsid w:val="3766DD03"/>
    <w:rsid w:val="38BBCE5E"/>
    <w:rsid w:val="3A1B8D74"/>
    <w:rsid w:val="3B57DC62"/>
    <w:rsid w:val="3BED14DC"/>
    <w:rsid w:val="3D531FC9"/>
    <w:rsid w:val="3EF5C206"/>
    <w:rsid w:val="3F9E6144"/>
    <w:rsid w:val="41D58E21"/>
    <w:rsid w:val="428F884E"/>
    <w:rsid w:val="436A5CD1"/>
    <w:rsid w:val="45D5A674"/>
    <w:rsid w:val="486AC898"/>
    <w:rsid w:val="48F27666"/>
    <w:rsid w:val="49EC8123"/>
    <w:rsid w:val="4AD5A115"/>
    <w:rsid w:val="4B011C3B"/>
    <w:rsid w:val="4BB26CA8"/>
    <w:rsid w:val="4BF428A0"/>
    <w:rsid w:val="4CA2F46A"/>
    <w:rsid w:val="4E4DCDE1"/>
    <w:rsid w:val="4F31AC3B"/>
    <w:rsid w:val="4FF46C6E"/>
    <w:rsid w:val="50E36748"/>
    <w:rsid w:val="521FFBE5"/>
    <w:rsid w:val="52EEE9E1"/>
    <w:rsid w:val="57EC9103"/>
    <w:rsid w:val="589CAC6E"/>
    <w:rsid w:val="58B8C1AE"/>
    <w:rsid w:val="5AD5064E"/>
    <w:rsid w:val="5BA141D1"/>
    <w:rsid w:val="5D1A2328"/>
    <w:rsid w:val="5EEDCD1A"/>
    <w:rsid w:val="5F5FDB69"/>
    <w:rsid w:val="5F7523C0"/>
    <w:rsid w:val="6164D5D6"/>
    <w:rsid w:val="6191D42D"/>
    <w:rsid w:val="62276B73"/>
    <w:rsid w:val="624A64C0"/>
    <w:rsid w:val="626F82BE"/>
    <w:rsid w:val="62D6170C"/>
    <w:rsid w:val="6365F2E1"/>
    <w:rsid w:val="6704829E"/>
    <w:rsid w:val="683C20DA"/>
    <w:rsid w:val="69190B89"/>
    <w:rsid w:val="6A79FC59"/>
    <w:rsid w:val="6AEA370C"/>
    <w:rsid w:val="6D701A64"/>
    <w:rsid w:val="6E2ED70A"/>
    <w:rsid w:val="72EA9E7C"/>
    <w:rsid w:val="7347F9B5"/>
    <w:rsid w:val="7418F128"/>
    <w:rsid w:val="76068336"/>
    <w:rsid w:val="76A5B66F"/>
    <w:rsid w:val="77512EDD"/>
    <w:rsid w:val="78B10BA6"/>
    <w:rsid w:val="79928B57"/>
    <w:rsid w:val="7B876F12"/>
    <w:rsid w:val="7C58D940"/>
    <w:rsid w:val="7C922913"/>
    <w:rsid w:val="7E89E987"/>
    <w:rsid w:val="7EE00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929E8"/>
  <w15:chartTrackingRefBased/>
  <w15:docId w15:val="{E120A251-9EB5-4024-A761-826A833E8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noteText">
    <w:name w:val="footnote text"/>
    <w:basedOn w:val="Normal"/>
    <w:link w:val="FootnoteTextChar"/>
    <w:uiPriority w:val="99"/>
    <w:semiHidden/>
    <w:unhideWhenUsed/>
    <w:rsid w:val="00AF03F9"/>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AF03F9"/>
    <w:rPr>
      <w:sz w:val="20"/>
      <w:szCs w:val="20"/>
    </w:rPr>
  </w:style>
  <w:style w:type="character" w:styleId="FootnoteReference">
    <w:name w:val="footnote reference"/>
    <w:basedOn w:val="DefaultParagraphFont"/>
    <w:uiPriority w:val="99"/>
    <w:semiHidden/>
    <w:unhideWhenUsed/>
    <w:rsid w:val="00AF03F9"/>
    <w:rPr>
      <w:vertAlign w:val="superscript"/>
    </w:rPr>
  </w:style>
  <w:style w:type="character" w:styleId="IntenseEmphasis">
    <w:name w:val="Intense Emphasis"/>
    <w:basedOn w:val="DefaultParagraphFont"/>
    <w:uiPriority w:val="21"/>
    <w:qFormat/>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berschrift1Zchn" w:customStyle="1">
    <w:name w:val="Überschrift 1 Zchn"/>
    <w:basedOn w:val="DefaultParagraphFont"/>
    <w:uiPriority w:val="9"/>
    <w:rsid w:val="006B4B03"/>
    <w:rPr>
      <w:rFonts w:asciiTheme="majorHAnsi" w:hAnsiTheme="majorHAnsi" w:eastAsiaTheme="majorEastAsia" w:cstheme="majorBidi"/>
      <w:color w:val="0F4761" w:themeColor="accent1" w:themeShade="BF"/>
      <w:sz w:val="40"/>
      <w:szCs w:val="40"/>
    </w:rPr>
  </w:style>
  <w:style w:type="character" w:styleId="berschrift2Zchn" w:customStyle="1">
    <w:name w:val="Überschrift 2 Zchn"/>
    <w:basedOn w:val="DefaultParagraphFont"/>
    <w:uiPriority w:val="9"/>
    <w:rsid w:val="006B4B03"/>
    <w:rPr>
      <w:rFonts w:asciiTheme="majorHAnsi" w:hAnsiTheme="majorHAnsi" w:eastAsiaTheme="majorEastAsia" w:cstheme="majorBidi"/>
      <w:color w:val="0F4761" w:themeColor="accent1" w:themeShade="BF"/>
      <w:sz w:val="32"/>
      <w:szCs w:val="32"/>
    </w:rPr>
  </w:style>
  <w:style w:type="character" w:styleId="berschrift3Zchn" w:customStyle="1">
    <w:name w:val="Überschrift 3 Zchn"/>
    <w:basedOn w:val="DefaultParagraphFont"/>
    <w:uiPriority w:val="9"/>
    <w:rsid w:val="006B4B03"/>
    <w:rPr>
      <w:rFonts w:eastAsiaTheme="majorEastAsia" w:cstheme="majorBidi"/>
      <w:color w:val="0F4761" w:themeColor="accent1" w:themeShade="BF"/>
      <w:sz w:val="28"/>
      <w:szCs w:val="28"/>
    </w:rPr>
  </w:style>
  <w:style w:type="character" w:styleId="berschrift4Zchn" w:customStyle="1">
    <w:name w:val="Überschrift 4 Zchn"/>
    <w:basedOn w:val="DefaultParagraphFont"/>
    <w:uiPriority w:val="9"/>
    <w:rsid w:val="006B4B03"/>
    <w:rPr>
      <w:rFonts w:eastAsiaTheme="majorEastAsia" w:cstheme="majorBidi"/>
      <w:i/>
      <w:iCs/>
      <w:color w:val="0F4761" w:themeColor="accent1" w:themeShade="BF"/>
    </w:rPr>
  </w:style>
  <w:style w:type="character" w:styleId="berschrift5Zchn" w:customStyle="1">
    <w:name w:val="Überschrift 5 Zchn"/>
    <w:basedOn w:val="DefaultParagraphFont"/>
    <w:uiPriority w:val="9"/>
    <w:rsid w:val="006B4B03"/>
    <w:rPr>
      <w:rFonts w:eastAsiaTheme="majorEastAsia" w:cstheme="majorBidi"/>
      <w:color w:val="0F4761" w:themeColor="accent1" w:themeShade="BF"/>
    </w:rPr>
  </w:style>
  <w:style w:type="character" w:styleId="berschrift6Zchn" w:customStyle="1">
    <w:name w:val="Überschrift 6 Zchn"/>
    <w:basedOn w:val="DefaultParagraphFont"/>
    <w:uiPriority w:val="9"/>
    <w:rsid w:val="006B4B03"/>
    <w:rPr>
      <w:rFonts w:eastAsiaTheme="majorEastAsia" w:cstheme="majorBidi"/>
      <w:i/>
      <w:iCs/>
      <w:color w:val="595959" w:themeColor="text1" w:themeTint="A6"/>
    </w:rPr>
  </w:style>
  <w:style w:type="character" w:styleId="berschrift7Zchn" w:customStyle="1">
    <w:name w:val="Überschrift 7 Zchn"/>
    <w:basedOn w:val="DefaultParagraphFont"/>
    <w:uiPriority w:val="9"/>
    <w:rsid w:val="006B4B03"/>
    <w:rPr>
      <w:rFonts w:eastAsiaTheme="majorEastAsia" w:cstheme="majorBidi"/>
      <w:color w:val="595959" w:themeColor="text1" w:themeTint="A6"/>
    </w:rPr>
  </w:style>
  <w:style w:type="character" w:styleId="berschrift8Zchn" w:customStyle="1">
    <w:name w:val="Überschrift 8 Zchn"/>
    <w:basedOn w:val="DefaultParagraphFont"/>
    <w:uiPriority w:val="9"/>
    <w:rsid w:val="006B4B03"/>
    <w:rPr>
      <w:rFonts w:eastAsiaTheme="majorEastAsia" w:cstheme="majorBidi"/>
      <w:i/>
      <w:iCs/>
      <w:color w:val="272727" w:themeColor="text1" w:themeTint="D8"/>
    </w:rPr>
  </w:style>
  <w:style w:type="character" w:styleId="berschrift9Zchn" w:customStyle="1">
    <w:name w:val="Überschrift 9 Zchn"/>
    <w:basedOn w:val="DefaultParagraphFont"/>
    <w:uiPriority w:val="9"/>
    <w:rsid w:val="006B4B03"/>
    <w:rPr>
      <w:rFonts w:eastAsiaTheme="majorEastAsia" w:cstheme="majorBidi"/>
      <w:color w:val="272727" w:themeColor="text1" w:themeTint="D8"/>
    </w:rPr>
  </w:style>
  <w:style w:type="character" w:styleId="TitelZchn" w:customStyle="1">
    <w:name w:val="Titel Zchn"/>
    <w:basedOn w:val="DefaultParagraphFont"/>
    <w:uiPriority w:val="10"/>
    <w:rsid w:val="006B4B03"/>
    <w:rPr>
      <w:rFonts w:asciiTheme="majorHAnsi" w:hAnsiTheme="majorHAnsi" w:eastAsiaTheme="majorEastAsia" w:cstheme="majorBidi"/>
      <w:spacing w:val="-10"/>
      <w:kern w:val="28"/>
      <w:sz w:val="56"/>
      <w:szCs w:val="56"/>
    </w:rPr>
  </w:style>
  <w:style w:type="character" w:styleId="UntertitelZchn" w:customStyle="1">
    <w:name w:val="Untertitel Zchn"/>
    <w:basedOn w:val="DefaultParagraphFont"/>
    <w:uiPriority w:val="11"/>
    <w:rsid w:val="006B4B03"/>
    <w:rPr>
      <w:rFonts w:eastAsiaTheme="majorEastAsia" w:cstheme="majorBidi"/>
      <w:color w:val="595959" w:themeColor="text1" w:themeTint="A6"/>
      <w:spacing w:val="15"/>
      <w:sz w:val="28"/>
      <w:szCs w:val="28"/>
    </w:rPr>
  </w:style>
  <w:style w:type="character" w:styleId="ZitatZchn" w:customStyle="1">
    <w:name w:val="Zitat Zchn"/>
    <w:basedOn w:val="DefaultParagraphFont"/>
    <w:uiPriority w:val="29"/>
    <w:rsid w:val="006B4B03"/>
    <w:rPr>
      <w:i/>
      <w:iCs/>
      <w:color w:val="404040" w:themeColor="text1" w:themeTint="BF"/>
    </w:rPr>
  </w:style>
  <w:style w:type="character" w:styleId="IntensivesZitatZchn" w:customStyle="1">
    <w:name w:val="Intensives Zitat Zchn"/>
    <w:basedOn w:val="DefaultParagraphFont"/>
    <w:uiPriority w:val="30"/>
    <w:rsid w:val="006B4B03"/>
    <w:rPr>
      <w:i/>
      <w:iCs/>
      <w:color w:val="0F476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19122">
      <w:bodyDiv w:val="1"/>
      <w:marLeft w:val="0"/>
      <w:marRight w:val="0"/>
      <w:marTop w:val="0"/>
      <w:marBottom w:val="0"/>
      <w:divBdr>
        <w:top w:val="none" w:sz="0" w:space="0" w:color="auto"/>
        <w:left w:val="none" w:sz="0" w:space="0" w:color="auto"/>
        <w:bottom w:val="none" w:sz="0" w:space="0" w:color="auto"/>
        <w:right w:val="none" w:sz="0" w:space="0" w:color="auto"/>
      </w:divBdr>
    </w:div>
    <w:div w:id="208459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a.png" Id="R1f1db985e4ac450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3DF6C320B251148906FE7BD89E864DE" ma:contentTypeVersion="12" ma:contentTypeDescription="Ein neues Dokument erstellen." ma:contentTypeScope="" ma:versionID="0a21b7b4596424d7cb564df28a437621">
  <xsd:schema xmlns:xsd="http://www.w3.org/2001/XMLSchema" xmlns:xs="http://www.w3.org/2001/XMLSchema" xmlns:p="http://schemas.microsoft.com/office/2006/metadata/properties" xmlns:ns2="b76bedef-6021-4817-876e-3836db386dcf" xmlns:ns3="e6c9799a-39c0-45d0-9d80-ca9c556d522f" targetNamespace="http://schemas.microsoft.com/office/2006/metadata/properties" ma:root="true" ma:fieldsID="ddd93990826c9559e834cd4143c0a6e1" ns2:_="" ns3:_="">
    <xsd:import namespace="b76bedef-6021-4817-876e-3836db386dcf"/>
    <xsd:import namespace="e6c9799a-39c0-45d0-9d80-ca9c556d522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bedef-6021-4817-876e-3836db386dcf"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5" nillable="true" ma:displayName="Taxonomy Catch All Column" ma:hidden="true" ma:list="{32f3eda0-f8c0-4f29-8b63-535fe4e69b7c}" ma:internalName="TaxCatchAll" ma:showField="CatchAllData" ma:web="b76bedef-6021-4817-876e-3836db386dc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6c9799a-39c0-45d0-9d80-ca9c556d522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6eb20c4f-c5c2-492b-9954-d638c64bfe9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6c9799a-39c0-45d0-9d80-ca9c556d522f">
      <Terms xmlns="http://schemas.microsoft.com/office/infopath/2007/PartnerControls"/>
    </lcf76f155ced4ddcb4097134ff3c332f>
    <TaxCatchAll xmlns="b76bedef-6021-4817-876e-3836db386dcf" xsi:nil="true"/>
  </documentManagement>
</p:properties>
</file>

<file path=customXml/itemProps1.xml><?xml version="1.0" encoding="utf-8"?>
<ds:datastoreItem xmlns:ds="http://schemas.openxmlformats.org/officeDocument/2006/customXml" ds:itemID="{43271339-1D08-4434-A4B2-58127BAF24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bedef-6021-4817-876e-3836db386dcf"/>
    <ds:schemaRef ds:uri="e6c9799a-39c0-45d0-9d80-ca9c556d5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7CC4BA-76D0-4C9B-BC99-23BBC7B84549}">
  <ds:schemaRefs>
    <ds:schemaRef ds:uri="http://schemas.microsoft.com/sharepoint/v3/contenttype/forms"/>
  </ds:schemaRefs>
</ds:datastoreItem>
</file>

<file path=customXml/itemProps3.xml><?xml version="1.0" encoding="utf-8"?>
<ds:datastoreItem xmlns:ds="http://schemas.openxmlformats.org/officeDocument/2006/customXml" ds:itemID="{AA511059-C9FA-4879-8287-FA02A69A1000}">
  <ds:schemaRefs>
    <ds:schemaRef ds:uri="http://purl.org/dc/elements/1.1/"/>
    <ds:schemaRef ds:uri="http://purl.org/dc/terms/"/>
    <ds:schemaRef ds:uri="e6c9799a-39c0-45d0-9d80-ca9c556d522f"/>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http://purl.org/dc/dcmitype/"/>
    <ds:schemaRef ds:uri="http://schemas.microsoft.com/office/infopath/2007/PartnerControls"/>
    <ds:schemaRef ds:uri="b76bedef-6021-4817-876e-3836db386dc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Rade, Michael</dc:creator>
  <keywords/>
  <dc:description/>
  <lastModifiedBy>Kreuz, Markus</lastModifiedBy>
  <revision>126</revision>
  <dcterms:created xsi:type="dcterms:W3CDTF">2025-01-19T04:06:00.0000000Z</dcterms:created>
  <dcterms:modified xsi:type="dcterms:W3CDTF">2025-03-05T13:40:40.6048315Z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0x01010003DF6C320B251148906FE7BD89E864DE</vt:lpwstr>
  </property>
  <property fmtid="{D5CDD505-2E9C-101B-9397-08002B2CF9AE}" pid="3" name="MediaServiceImageTags">
    <vt:lpwstr/>
  </property>
</Properties>
</file>