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47C46" w:rsidR="00A83AC2" w:rsidRDefault="00A83AC2" w14:paraId="18A19C44" w14:textId="77777777">
      <w:pPr>
        <w:rPr>
          <w:rFonts w:ascii="Times New Roman" w:hAnsi="Times New Roman" w:cs="Times New Roman"/>
          <w:noProof/>
        </w:rPr>
      </w:pPr>
    </w:p>
    <w:p w:rsidRPr="00947C46" w:rsidR="00A83AC2" w:rsidRDefault="00A83AC2" w14:paraId="67DDF1BF" w14:textId="77777777">
      <w:pPr>
        <w:rPr>
          <w:rFonts w:ascii="Times New Roman" w:hAnsi="Times New Roman" w:cs="Times New Roman"/>
          <w:noProof/>
        </w:rPr>
      </w:pPr>
    </w:p>
    <w:p w:rsidRPr="00947C46" w:rsidR="00A83AC2" w:rsidRDefault="00A83AC2" w14:paraId="59D57F06" w14:textId="77777777">
      <w:pPr>
        <w:rPr>
          <w:rFonts w:ascii="Times New Roman" w:hAnsi="Times New Roman" w:cs="Times New Roman"/>
          <w:noProof/>
        </w:rPr>
      </w:pPr>
    </w:p>
    <w:p w:rsidRPr="00947C46" w:rsidR="00A83AC2" w:rsidRDefault="00A83AC2" w14:paraId="637F9683" w14:textId="77777777">
      <w:pPr>
        <w:rPr>
          <w:rFonts w:ascii="Times New Roman" w:hAnsi="Times New Roman" w:cs="Times New Roman"/>
          <w:noProof/>
        </w:rPr>
      </w:pPr>
    </w:p>
    <w:p w:rsidRPr="00947C46" w:rsidR="00A83AC2" w:rsidRDefault="00A83AC2" w14:paraId="036CFEC2" w14:textId="77777777">
      <w:pPr>
        <w:rPr>
          <w:rFonts w:ascii="Times New Roman" w:hAnsi="Times New Roman" w:cs="Times New Roman"/>
          <w:noProof/>
        </w:rPr>
      </w:pPr>
    </w:p>
    <w:p w:rsidRPr="00947C46" w:rsidR="00A83AC2" w:rsidRDefault="00A83AC2" w14:paraId="555C70D5" w14:textId="77777777">
      <w:pPr>
        <w:rPr>
          <w:rFonts w:ascii="Times New Roman" w:hAnsi="Times New Roman" w:cs="Times New Roman"/>
          <w:noProof/>
        </w:rPr>
      </w:pPr>
    </w:p>
    <w:p w:rsidRPr="00947C46" w:rsidR="00A83AC2" w:rsidRDefault="00A83AC2" w14:paraId="73287F08" w14:textId="77777777">
      <w:pPr>
        <w:rPr>
          <w:rFonts w:ascii="Times New Roman" w:hAnsi="Times New Roman" w:cs="Times New Roman"/>
          <w:noProof/>
        </w:rPr>
      </w:pPr>
    </w:p>
    <w:p w:rsidRPr="00947C46" w:rsidR="00A83AC2" w:rsidRDefault="00A83AC2" w14:paraId="1A54D933" w14:textId="77777777">
      <w:pPr>
        <w:rPr>
          <w:rFonts w:ascii="Times New Roman" w:hAnsi="Times New Roman" w:cs="Times New Roman"/>
          <w:noProof/>
        </w:rPr>
      </w:pPr>
    </w:p>
    <w:p w:rsidRPr="00947C46" w:rsidR="00A83AC2" w:rsidRDefault="00A83AC2" w14:paraId="313FAF69" w14:textId="77777777">
      <w:pPr>
        <w:rPr>
          <w:rFonts w:ascii="Times New Roman" w:hAnsi="Times New Roman" w:cs="Times New Roman"/>
          <w:noProof/>
        </w:rPr>
      </w:pPr>
    </w:p>
    <w:p w:rsidRPr="00947C46" w:rsidR="00A83AC2" w:rsidRDefault="00A83AC2" w14:paraId="733C5956" w14:textId="77777777">
      <w:pPr>
        <w:rPr>
          <w:rFonts w:ascii="Times New Roman" w:hAnsi="Times New Roman" w:cs="Times New Roman"/>
          <w:noProof/>
        </w:rPr>
      </w:pPr>
    </w:p>
    <w:p w:rsidRPr="00947C46" w:rsidR="00A83AC2" w:rsidRDefault="00A83AC2" w14:paraId="7E890DBD" w14:textId="77777777">
      <w:pPr>
        <w:rPr>
          <w:rFonts w:ascii="Times New Roman" w:hAnsi="Times New Roman" w:cs="Times New Roman"/>
          <w:noProof/>
        </w:rPr>
      </w:pPr>
    </w:p>
    <w:p w:rsidRPr="00947C46" w:rsidR="00A83AC2" w:rsidRDefault="00A83AC2" w14:paraId="54018C84" w14:textId="77777777">
      <w:pPr>
        <w:rPr>
          <w:rFonts w:ascii="Times New Roman" w:hAnsi="Times New Roman" w:cs="Times New Roman"/>
          <w:noProof/>
        </w:rPr>
      </w:pPr>
    </w:p>
    <w:p w:rsidRPr="00947C46" w:rsidR="00A83AC2" w:rsidRDefault="00A83AC2" w14:paraId="38F54EAE" w14:textId="77777777">
      <w:pPr>
        <w:rPr>
          <w:rFonts w:ascii="Times New Roman" w:hAnsi="Times New Roman" w:cs="Times New Roman"/>
          <w:noProof/>
        </w:rPr>
      </w:pPr>
    </w:p>
    <w:p w:rsidRPr="00947C46" w:rsidR="00A83AC2" w:rsidRDefault="00A83AC2" w14:paraId="44ED1742" w14:textId="77777777">
      <w:pPr>
        <w:rPr>
          <w:rFonts w:ascii="Times New Roman" w:hAnsi="Times New Roman" w:cs="Times New Roman"/>
          <w:noProof/>
        </w:rPr>
      </w:pPr>
    </w:p>
    <w:p w:rsidRPr="00947C46" w:rsidR="00A83AC2" w:rsidRDefault="00A83AC2" w14:paraId="2109B958" w14:textId="77777777">
      <w:pPr>
        <w:rPr>
          <w:rFonts w:ascii="Times New Roman" w:hAnsi="Times New Roman" w:cs="Times New Roman"/>
          <w:noProof/>
        </w:rPr>
      </w:pPr>
    </w:p>
    <w:p w:rsidRPr="00947C46" w:rsidR="00A83AC2" w:rsidRDefault="00A83AC2" w14:paraId="746DF10B" w14:textId="77777777">
      <w:pPr>
        <w:rPr>
          <w:rFonts w:ascii="Times New Roman" w:hAnsi="Times New Roman" w:cs="Times New Roman"/>
          <w:noProof/>
          <w:sz w:val="24"/>
          <w:szCs w:val="24"/>
        </w:rPr>
      </w:pPr>
    </w:p>
    <w:p w:rsidRPr="00947C46" w:rsidR="00B97CE3" w:rsidP="00A83AC2" w:rsidRDefault="00C000A8" w14:paraId="5F17B031" w14:textId="38C52975">
      <w:pPr>
        <w:jc w:val="center"/>
        <w:rPr>
          <w:rFonts w:ascii="Times New Roman" w:hAnsi="Times New Roman" w:cs="Times New Roman"/>
          <w:noProof/>
          <w:sz w:val="40"/>
          <w:szCs w:val="40"/>
        </w:rPr>
      </w:pPr>
      <w:r w:rsidRPr="00947C46">
        <w:rPr>
          <w:rFonts w:ascii="Times New Roman" w:hAnsi="Times New Roman" w:cs="Times New Roman"/>
          <w:noProof/>
          <w:sz w:val="40"/>
          <w:szCs w:val="40"/>
        </w:rPr>
        <w:t>Supple</w:t>
      </w:r>
      <w:r w:rsidRPr="00947C46" w:rsidR="00A83AC2">
        <w:rPr>
          <w:rFonts w:ascii="Times New Roman" w:hAnsi="Times New Roman" w:cs="Times New Roman"/>
          <w:noProof/>
          <w:sz w:val="40"/>
          <w:szCs w:val="40"/>
        </w:rPr>
        <w:t>mentary Information</w:t>
      </w:r>
    </w:p>
    <w:p w:rsidRPr="00947C46" w:rsidR="00A83AC2" w:rsidRDefault="00A83AC2" w14:paraId="2CB6175C" w14:textId="3E6B9291">
      <w:pPr>
        <w:rPr>
          <w:rFonts w:ascii="Times New Roman" w:hAnsi="Times New Roman" w:cs="Times New Roman"/>
          <w:noProof/>
        </w:rPr>
      </w:pPr>
      <w:r w:rsidRPr="00947C46">
        <w:rPr>
          <w:rFonts w:ascii="Times New Roman" w:hAnsi="Times New Roman" w:cs="Times New Roman"/>
          <w:noProof/>
        </w:rPr>
        <w:br w:type="page"/>
      </w:r>
    </w:p>
    <w:p w:rsidRPr="00947C46" w:rsidR="00A83AC2" w:rsidRDefault="00F341E1" w14:paraId="3FE2ACC0" w14:textId="3427EC16">
      <w:pPr>
        <w:rPr>
          <w:rFonts w:ascii="Times New Roman" w:hAnsi="Times New Roman" w:cs="Times New Roman"/>
          <w:b w:val="1"/>
          <w:bCs w:val="1"/>
          <w:noProof/>
          <w:sz w:val="28"/>
          <w:szCs w:val="28"/>
        </w:rPr>
      </w:pPr>
      <w:r w:rsidRPr="228B0D15" w:rsidR="00F341E1">
        <w:rPr>
          <w:rFonts w:ascii="Times New Roman" w:hAnsi="Times New Roman" w:cs="Times New Roman"/>
          <w:b w:val="1"/>
          <w:bCs w:val="1"/>
          <w:noProof/>
          <w:sz w:val="28"/>
          <w:szCs w:val="28"/>
        </w:rPr>
        <w:t>Sup</w:t>
      </w:r>
      <w:r w:rsidRPr="228B0D15" w:rsidR="298640B8">
        <w:rPr>
          <w:rFonts w:ascii="Times New Roman" w:hAnsi="Times New Roman" w:cs="Times New Roman"/>
          <w:b w:val="1"/>
          <w:bCs w:val="1"/>
          <w:noProof/>
          <w:sz w:val="28"/>
          <w:szCs w:val="28"/>
        </w:rPr>
        <w:t>p</w:t>
      </w:r>
      <w:r w:rsidRPr="228B0D15" w:rsidR="00F341E1">
        <w:rPr>
          <w:rFonts w:ascii="Times New Roman" w:hAnsi="Times New Roman" w:cs="Times New Roman"/>
          <w:b w:val="1"/>
          <w:bCs w:val="1"/>
          <w:noProof/>
          <w:sz w:val="28"/>
          <w:szCs w:val="28"/>
        </w:rPr>
        <w:t>lementary Methods</w:t>
      </w:r>
    </w:p>
    <w:p w:rsidRPr="00947C46" w:rsidR="00592BF4" w:rsidP="00FB0676" w:rsidRDefault="00592BF4" w14:paraId="26D4D084" w14:textId="77777777">
      <w:pPr>
        <w:rPr>
          <w:rFonts w:ascii="Times New Roman" w:hAnsi="Times New Roman" w:cs="Times New Roman"/>
          <w:noProof/>
        </w:rPr>
      </w:pPr>
    </w:p>
    <w:p w:rsidRPr="00947C46" w:rsidR="4AEE97D4" w:rsidP="66CA4E6C" w:rsidRDefault="00295E78" w14:paraId="085EEC86" w14:textId="05C316E9">
      <w:pPr>
        <w:rPr>
          <w:rFonts w:ascii="Times New Roman" w:hAnsi="Times New Roman" w:cs="Times New Roman"/>
          <w:noProof/>
        </w:rPr>
      </w:pPr>
      <w:r w:rsidRPr="00947C46">
        <w:rPr>
          <w:rFonts w:ascii="Times New Roman" w:hAnsi="Times New Roman" w:cs="Times New Roman"/>
          <w:b/>
          <w:bCs/>
          <w:noProof/>
        </w:rPr>
        <w:t>Pan-cancer tumor-normal meta-cell atlas</w:t>
      </w:r>
    </w:p>
    <w:p w:rsidRPr="00947C46" w:rsidR="008B378E" w:rsidP="004F2509" w:rsidRDefault="00271FB1" w14:paraId="0D818680" w14:textId="5D5204C0">
      <w:pPr>
        <w:jc w:val="both"/>
        <w:rPr>
          <w:rFonts w:ascii="Times New Roman" w:hAnsi="Times New Roman" w:cs="Times New Roman"/>
          <w:noProof/>
        </w:rPr>
      </w:pPr>
      <w:r w:rsidRPr="00947C46">
        <w:rPr>
          <w:rFonts w:ascii="Times New Roman" w:hAnsi="Times New Roman" w:cs="Times New Roman"/>
          <w:noProof/>
        </w:rPr>
        <w:t>Normalized scRNA-Seq date were download from Kang et al</w:t>
      </w:r>
      <w:r w:rsidRPr="00947C46" w:rsidR="003700A1">
        <w:rPr>
          <w:rFonts w:ascii="Times New Roman" w:hAnsi="Times New Roman" w:cs="Times New Roman"/>
          <w:noProof/>
        </w:rPr>
        <w:t>.</w:t>
      </w:r>
      <w:sdt>
        <w:sdtPr>
          <w:rPr>
            <w:rFonts w:ascii="Times New Roman" w:hAnsi="Times New Roman" w:cs="Times New Roman"/>
            <w:noProof/>
          </w:rPr>
          <w:alias w:val="To edit, see citavi.com/edit"/>
          <w:tag w:val="CitaviPlaceholder#31c2bf29-88a7-4546-b8f1-153613188370"/>
          <w:id w:val="1974397254"/>
          <w:placeholder>
            <w:docPart w:val="DefaultPlaceholder_-1854013440"/>
          </w:placeholder>
        </w:sdtPr>
        <w:sdtEndPr/>
        <w:sdtContent>
          <w:r w:rsidRPr="00947C46">
            <w:rPr>
              <w:rFonts w:ascii="Times New Roman" w:hAnsi="Times New Roman" w:cs="Times New Roman"/>
              <w:noProof/>
            </w:rPr>
            <w:fldChar w:fldCharType="begin"/>
          </w:r>
          <w:r w:rsidR="00D406AF">
            <w:rPr>
              <w:rFonts w:ascii="Times New Roman" w:hAnsi="Times New Roman" w:cs="Times New Roman"/>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mZjNhNmU2LWNiOGYtNDMzZS1iNjA0LWY1YzY1MzMzMmVmYyIsIlJhbmdlTGVuZ3RoIjoxLCJSZWZlcmVuY2VJZCI6IjVkZTdjMjNiLWE0MjYtNDBiMy1iYWMwLTE2ZmYzNWY2ZDVi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Y2hhZWwgUmFkZSIsIkNyZWF0ZWRPbiI6IjIwMjQtMTAtMjlUMTM6MzU6MTUiLCJNb2RpZmllZEJ5IjoiX01pY2hhZWwgUmFkZSIsIklkIjoiN2NjZTg5NmQtZDg3OC00ZjIwLTg0NTQtNGYxN2E3Zjg3YjIwIiwiTW9kaWZpZWRPbiI6IjIwMjQtMTAtMjlUMTM6MzU6MTU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JQTUMxMTA5NDE1MCIsIlVyaVN0cmluZyI6Imh0dHBzOi8vd3d3Lm5jYmkubmxtLm5paC5nb3YvcG1jL2FydGljbGVzL1BNQzExMDk0MTUw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}</w:instrText>
          </w:r>
          <w:r w:rsidRPr="00947C46">
            <w:rPr>
              <w:rFonts w:ascii="Times New Roman" w:hAnsi="Times New Roman" w:cs="Times New Roman"/>
              <w:noProof/>
            </w:rPr>
            <w:fldChar w:fldCharType="separate"/>
          </w:r>
          <w:r w:rsidRPr="00947C46" w:rsidR="006E7865">
            <w:rPr>
              <w:rFonts w:ascii="Times New Roman" w:hAnsi="Times New Roman" w:cs="Times New Roman"/>
              <w:noProof/>
              <w:vertAlign w:val="superscript"/>
            </w:rPr>
            <w:t>1</w:t>
          </w:r>
          <w:r w:rsidRPr="00947C46">
            <w:rPr>
              <w:rFonts w:ascii="Times New Roman" w:hAnsi="Times New Roman" w:cs="Times New Roman"/>
              <w:noProof/>
            </w:rPr>
            <w:fldChar w:fldCharType="end"/>
          </w:r>
        </w:sdtContent>
      </w:sdt>
      <w:r w:rsidRPr="00947C46" w:rsidR="00923623">
        <w:rPr>
          <w:rFonts w:ascii="Times New Roman" w:hAnsi="Times New Roman" w:cs="Times New Roman"/>
          <w:noProof/>
        </w:rPr>
        <w:t xml:space="preserve"> </w:t>
      </w:r>
      <w:r w:rsidRPr="00947C46" w:rsidR="00215912">
        <w:rPr>
          <w:rFonts w:ascii="Times New Roman" w:hAnsi="Times New Roman" w:cs="Times New Roman"/>
          <w:noProof/>
        </w:rPr>
        <w:t xml:space="preserve">covering 30 different cancer types </w:t>
      </w:r>
      <w:r w:rsidRPr="00947C46" w:rsidR="003C42E0">
        <w:rPr>
          <w:rFonts w:ascii="Times New Roman" w:hAnsi="Times New Roman" w:cs="Times New Roman"/>
          <w:noProof/>
        </w:rPr>
        <w:t>across</w:t>
      </w:r>
      <w:r w:rsidRPr="00947C46" w:rsidR="00215912">
        <w:rPr>
          <w:rFonts w:ascii="Times New Roman" w:hAnsi="Times New Roman" w:cs="Times New Roman"/>
          <w:noProof/>
        </w:rPr>
        <w:t xml:space="preserve"> 104 datasets</w:t>
      </w:r>
      <w:r w:rsidRPr="00947C46" w:rsidR="00923623">
        <w:rPr>
          <w:rFonts w:ascii="Times New Roman" w:hAnsi="Times New Roman" w:cs="Times New Roman"/>
          <w:noProof/>
        </w:rPr>
        <w:t xml:space="preserve">. </w:t>
      </w:r>
      <w:r w:rsidRPr="00947C46" w:rsidR="003C42E0">
        <w:rPr>
          <w:rFonts w:ascii="Times New Roman" w:hAnsi="Times New Roman" w:cs="Times New Roman"/>
          <w:noProof/>
        </w:rPr>
        <w:t>A total of 4.9 million cells from 1,070 tumors and 493 normal samples from 999 donors were collected</w:t>
      </w:r>
      <w:r w:rsidRPr="00947C46" w:rsidR="00D313CA">
        <w:rPr>
          <w:rFonts w:ascii="Times New Roman" w:hAnsi="Times New Roman" w:cs="Times New Roman"/>
          <w:noProof/>
        </w:rPr>
        <w:t xml:space="preserve"> by the authores. </w:t>
      </w:r>
      <w:r w:rsidRPr="00947C46" w:rsidR="00121B6D">
        <w:rPr>
          <w:rFonts w:ascii="Times New Roman" w:hAnsi="Times New Roman" w:cs="Times New Roman"/>
          <w:noProof/>
        </w:rPr>
        <w:t>To reduce the size of the single</w:t>
      </w:r>
      <w:r w:rsidRPr="00947C46" w:rsidR="00AE11C6">
        <w:rPr>
          <w:rFonts w:ascii="Times New Roman" w:hAnsi="Times New Roman" w:cs="Times New Roman"/>
          <w:noProof/>
        </w:rPr>
        <w:t>-</w:t>
      </w:r>
      <w:r w:rsidRPr="00947C46" w:rsidR="00121B6D">
        <w:rPr>
          <w:rFonts w:ascii="Times New Roman" w:hAnsi="Times New Roman" w:cs="Times New Roman"/>
          <w:noProof/>
        </w:rPr>
        <w:t>cell data, we have generated meta-cells</w:t>
      </w:r>
      <w:r w:rsidRPr="00947C46" w:rsidR="009763A4">
        <w:rPr>
          <w:rFonts w:ascii="Times New Roman" w:hAnsi="Times New Roman" w:cs="Times New Roman"/>
          <w:noProof/>
        </w:rPr>
        <w:t xml:space="preserve"> for each sample and cell type</w:t>
      </w:r>
      <w:r w:rsidRPr="00947C46" w:rsidR="00121B6D">
        <w:rPr>
          <w:rFonts w:ascii="Times New Roman" w:hAnsi="Times New Roman" w:cs="Times New Roman"/>
          <w:noProof/>
        </w:rPr>
        <w:t>.</w:t>
      </w:r>
      <w:r w:rsidRPr="00947C46" w:rsidR="00AC56B5">
        <w:rPr>
          <w:rFonts w:ascii="Times New Roman" w:hAnsi="Times New Roman" w:cs="Times New Roman"/>
          <w:noProof/>
        </w:rPr>
        <w:t xml:space="preserve"> </w:t>
      </w:r>
      <w:r w:rsidRPr="00947C46" w:rsidR="0079550D">
        <w:rPr>
          <w:rFonts w:ascii="Times New Roman" w:hAnsi="Times New Roman" w:cs="Times New Roman"/>
          <w:noProof/>
        </w:rPr>
        <w:t>A meta</w:t>
      </w:r>
      <w:r w:rsidRPr="00947C46" w:rsidR="00AC56B5">
        <w:rPr>
          <w:rFonts w:ascii="Times New Roman" w:hAnsi="Times New Roman" w:cs="Times New Roman"/>
          <w:noProof/>
        </w:rPr>
        <w:t>-</w:t>
      </w:r>
      <w:r w:rsidRPr="00947C46" w:rsidR="0079550D">
        <w:rPr>
          <w:rFonts w:ascii="Times New Roman" w:hAnsi="Times New Roman" w:cs="Times New Roman"/>
          <w:noProof/>
        </w:rPr>
        <w:t>cell represents the transcriptomes of a group of highly similar cells</w:t>
      </w:r>
      <w:r w:rsidRPr="00947C46" w:rsidR="00AC56B5">
        <w:rPr>
          <w:rFonts w:ascii="Times New Roman" w:hAnsi="Times New Roman" w:cs="Times New Roman"/>
          <w:noProof/>
        </w:rPr>
        <w:t>.</w:t>
      </w:r>
      <w:r w:rsidRPr="00947C46" w:rsidR="005A50C3">
        <w:rPr>
          <w:rFonts w:ascii="Times New Roman" w:hAnsi="Times New Roman" w:cs="Times New Roman"/>
          <w:noProof/>
        </w:rPr>
        <w:t xml:space="preserve"> We used the R </w:t>
      </w:r>
      <w:r w:rsidRPr="00947C46" w:rsidR="00E20753">
        <w:rPr>
          <w:rFonts w:ascii="Times New Roman" w:hAnsi="Times New Roman" w:cs="Times New Roman"/>
          <w:noProof/>
        </w:rPr>
        <w:t xml:space="preserve">package </w:t>
      </w:r>
      <w:r w:rsidRPr="00947C46" w:rsidR="00011CC1">
        <w:rPr>
          <w:rFonts w:ascii="Times New Roman" w:hAnsi="Times New Roman" w:cs="Times New Roman"/>
          <w:noProof/>
        </w:rPr>
        <w:t>SuperCell</w:t>
      </w:r>
      <w:r w:rsidRPr="00947C46" w:rsidR="009D2C8E">
        <w:rPr>
          <w:rFonts w:ascii="Times New Roman" w:hAnsi="Times New Roman" w:cs="Times New Roman"/>
          <w:noProof/>
        </w:rPr>
        <w:t xml:space="preserve"> v1.0</w:t>
      </w:r>
      <w:sdt>
        <w:sdtPr>
          <w:rPr>
            <w:rFonts w:ascii="Times New Roman" w:hAnsi="Times New Roman" w:cs="Times New Roman"/>
            <w:noProof/>
          </w:rPr>
          <w:alias w:val="To edit, see citavi.com/edit"/>
          <w:tag w:val="CitaviPlaceholder#2fc46b3d-b6ef-4a2d-baa5-87c348634d00"/>
          <w:id w:val="-1660682222"/>
          <w:placeholder>
            <w:docPart w:val="DefaultPlaceholder_-1854013440"/>
          </w:placeholder>
        </w:sdtPr>
        <w:sdtEndPr/>
        <w:sdtContent>
          <w:r w:rsidRPr="00947C46">
            <w:rPr>
              <w:rFonts w:ascii="Times New Roman" w:hAnsi="Times New Roman" w:cs="Times New Roman"/>
              <w:noProof/>
            </w:rPr>
            <w:fldChar w:fldCharType="begin"/>
          </w:r>
          <w:r w:rsidR="00D406AF">
            <w:rPr>
              <w:rFonts w:ascii="Times New Roman" w:hAnsi="Times New Roman" w:cs="Times New Roman"/>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0MWM1Zjc0LTcxZTktNDViMy04Y2Q4LTMzNzRhNTE2NWZiYSIsIlJhbmdlTGVuZ3RoIjoxLCJSZWZlcmVuY2VJZCI6IjdmMjVhNTE5LTFiMTMtNDQwZC1iYmUyLWYwMzFkMjA1ZGRl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UE1DOTM3NTIwMSIsIlVyaVN0cmluZyI6Imh0dHBzOi8vd3d3Lm5jYmkubmxtLm5paC5nb3YvcG1jL2FydGljbGVzL1BNQzkzNzUyMDE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pY2hhZWwgUmFkZSIsIkNyZWF0ZWRPbiI6IjIwMjUtMDEtMTlUMTY6MjU6MjgiLCJNb2RpZmllZEJ5IjoiX01pY2hhZWwgUmFkZSIsIklkIjoiZjhhMzk0ZTQtNzFhNy00MjhiLWJjODMtMDE3ZTFjMzZkMTFiIiwiTW9kaWZpZWRPbiI6IjIwMjUtMDEtMTlUMTY6MjU6Mjg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Tg2L3MxMjg1OS0wMjItMDQ4NjEtMSIsIlVyaVN0cmluZyI6Imh0dHBzOi8vZG9pLm9yZy8xMC4xMTg2L3MxMjg1OS0wMjItMDQ4NjEtM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jaGFlbCBSYWRlIiwiQ3JlYXRlZE9uIjoiMjAyNS0wMS0xOVQxNjoyNToyOCIsIk1vZGlmaWVkQnkiOiJfTWljaGFlbCBSYWRlIiwiSWQiOiI3MmUwMDE1My0yZTVhLTRlNmMtODdhZS0yYzA1NTcwN2UwZjkiLCJNb2RpZmllZE9uIjoiMjAyNS0wMS0xOVQxNjoyNToyOC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M1OTYzOTk3IiwiVXJpU3RyaW5nIjoiaHR0cDovL3d3dy5uY2JpLm5sbS5uaWguZ292L3B1Ym1lZC8zNTk2Mzk5N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}</w:instrText>
          </w:r>
          <w:r w:rsidRPr="00947C46">
            <w:rPr>
              <w:rFonts w:ascii="Times New Roman" w:hAnsi="Times New Roman" w:cs="Times New Roman"/>
              <w:noProof/>
            </w:rPr>
            <w:fldChar w:fldCharType="separate"/>
          </w:r>
          <w:r w:rsidRPr="00947C46" w:rsidR="006E7865">
            <w:rPr>
              <w:rFonts w:ascii="Times New Roman" w:hAnsi="Times New Roman" w:cs="Times New Roman"/>
              <w:noProof/>
              <w:vertAlign w:val="superscript"/>
            </w:rPr>
            <w:t>2</w:t>
          </w:r>
          <w:r w:rsidRPr="00947C46">
            <w:rPr>
              <w:rFonts w:ascii="Times New Roman" w:hAnsi="Times New Roman" w:cs="Times New Roman"/>
              <w:noProof/>
            </w:rPr>
            <w:fldChar w:fldCharType="end"/>
          </w:r>
        </w:sdtContent>
      </w:sdt>
      <w:r w:rsidRPr="00947C46" w:rsidR="00921C7B">
        <w:rPr>
          <w:rFonts w:ascii="Times New Roman" w:hAnsi="Times New Roman" w:cs="Times New Roman"/>
          <w:noProof/>
        </w:rPr>
        <w:t xml:space="preserve"> </w:t>
      </w:r>
      <w:r w:rsidRPr="00947C46" w:rsidR="00E37A3D">
        <w:rPr>
          <w:rFonts w:ascii="Times New Roman" w:hAnsi="Times New Roman" w:cs="Times New Roman"/>
          <w:noProof/>
        </w:rPr>
        <w:t xml:space="preserve">with additional </w:t>
      </w:r>
      <w:r w:rsidRPr="00947C46" w:rsidR="002D4B2A">
        <w:rPr>
          <w:rFonts w:ascii="Times New Roman" w:hAnsi="Times New Roman" w:cs="Times New Roman"/>
          <w:noProof/>
        </w:rPr>
        <w:t>parameter</w:t>
      </w:r>
      <w:r w:rsidRPr="00947C46" w:rsidR="00E37A3D">
        <w:rPr>
          <w:rFonts w:ascii="Times New Roman" w:hAnsi="Times New Roman" w:cs="Times New Roman"/>
          <w:noProof/>
        </w:rPr>
        <w:t xml:space="preserve"> (</w:t>
      </w:r>
      <w:r w:rsidRPr="00947C46" w:rsidR="008A4A42">
        <w:rPr>
          <w:rFonts w:ascii="Times New Roman" w:hAnsi="Times New Roman" w:cs="Times New Roman"/>
          <w:noProof/>
        </w:rPr>
        <w:t>γ</w:t>
      </w:r>
      <w:r w:rsidRPr="00947C46" w:rsidR="002D4B2A">
        <w:rPr>
          <w:rFonts w:ascii="Times New Roman" w:hAnsi="Times New Roman" w:cs="Times New Roman"/>
          <w:noProof/>
        </w:rPr>
        <w:t xml:space="preserve"> = 15)</w:t>
      </w:r>
      <w:r w:rsidRPr="00947C46" w:rsidR="00E20753">
        <w:rPr>
          <w:rFonts w:ascii="Times New Roman" w:hAnsi="Times New Roman" w:cs="Times New Roman"/>
          <w:noProof/>
        </w:rPr>
        <w:t xml:space="preserve"> </w:t>
      </w:r>
      <w:r w:rsidRPr="00947C46" w:rsidR="005A50C3">
        <w:rPr>
          <w:rFonts w:ascii="Times New Roman" w:hAnsi="Times New Roman" w:cs="Times New Roman"/>
          <w:noProof/>
        </w:rPr>
        <w:t>to calculate</w:t>
      </w:r>
      <w:r w:rsidRPr="00947C46" w:rsidR="001A7EBE">
        <w:rPr>
          <w:rFonts w:ascii="Times New Roman" w:hAnsi="Times New Roman" w:cs="Times New Roman"/>
          <w:noProof/>
        </w:rPr>
        <w:t xml:space="preserve"> approximately</w:t>
      </w:r>
      <w:r w:rsidRPr="00947C46" w:rsidR="005A50C3">
        <w:rPr>
          <w:rFonts w:ascii="Times New Roman" w:hAnsi="Times New Roman" w:cs="Times New Roman"/>
          <w:noProof/>
        </w:rPr>
        <w:t xml:space="preserve"> 300,000 meta-cells.</w:t>
      </w:r>
      <w:r w:rsidRPr="00947C46" w:rsidR="52F2101E">
        <w:rPr>
          <w:rFonts w:ascii="Times New Roman" w:hAnsi="Times New Roman" w:cs="Times New Roman"/>
          <w:noProof/>
        </w:rPr>
        <w:t xml:space="preserve"> </w:t>
      </w:r>
      <w:r w:rsidRPr="00947C46" w:rsidR="2A69436D">
        <w:rPr>
          <w:rFonts w:ascii="Times New Roman" w:hAnsi="Times New Roman" w:cs="Times New Roman"/>
          <w:noProof/>
        </w:rPr>
        <w:t>The d</w:t>
      </w:r>
      <w:r w:rsidRPr="00947C46" w:rsidR="1F656F7A">
        <w:rPr>
          <w:rFonts w:ascii="Times New Roman" w:hAnsi="Times New Roman" w:cs="Times New Roman"/>
          <w:noProof/>
        </w:rPr>
        <w:t>ata was processed as decribed in the method section ” Integration and dimension reduction”.</w:t>
      </w:r>
    </w:p>
    <w:p w:rsidRPr="00947C46" w:rsidR="00486695" w:rsidP="004F2509" w:rsidRDefault="007B1B38" w14:paraId="7BFE281B" w14:textId="7E1DA453">
      <w:pPr>
        <w:jc w:val="both"/>
        <w:rPr>
          <w:rFonts w:ascii="Times New Roman" w:hAnsi="Times New Roman" w:cs="Times New Roman"/>
          <w:noProof/>
        </w:rPr>
      </w:pPr>
      <w:r w:rsidRPr="00947C46">
        <w:rPr>
          <w:rFonts w:ascii="Times New Roman" w:hAnsi="Times New Roman" w:cs="Times New Roman"/>
          <w:noProof/>
        </w:rPr>
        <w:t xml:space="preserve">For </w:t>
      </w:r>
      <w:r w:rsidRPr="00947C46" w:rsidR="004F2509">
        <w:rPr>
          <w:rFonts w:ascii="Times New Roman" w:hAnsi="Times New Roman" w:cs="Times New Roman"/>
          <w:b/>
          <w:bCs/>
          <w:noProof/>
        </w:rPr>
        <w:t>Supplementary Fig. 1d</w:t>
      </w:r>
      <w:r w:rsidRPr="00947C46" w:rsidR="00BE0FCE">
        <w:rPr>
          <w:rFonts w:ascii="Times New Roman" w:hAnsi="Times New Roman" w:cs="Times New Roman"/>
          <w:noProof/>
        </w:rPr>
        <w:t>, we calculated a s</w:t>
      </w:r>
      <w:r w:rsidRPr="00947C46" w:rsidR="00D42A78">
        <w:rPr>
          <w:rFonts w:ascii="Times New Roman" w:hAnsi="Times New Roman" w:cs="Times New Roman"/>
          <w:noProof/>
        </w:rPr>
        <w:t>pecificity scor</w:t>
      </w:r>
      <w:r w:rsidRPr="00947C46" w:rsidR="00BE0FCE">
        <w:rPr>
          <w:rFonts w:ascii="Times New Roman" w:hAnsi="Times New Roman" w:cs="Times New Roman"/>
          <w:noProof/>
        </w:rPr>
        <w:t>e.</w:t>
      </w:r>
      <w:r w:rsidRPr="00947C46" w:rsidR="0ADA11AB">
        <w:rPr>
          <w:rFonts w:ascii="Times New Roman" w:hAnsi="Times New Roman" w:cs="Times New Roman"/>
          <w:noProof/>
        </w:rPr>
        <w:t xml:space="preserve"> </w:t>
      </w:r>
      <w:r w:rsidRPr="00947C46" w:rsidR="2F6840F6">
        <w:rPr>
          <w:rFonts w:ascii="Times New Roman" w:hAnsi="Times New Roman" w:cs="Times New Roman"/>
          <w:noProof/>
        </w:rPr>
        <w:t>Since</w:t>
      </w:r>
      <w:r w:rsidRPr="00947C46" w:rsidR="54EAFC1D">
        <w:rPr>
          <w:rFonts w:ascii="Times New Roman" w:hAnsi="Times New Roman" w:cs="Times New Roman"/>
          <w:noProof/>
        </w:rPr>
        <w:t xml:space="preserve"> the atlas is composed of multiple studies,</w:t>
      </w:r>
      <w:r w:rsidRPr="00947C46" w:rsidR="0FFA7AD5">
        <w:rPr>
          <w:rFonts w:ascii="Times New Roman" w:hAnsi="Times New Roman" w:cs="Times New Roman"/>
          <w:noProof/>
        </w:rPr>
        <w:t xml:space="preserve"> which leads to potential batch effects,</w:t>
      </w:r>
      <w:r w:rsidRPr="00947C46" w:rsidR="54EAFC1D">
        <w:rPr>
          <w:rFonts w:ascii="Times New Roman" w:hAnsi="Times New Roman" w:cs="Times New Roman"/>
          <w:noProof/>
        </w:rPr>
        <w:t xml:space="preserve"> we</w:t>
      </w:r>
      <w:r w:rsidRPr="00947C46" w:rsidR="00D42A78">
        <w:rPr>
          <w:rFonts w:ascii="Times New Roman" w:hAnsi="Times New Roman" w:cs="Times New Roman"/>
          <w:noProof/>
        </w:rPr>
        <w:t xml:space="preserve"> evaluate</w:t>
      </w:r>
      <w:r w:rsidRPr="00947C46" w:rsidR="4AFC91D5">
        <w:rPr>
          <w:rFonts w:ascii="Times New Roman" w:hAnsi="Times New Roman" w:cs="Times New Roman"/>
          <w:noProof/>
        </w:rPr>
        <w:t>d</w:t>
      </w:r>
      <w:r w:rsidRPr="00947C46" w:rsidR="00D42A78">
        <w:rPr>
          <w:rFonts w:ascii="Times New Roman" w:hAnsi="Times New Roman" w:cs="Times New Roman"/>
          <w:noProof/>
        </w:rPr>
        <w:t xml:space="preserve"> genes independently of their gene expression for the classification of a cell type. For each gene and cell type (and tissue), we calculated the diagnostic odds ratio (DOR), binarizing the expression values. Any detection of a gene in a meta-cell (normalized expression value &gt;0) is considered positive, otherwise negative. The DOR is defined as follows:</w:t>
      </w:r>
    </w:p>
    <w:p w:rsidRPr="00947C46" w:rsidR="00486695" w:rsidP="1BD4ABAD" w:rsidRDefault="00C000A8" w14:paraId="52674463" w14:textId="6969FDDF">
      <w:pPr>
        <w:jc w:val="center"/>
        <w:rPr>
          <w:rFonts w:ascii="Times New Roman" w:hAnsi="Times New Roman" w:cs="Times New Roman"/>
          <w:noProof/>
        </w:rPr>
      </w:pPr>
      <m:oMathPara>
        <m:oMath>
          <m:r>
            <w:rPr>
              <w:rFonts w:ascii="Cambria Math" w:hAnsi="Cambria Math" w:cs="Times New Roman" w:eastAsiaTheme="minorEastAsia"/>
              <w:noProof/>
            </w:rPr>
            <m:t>DOR</m:t>
          </m:r>
          <m:r>
            <w:rPr>
              <w:rFonts w:ascii="Cambria Math" w:hAnsi="Cambria Math" w:cs="Times New Roman"/>
              <w:noProof/>
            </w:rPr>
            <m:t>=</m:t>
          </m:r>
          <m:func>
            <m:funcPr>
              <m:ctrlPr>
                <w:rPr>
                  <w:rFonts w:ascii="Cambria Math" w:hAnsi="Cambria Math" w:cs="Times New Roman"/>
                  <w:i/>
                  <w:iCs/>
                  <w:noProof/>
                  <w:lang w:val="de-DE"/>
                </w:rPr>
              </m:ctrlPr>
            </m:funcPr>
            <m:fName>
              <m:r>
                <m:rPr>
                  <m:sty m:val="p"/>
                </m:rPr>
                <w:rPr>
                  <w:rFonts w:ascii="Cambria Math" w:hAnsi="Cambria Math" w:cs="Times New Roman"/>
                  <w:noProof/>
                </w:rPr>
                <m:t>log</m:t>
              </m:r>
            </m:fName>
            <m:e>
              <m:d>
                <m:dPr>
                  <m:ctrlPr>
                    <w:rPr>
                      <w:rFonts w:ascii="Cambria Math" w:hAnsi="Cambria Math" w:cs="Times New Roman"/>
                      <w:i/>
                      <w:iCs/>
                      <w:noProof/>
                      <w:lang w:val="de-DE"/>
                    </w:rPr>
                  </m:ctrlPr>
                </m:dPr>
                <m:e>
                  <m:f>
                    <m:fPr>
                      <m:ctrlPr>
                        <w:rPr>
                          <w:rFonts w:ascii="Cambria Math" w:hAnsi="Cambria Math" w:cs="Times New Roman"/>
                          <w:i/>
                          <w:iCs/>
                          <w:noProof/>
                        </w:rPr>
                      </m:ctrlPr>
                    </m:fPr>
                    <m:num>
                      <m:r>
                        <m:rPr>
                          <m:nor/>
                        </m:rPr>
                        <w:rPr>
                          <w:rFonts w:ascii="Times New Roman" w:hAnsi="Times New Roman" w:cs="Times New Roman"/>
                          <w:noProof/>
                        </w:rPr>
                        <m:t>(TruePositives + 0.5) / (FalsePositives + 0.5)</m:t>
                      </m:r>
                    </m:num>
                    <m:den>
                      <m:r>
                        <m:rPr>
                          <m:nor/>
                        </m:rPr>
                        <w:rPr>
                          <w:rFonts w:ascii="Times New Roman" w:hAnsi="Times New Roman" w:cs="Times New Roman"/>
                          <w:noProof/>
                        </w:rPr>
                        <m:t>(FalseNegatives + 0.5) / (TrueNegatives + 0.5)</m:t>
                      </m:r>
                    </m:den>
                  </m:f>
                </m:e>
              </m:d>
            </m:e>
          </m:func>
        </m:oMath>
      </m:oMathPara>
    </w:p>
    <w:p w:rsidRPr="00947C46" w:rsidR="00486695" w:rsidP="004F2509" w:rsidRDefault="00B3118E" w14:paraId="3E8AAFD7" w14:textId="2AEEA068">
      <w:pPr>
        <w:jc w:val="both"/>
        <w:rPr>
          <w:rFonts w:ascii="Times New Roman" w:hAnsi="Times New Roman" w:cs="Times New Roman"/>
          <w:noProof/>
        </w:rPr>
      </w:pPr>
      <w:r w:rsidRPr="00947C46">
        <w:rPr>
          <w:rFonts w:ascii="Times New Roman" w:hAnsi="Times New Roman" w:cs="Times New Roman"/>
          <w:noProof/>
        </w:rPr>
        <w:t>where TruePositives represents the number of meta-cells within a cell type detected expressing the gene, FalsePositives represents the number of meta-cells outside of the cell type detected expressing the gene, FalseNegatives represents the number of meta-cells within the cell type with no detected expression, and TrueNegatives represents the number of meta-cells outside of the cell type with no detected expression of the gene. To avoid undefined values, pseudocounts of 0.5 was used. The Specificity Score is defined as follows:</w:t>
      </w:r>
    </w:p>
    <w:p w:rsidRPr="00947C46" w:rsidR="00B3118E" w:rsidP="1BD4ABAD" w:rsidRDefault="00C000A8" w14:paraId="71CD4A71" w14:textId="36B7BF70">
      <w:pPr>
        <w:jc w:val="center"/>
        <w:rPr>
          <w:rFonts w:ascii="Times New Roman" w:hAnsi="Times New Roman" w:cs="Times New Roman"/>
          <w:noProof/>
        </w:rPr>
      </w:pPr>
      <m:oMathPara>
        <m:oMath>
          <m:r>
            <w:rPr>
              <w:rFonts w:ascii="Cambria Math" w:hAnsi="Cambria Math" w:cs="Times New Roman"/>
              <w:noProof/>
            </w:rPr>
            <m:t>Specificity score=</m:t>
          </m:r>
          <m:f>
            <m:fPr>
              <m:ctrlPr>
                <w:rPr>
                  <w:rFonts w:ascii="Cambria Math" w:hAnsi="Cambria Math" w:cs="Times New Roman"/>
                  <w:i/>
                  <w:iCs/>
                  <w:noProof/>
                  <w:lang w:val="de-DE"/>
                </w:rPr>
              </m:ctrlPr>
            </m:fPr>
            <m:num>
              <m:r>
                <w:rPr>
                  <w:rFonts w:ascii="Cambria Math" w:hAnsi="Cambria Math" w:cs="Times New Roman"/>
                  <w:noProof/>
                  <w:lang w:val="de-DE"/>
                </w:rPr>
                <m:t>DOR</m:t>
              </m:r>
            </m:num>
            <m:den>
              <m:r>
                <m:rPr>
                  <m:sty m:val="p"/>
                </m:rPr>
                <w:rPr>
                  <w:rFonts w:ascii="Cambria Math" w:hAnsi="Cambria Math" w:cs="Times New Roman"/>
                  <w:noProof/>
                  <w:lang w:val="de-DE"/>
                </w:rPr>
                <m:t>max</m:t>
              </m:r>
              <m:r>
                <w:rPr>
                  <w:rFonts w:ascii="Cambria Math" w:hAnsi="Cambria Math" w:cs="Times New Roman"/>
                  <w:noProof/>
                  <w:lang w:val="de-DE"/>
                </w:rPr>
                <m:t>⁡(DOR)</m:t>
              </m:r>
            </m:den>
          </m:f>
        </m:oMath>
      </m:oMathPara>
    </w:p>
    <w:p w:rsidRPr="00947C46" w:rsidR="00B10C56" w:rsidP="1BD4ABAD" w:rsidRDefault="00B3118E" w14:paraId="6BFF3F65" w14:textId="12257A3D">
      <w:pPr>
        <w:jc w:val="both"/>
        <w:rPr>
          <w:rFonts w:ascii="Times New Roman" w:hAnsi="Times New Roman" w:cs="Times New Roman"/>
          <w:noProof/>
        </w:rPr>
      </w:pPr>
      <w:r w:rsidRPr="00947C46">
        <w:rPr>
          <w:rFonts w:ascii="Times New Roman" w:hAnsi="Times New Roman" w:cs="Times New Roman"/>
          <w:noProof/>
        </w:rPr>
        <w:t>where max(DOR) is obtained if TruePositives is maximum and FalsePositives is zero (e.g. cell type A has 500 meta-cells and all these cells express the gene). This keeps the DOR in a range between -1 and 1. A value of -1 means that the expression of the gene was detected in all cells outside the cell type and the TruePositives value is zero.</w:t>
      </w:r>
    </w:p>
    <w:p w:rsidRPr="00947C46" w:rsidR="1BD4ABAD" w:rsidP="1BD4ABAD" w:rsidRDefault="1BD4ABAD" w14:paraId="08A81AF2" w14:textId="2828F723">
      <w:pPr>
        <w:jc w:val="both"/>
        <w:rPr>
          <w:rFonts w:ascii="Times New Roman" w:hAnsi="Times New Roman" w:cs="Times New Roman"/>
          <w:noProo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10200"/>
      </w:tblGrid>
      <w:tr w:rsidRPr="00947C46" w:rsidR="582B0B51" w:rsidTr="27A3126C" w14:paraId="45AFB781" w14:textId="77777777">
        <w:trPr>
          <w:trHeight w:val="300"/>
        </w:trPr>
        <w:tc>
          <w:tcPr>
            <w:tcW w:w="10200" w:type="dxa"/>
            <w:tcMar/>
          </w:tcPr>
          <w:p w:rsidRPr="00947C46" w:rsidR="582B0B51" w:rsidP="582B0B51" w:rsidRDefault="637F17C8" w14:paraId="53F91C78" w14:textId="2965DB70">
            <w:pPr>
              <w:jc w:val="center"/>
              <w:rPr>
                <w:rFonts w:ascii="Times New Roman" w:hAnsi="Times New Roman" w:cs="Times New Roman"/>
              </w:rPr>
            </w:pPr>
            <w:r w:rsidRPr="00947C46">
              <w:rPr>
                <w:noProof/>
              </w:rPr>
              <w:drawing>
                <wp:inline distT="0" distB="0" distL="0" distR="0" wp14:anchorId="43A01F65" wp14:editId="0ADB0299">
                  <wp:extent cx="6339842" cy="18167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9842" cy="1816735"/>
                          </a:xfrm>
                          <a:prstGeom prst="rect">
                            <a:avLst/>
                          </a:prstGeom>
                        </pic:spPr>
                      </pic:pic>
                    </a:graphicData>
                  </a:graphic>
                </wp:inline>
              </w:drawing>
            </w:r>
          </w:p>
        </w:tc>
      </w:tr>
      <w:tr w:rsidRPr="00947C46" w:rsidR="582B0B51" w:rsidTr="27A3126C" w14:paraId="2A6A544F" w14:textId="77777777">
        <w:trPr>
          <w:trHeight w:val="300"/>
        </w:trPr>
        <w:tc>
          <w:tcPr>
            <w:tcW w:w="10200" w:type="dxa"/>
            <w:tcMar/>
          </w:tcPr>
          <w:p w:rsidRPr="00947C46" w:rsidR="006A4DE8" w:rsidP="00703AC1" w:rsidRDefault="0FFCB821" w14:paraId="435DAAD8" w14:textId="38D28A36">
            <w:pPr>
              <w:jc w:val="both"/>
              <w:rPr>
                <w:rFonts w:ascii="Times New Roman" w:hAnsi="Times New Roman" w:cs="Times New Roman"/>
                <w:sz w:val="20"/>
                <w:szCs w:val="20"/>
              </w:rPr>
            </w:pPr>
            <w:r w:rsidRPr="27A3126C" w:rsidR="0FFCB821">
              <w:rPr>
                <w:rFonts w:ascii="Times New Roman" w:hAnsi="Times New Roman" w:cs="Times New Roman"/>
                <w:b w:val="1"/>
                <w:bCs w:val="1"/>
                <w:sz w:val="20"/>
                <w:szCs w:val="20"/>
              </w:rPr>
              <w:t xml:space="preserve">Supplementary Fig. </w:t>
            </w:r>
            <w:r w:rsidRPr="27A3126C" w:rsidR="7ED376B4">
              <w:rPr>
                <w:rFonts w:ascii="Times New Roman" w:hAnsi="Times New Roman" w:cs="Times New Roman"/>
                <w:b w:val="1"/>
                <w:bCs w:val="1"/>
                <w:sz w:val="20"/>
                <w:szCs w:val="20"/>
              </w:rPr>
              <w:t>1 |</w:t>
            </w:r>
            <w:r w:rsidRPr="27A3126C" w:rsidR="64DE6B76">
              <w:rPr>
                <w:rFonts w:ascii="Times New Roman" w:hAnsi="Times New Roman" w:cs="Times New Roman"/>
                <w:b w:val="1"/>
                <w:bCs w:val="1"/>
                <w:sz w:val="20"/>
                <w:szCs w:val="20"/>
              </w:rPr>
              <w:t xml:space="preserve"> Pan-cancer tumor-normal landscape </w:t>
            </w:r>
            <w:r w:rsidRPr="27A3126C" w:rsidR="56D29F15">
              <w:rPr>
                <w:rFonts w:ascii="Times New Roman" w:hAnsi="Times New Roman" w:cs="Times New Roman"/>
                <w:b w:val="1"/>
                <w:bCs w:val="1"/>
                <w:sz w:val="20"/>
                <w:szCs w:val="20"/>
              </w:rPr>
              <w:t>at</w:t>
            </w:r>
            <w:r w:rsidRPr="27A3126C" w:rsidR="64DE6B76">
              <w:rPr>
                <w:rFonts w:ascii="Times New Roman" w:hAnsi="Times New Roman" w:cs="Times New Roman"/>
                <w:b w:val="1"/>
                <w:bCs w:val="1"/>
                <w:sz w:val="20"/>
                <w:szCs w:val="20"/>
              </w:rPr>
              <w:t xml:space="preserve"> meta-cell resolution</w:t>
            </w:r>
            <w:r w:rsidRPr="27A3126C" w:rsidR="64DE6B76">
              <w:rPr>
                <w:rFonts w:ascii="Times New Roman" w:hAnsi="Times New Roman" w:cs="Times New Roman"/>
                <w:sz w:val="20"/>
                <w:szCs w:val="20"/>
              </w:rPr>
              <w:t>.</w:t>
            </w:r>
            <w:r w:rsidRPr="27A3126C" w:rsidR="0FFCB821">
              <w:rPr>
                <w:rFonts w:ascii="Times New Roman" w:hAnsi="Times New Roman" w:cs="Times New Roman"/>
                <w:b w:val="1"/>
                <w:bCs w:val="1"/>
                <w:sz w:val="20"/>
                <w:szCs w:val="20"/>
              </w:rPr>
              <w:t xml:space="preserve"> </w:t>
            </w:r>
            <w:r w:rsidRPr="27A3126C" w:rsidR="2AFF0DBE">
              <w:rPr>
                <w:rFonts w:ascii="Times New Roman" w:hAnsi="Times New Roman" w:cs="Times New Roman"/>
                <w:b w:val="1"/>
                <w:bCs w:val="1"/>
                <w:sz w:val="20"/>
                <w:szCs w:val="20"/>
              </w:rPr>
              <w:t>a,</w:t>
            </w:r>
            <w:r w:rsidRPr="27A3126C" w:rsidR="2AFF0DBE">
              <w:rPr>
                <w:rFonts w:ascii="Times New Roman" w:hAnsi="Times New Roman" w:cs="Times New Roman"/>
                <w:b w:val="1"/>
                <w:bCs w:val="1"/>
                <w:sz w:val="20"/>
                <w:szCs w:val="20"/>
              </w:rPr>
              <w:t xml:space="preserve"> </w:t>
            </w:r>
            <w:r w:rsidRPr="27A3126C" w:rsidR="2AFF0DBE">
              <w:rPr>
                <w:rFonts w:ascii="Times New Roman" w:hAnsi="Times New Roman" w:cs="Times New Roman"/>
                <w:sz w:val="20"/>
                <w:szCs w:val="20"/>
              </w:rPr>
              <w:t>Meta-cell</w:t>
            </w:r>
            <w:r w:rsidRPr="27A3126C" w:rsidR="00EF0207">
              <w:rPr>
                <w:rFonts w:ascii="Times New Roman" w:hAnsi="Times New Roman" w:cs="Times New Roman"/>
                <w:sz w:val="20"/>
                <w:szCs w:val="20"/>
              </w:rPr>
              <w:t>s</w:t>
            </w:r>
            <w:r w:rsidRPr="27A3126C" w:rsidR="2AFF0DBE">
              <w:rPr>
                <w:rFonts w:ascii="Times New Roman" w:hAnsi="Times New Roman" w:cs="Times New Roman"/>
                <w:sz w:val="20"/>
                <w:szCs w:val="20"/>
              </w:rPr>
              <w:t xml:space="preserve"> colored by cell types.</w:t>
            </w:r>
            <w:r w:rsidRPr="27A3126C" w:rsidR="2AFF0DBE">
              <w:rPr>
                <w:rFonts w:ascii="Times New Roman" w:hAnsi="Times New Roman" w:cs="Times New Roman"/>
                <w:b w:val="1"/>
                <w:bCs w:val="1"/>
                <w:sz w:val="20"/>
                <w:szCs w:val="20"/>
              </w:rPr>
              <w:t xml:space="preserve"> </w:t>
            </w:r>
            <w:r w:rsidRPr="27A3126C" w:rsidR="47508367">
              <w:rPr>
                <w:rFonts w:ascii="Times New Roman" w:hAnsi="Times New Roman" w:cs="Times New Roman"/>
                <w:b w:val="1"/>
                <w:bCs w:val="1"/>
                <w:sz w:val="20"/>
                <w:szCs w:val="20"/>
              </w:rPr>
              <w:t>b</w:t>
            </w:r>
            <w:r w:rsidRPr="27A3126C" w:rsidR="47508367">
              <w:rPr>
                <w:rFonts w:ascii="Times New Roman" w:hAnsi="Times New Roman" w:cs="Times New Roman"/>
                <w:sz w:val="20"/>
                <w:szCs w:val="20"/>
              </w:rPr>
              <w:t xml:space="preserve">, </w:t>
            </w:r>
            <w:r w:rsidRPr="27A3126C" w:rsidR="2AFF0DBE">
              <w:rPr>
                <w:rFonts w:ascii="Times New Roman" w:hAnsi="Times New Roman" w:cs="Times New Roman"/>
                <w:sz w:val="20"/>
                <w:szCs w:val="20"/>
              </w:rPr>
              <w:t>M</w:t>
            </w:r>
            <w:r w:rsidRPr="27A3126C" w:rsidR="1621D1FA">
              <w:rPr>
                <w:rFonts w:ascii="Times New Roman" w:hAnsi="Times New Roman" w:cs="Times New Roman"/>
                <w:sz w:val="20"/>
                <w:szCs w:val="20"/>
              </w:rPr>
              <w:t xml:space="preserve">eta-cells were summarized to </w:t>
            </w:r>
            <w:r w:rsidRPr="27A3126C" w:rsidR="1621D1FA">
              <w:rPr>
                <w:rFonts w:ascii="Times New Roman" w:hAnsi="Times New Roman" w:cs="Times New Roman"/>
                <w:sz w:val="20"/>
                <w:szCs w:val="20"/>
              </w:rPr>
              <w:t>hexabins</w:t>
            </w:r>
            <w:r w:rsidRPr="27A3126C" w:rsidR="1621D1FA">
              <w:rPr>
                <w:rFonts w:ascii="Times New Roman" w:hAnsi="Times New Roman" w:cs="Times New Roman"/>
                <w:sz w:val="20"/>
                <w:szCs w:val="20"/>
              </w:rPr>
              <w:t xml:space="preserve"> using the R package </w:t>
            </w:r>
            <w:r w:rsidRPr="27A3126C" w:rsidR="1621D1FA">
              <w:rPr>
                <w:rFonts w:ascii="Times New Roman" w:hAnsi="Times New Roman" w:cs="Times New Roman"/>
                <w:sz w:val="20"/>
                <w:szCs w:val="20"/>
              </w:rPr>
              <w:t>schex</w:t>
            </w:r>
            <w:r w:rsidRPr="27A3126C" w:rsidR="1621D1FA">
              <w:rPr>
                <w:rFonts w:ascii="Times New Roman" w:hAnsi="Times New Roman" w:cs="Times New Roman"/>
                <w:sz w:val="20"/>
                <w:szCs w:val="20"/>
              </w:rPr>
              <w:t xml:space="preserve">. </w:t>
            </w:r>
            <w:r w:rsidRPr="27A3126C" w:rsidR="338F70C6">
              <w:rPr>
                <w:rFonts w:ascii="Times New Roman" w:hAnsi="Times New Roman" w:cs="Times New Roman"/>
                <w:sz w:val="20"/>
                <w:szCs w:val="20"/>
              </w:rPr>
              <w:t>The c</w:t>
            </w:r>
            <w:r w:rsidRPr="27A3126C" w:rsidR="1621D1FA">
              <w:rPr>
                <w:rFonts w:ascii="Times New Roman" w:hAnsi="Times New Roman" w:cs="Times New Roman"/>
                <w:sz w:val="20"/>
                <w:szCs w:val="20"/>
              </w:rPr>
              <w:t>olor</w:t>
            </w:r>
            <w:r w:rsidRPr="27A3126C" w:rsidR="5655739E">
              <w:rPr>
                <w:rFonts w:ascii="Times New Roman" w:hAnsi="Times New Roman" w:cs="Times New Roman"/>
                <w:sz w:val="20"/>
                <w:szCs w:val="20"/>
              </w:rPr>
              <w:t xml:space="preserve"> code</w:t>
            </w:r>
            <w:r w:rsidRPr="27A3126C" w:rsidR="1621D1FA">
              <w:rPr>
                <w:rFonts w:ascii="Times New Roman" w:hAnsi="Times New Roman" w:cs="Times New Roman"/>
                <w:sz w:val="20"/>
                <w:szCs w:val="20"/>
              </w:rPr>
              <w:t xml:space="preserve"> </w:t>
            </w:r>
            <w:r w:rsidRPr="27A3126C" w:rsidR="36EE8F8B">
              <w:rPr>
                <w:rFonts w:ascii="Times New Roman" w:hAnsi="Times New Roman" w:cs="Times New Roman"/>
                <w:sz w:val="20"/>
                <w:szCs w:val="20"/>
              </w:rPr>
              <w:t>represents</w:t>
            </w:r>
            <w:r w:rsidRPr="27A3126C" w:rsidR="1621D1FA">
              <w:rPr>
                <w:rFonts w:ascii="Times New Roman" w:hAnsi="Times New Roman" w:cs="Times New Roman"/>
                <w:sz w:val="20"/>
                <w:szCs w:val="20"/>
              </w:rPr>
              <w:t xml:space="preserve"> </w:t>
            </w:r>
            <w:r w:rsidRPr="27A3126C" w:rsidR="6171955F">
              <w:rPr>
                <w:rFonts w:ascii="Times New Roman" w:hAnsi="Times New Roman" w:cs="Times New Roman"/>
                <w:sz w:val="20"/>
                <w:szCs w:val="20"/>
              </w:rPr>
              <w:t>the average</w:t>
            </w:r>
            <w:r w:rsidRPr="27A3126C" w:rsidR="1621D1FA">
              <w:rPr>
                <w:rFonts w:ascii="Times New Roman" w:hAnsi="Times New Roman" w:cs="Times New Roman"/>
                <w:sz w:val="20"/>
                <w:szCs w:val="20"/>
              </w:rPr>
              <w:t xml:space="preserve"> </w:t>
            </w:r>
            <w:r w:rsidRPr="27A3126C" w:rsidR="210BC995">
              <w:rPr>
                <w:rFonts w:ascii="Times New Roman" w:hAnsi="Times New Roman" w:cs="Times New Roman"/>
                <w:sz w:val="20"/>
                <w:szCs w:val="20"/>
              </w:rPr>
              <w:t>BC</w:t>
            </w:r>
            <w:r w:rsidRPr="27A3126C" w:rsidR="2CA2730F">
              <w:rPr>
                <w:rFonts w:ascii="Times New Roman" w:hAnsi="Times New Roman" w:cs="Times New Roman"/>
                <w:sz w:val="20"/>
                <w:szCs w:val="20"/>
              </w:rPr>
              <w:t>M</w:t>
            </w:r>
            <w:r w:rsidRPr="27A3126C" w:rsidR="210BC995">
              <w:rPr>
                <w:rFonts w:ascii="Times New Roman" w:hAnsi="Times New Roman" w:cs="Times New Roman"/>
                <w:sz w:val="20"/>
                <w:szCs w:val="20"/>
              </w:rPr>
              <w:t xml:space="preserve">A </w:t>
            </w:r>
            <w:r w:rsidRPr="27A3126C" w:rsidR="1621D1FA">
              <w:rPr>
                <w:rFonts w:ascii="Times New Roman" w:hAnsi="Times New Roman" w:cs="Times New Roman"/>
                <w:sz w:val="20"/>
                <w:szCs w:val="20"/>
              </w:rPr>
              <w:t>expression of these bins</w:t>
            </w:r>
            <w:r w:rsidRPr="27A3126C" w:rsidR="5CDD98E2">
              <w:rPr>
                <w:rFonts w:ascii="Times New Roman" w:hAnsi="Times New Roman" w:cs="Times New Roman"/>
                <w:sz w:val="20"/>
                <w:szCs w:val="20"/>
              </w:rPr>
              <w:t xml:space="preserve">. </w:t>
            </w:r>
            <w:r w:rsidRPr="27A3126C" w:rsidR="197C3105">
              <w:rPr>
                <w:rFonts w:ascii="Times New Roman" w:hAnsi="Times New Roman" w:cs="Times New Roman"/>
                <w:b w:val="1"/>
                <w:bCs w:val="1"/>
                <w:sz w:val="20"/>
                <w:szCs w:val="20"/>
              </w:rPr>
              <w:t>c</w:t>
            </w:r>
            <w:r w:rsidRPr="27A3126C" w:rsidR="197C3105">
              <w:rPr>
                <w:rFonts w:ascii="Times New Roman" w:hAnsi="Times New Roman" w:cs="Times New Roman"/>
                <w:sz w:val="20"/>
                <w:szCs w:val="20"/>
              </w:rPr>
              <w:t xml:space="preserve">, </w:t>
            </w:r>
            <w:r w:rsidRPr="27A3126C" w:rsidR="5CDD98E2">
              <w:rPr>
                <w:rFonts w:ascii="Times New Roman" w:hAnsi="Times New Roman" w:cs="Times New Roman"/>
                <w:sz w:val="20"/>
                <w:szCs w:val="20"/>
              </w:rPr>
              <w:t>Scaled</w:t>
            </w:r>
            <w:r w:rsidRPr="27A3126C" w:rsidR="5CDD98E2">
              <w:rPr>
                <w:rFonts w:ascii="Times New Roman" w:hAnsi="Times New Roman" w:cs="Times New Roman"/>
                <w:sz w:val="20"/>
                <w:szCs w:val="20"/>
              </w:rPr>
              <w:t xml:space="preserve"> a</w:t>
            </w:r>
            <w:r w:rsidRPr="27A3126C" w:rsidR="197C3105">
              <w:rPr>
                <w:rFonts w:ascii="Times New Roman" w:hAnsi="Times New Roman" w:cs="Times New Roman"/>
                <w:sz w:val="20"/>
                <w:szCs w:val="20"/>
              </w:rPr>
              <w:t xml:space="preserve">verage </w:t>
            </w:r>
            <w:r w:rsidRPr="27A3126C" w:rsidR="589A7716">
              <w:rPr>
                <w:rFonts w:ascii="Times New Roman" w:hAnsi="Times New Roman" w:cs="Times New Roman"/>
                <w:sz w:val="20"/>
                <w:szCs w:val="20"/>
              </w:rPr>
              <w:t>BCMA</w:t>
            </w:r>
            <w:r w:rsidRPr="27A3126C" w:rsidR="197C3105">
              <w:rPr>
                <w:rFonts w:ascii="Times New Roman" w:hAnsi="Times New Roman" w:cs="Times New Roman"/>
                <w:sz w:val="20"/>
                <w:szCs w:val="20"/>
              </w:rPr>
              <w:t xml:space="preserve"> expression grouped by organ and cell type</w:t>
            </w:r>
            <w:r w:rsidRPr="27A3126C" w:rsidR="3BE7E2D8">
              <w:rPr>
                <w:rFonts w:ascii="Times New Roman" w:hAnsi="Times New Roman" w:cs="Times New Roman"/>
                <w:sz w:val="20"/>
                <w:szCs w:val="20"/>
              </w:rPr>
              <w:t>.</w:t>
            </w:r>
            <w:r w:rsidRPr="27A3126C" w:rsidR="6CBDA82A">
              <w:rPr>
                <w:rFonts w:ascii="Times New Roman" w:hAnsi="Times New Roman" w:cs="Times New Roman"/>
                <w:sz w:val="20"/>
                <w:szCs w:val="20"/>
              </w:rPr>
              <w:t xml:space="preserve"> N: Normal Tissue, T-N: Tumor tissue, Normal cells, T-T: Tumor tissue, Tumor cells</w:t>
            </w:r>
            <w:r w:rsidRPr="27A3126C" w:rsidR="734FFD70">
              <w:rPr>
                <w:rFonts w:ascii="Times New Roman" w:hAnsi="Times New Roman" w:cs="Times New Roman"/>
                <w:sz w:val="20"/>
                <w:szCs w:val="20"/>
              </w:rPr>
              <w:t xml:space="preserve">. </w:t>
            </w:r>
            <w:r w:rsidRPr="27A3126C" w:rsidR="734FFD70">
              <w:rPr>
                <w:rFonts w:ascii="Times New Roman" w:hAnsi="Times New Roman" w:cs="Times New Roman"/>
                <w:b w:val="1"/>
                <w:bCs w:val="1"/>
                <w:sz w:val="20"/>
                <w:szCs w:val="20"/>
              </w:rPr>
              <w:t>d</w:t>
            </w:r>
            <w:r w:rsidRPr="27A3126C" w:rsidR="734FFD70">
              <w:rPr>
                <w:rFonts w:ascii="Times New Roman" w:hAnsi="Times New Roman" w:cs="Times New Roman"/>
                <w:sz w:val="20"/>
                <w:szCs w:val="20"/>
              </w:rPr>
              <w:t xml:space="preserve">, </w:t>
            </w:r>
            <w:r w:rsidRPr="27A3126C" w:rsidR="1F14CC7E">
              <w:rPr>
                <w:rFonts w:ascii="Times New Roman" w:hAnsi="Times New Roman" w:cs="Times New Roman"/>
                <w:sz w:val="20"/>
                <w:szCs w:val="20"/>
              </w:rPr>
              <w:t xml:space="preserve">Specificity </w:t>
            </w:r>
            <w:r w:rsidRPr="27A3126C" w:rsidR="734FFD70">
              <w:rPr>
                <w:rFonts w:ascii="Times New Roman" w:hAnsi="Times New Roman" w:cs="Times New Roman"/>
                <w:sz w:val="20"/>
                <w:szCs w:val="20"/>
              </w:rPr>
              <w:t>score</w:t>
            </w:r>
            <w:r w:rsidRPr="27A3126C" w:rsidR="70718AE3">
              <w:rPr>
                <w:rFonts w:ascii="Times New Roman" w:hAnsi="Times New Roman" w:cs="Times New Roman"/>
                <w:sz w:val="20"/>
                <w:szCs w:val="20"/>
              </w:rPr>
              <w:t>s for BCMA</w:t>
            </w:r>
            <w:r w:rsidRPr="27A3126C" w:rsidR="734FFD70">
              <w:rPr>
                <w:rFonts w:ascii="Times New Roman" w:hAnsi="Times New Roman" w:cs="Times New Roman"/>
                <w:sz w:val="20"/>
                <w:szCs w:val="20"/>
              </w:rPr>
              <w:t xml:space="preserve"> grouped by organ and cell type</w:t>
            </w:r>
            <w:r w:rsidRPr="27A3126C" w:rsidR="5FB66183">
              <w:rPr>
                <w:rFonts w:ascii="Times New Roman" w:hAnsi="Times New Roman" w:cs="Times New Roman"/>
                <w:sz w:val="20"/>
                <w:szCs w:val="20"/>
              </w:rPr>
              <w:t>.</w:t>
            </w:r>
            <w:r w:rsidRPr="27A3126C" w:rsidR="01F0485F">
              <w:rPr>
                <w:rFonts w:ascii="Times New Roman" w:hAnsi="Times New Roman" w:cs="Times New Roman"/>
                <w:sz w:val="20"/>
                <w:szCs w:val="20"/>
              </w:rPr>
              <w:t xml:space="preserve"> </w:t>
            </w:r>
            <w:r w:rsidRPr="27A3126C" w:rsidR="3BE7E2D8">
              <w:rPr>
                <w:rFonts w:ascii="Times New Roman" w:hAnsi="Times New Roman" w:cs="Times New Roman"/>
                <w:sz w:val="20"/>
                <w:szCs w:val="20"/>
              </w:rPr>
              <w:t xml:space="preserve">For </w:t>
            </w:r>
            <w:r w:rsidRPr="27A3126C" w:rsidR="3BE7E2D8">
              <w:rPr>
                <w:rFonts w:ascii="Times New Roman" w:hAnsi="Times New Roman" w:cs="Times New Roman"/>
                <w:b w:val="1"/>
                <w:bCs w:val="1"/>
                <w:sz w:val="20"/>
                <w:szCs w:val="20"/>
              </w:rPr>
              <w:t>a</w:t>
            </w:r>
            <w:r w:rsidRPr="27A3126C" w:rsidR="3BE7E2D8">
              <w:rPr>
                <w:rFonts w:ascii="Times New Roman" w:hAnsi="Times New Roman" w:cs="Times New Roman"/>
                <w:sz w:val="20"/>
                <w:szCs w:val="20"/>
              </w:rPr>
              <w:t xml:space="preserve"> and </w:t>
            </w:r>
            <w:r w:rsidRPr="27A3126C" w:rsidR="3BE7E2D8">
              <w:rPr>
                <w:rFonts w:ascii="Times New Roman" w:hAnsi="Times New Roman" w:cs="Times New Roman"/>
                <w:b w:val="1"/>
                <w:bCs w:val="1"/>
                <w:sz w:val="20"/>
                <w:szCs w:val="20"/>
              </w:rPr>
              <w:t>b</w:t>
            </w:r>
            <w:r w:rsidRPr="27A3126C" w:rsidR="04C45CF7">
              <w:rPr>
                <w:rFonts w:ascii="Times New Roman" w:hAnsi="Times New Roman" w:cs="Times New Roman"/>
                <w:sz w:val="20"/>
                <w:szCs w:val="20"/>
              </w:rPr>
              <w:t xml:space="preserve">, </w:t>
            </w:r>
            <w:r w:rsidRPr="27A3126C" w:rsidR="3BE7E2D8">
              <w:rPr>
                <w:rFonts w:ascii="Times New Roman" w:hAnsi="Times New Roman" w:cs="Times New Roman"/>
                <w:sz w:val="20"/>
                <w:szCs w:val="20"/>
              </w:rPr>
              <w:t>Grey</w:t>
            </w:r>
            <w:r w:rsidRPr="27A3126C" w:rsidR="3BE7E2D8">
              <w:rPr>
                <w:rFonts w:ascii="Times New Roman" w:hAnsi="Times New Roman" w:cs="Times New Roman"/>
                <w:sz w:val="20"/>
                <w:szCs w:val="20"/>
              </w:rPr>
              <w:t xml:space="preserve"> tiles: &lt;10 meta-cells expressing the gene (&gt;0 counts) across all cell types</w:t>
            </w:r>
            <w:r w:rsidRPr="27A3126C" w:rsidR="04C45CF7">
              <w:rPr>
                <w:rFonts w:ascii="Times New Roman" w:hAnsi="Times New Roman" w:cs="Times New Roman"/>
                <w:sz w:val="20"/>
                <w:szCs w:val="20"/>
              </w:rPr>
              <w:t xml:space="preserve"> </w:t>
            </w:r>
            <w:r w:rsidRPr="27A3126C" w:rsidR="3BE7E2D8">
              <w:rPr>
                <w:rFonts w:ascii="Times New Roman" w:hAnsi="Times New Roman" w:cs="Times New Roman"/>
                <w:sz w:val="20"/>
                <w:szCs w:val="20"/>
              </w:rPr>
              <w:t>or the average expression is zero across all cell types</w:t>
            </w:r>
            <w:r w:rsidRPr="27A3126C" w:rsidR="04C45CF7">
              <w:rPr>
                <w:rFonts w:ascii="Times New Roman" w:hAnsi="Times New Roman" w:cs="Times New Roman"/>
                <w:sz w:val="20"/>
                <w:szCs w:val="20"/>
              </w:rPr>
              <w:t xml:space="preserve">. </w:t>
            </w:r>
            <w:r w:rsidRPr="27A3126C" w:rsidR="3BE7E2D8">
              <w:rPr>
                <w:rFonts w:ascii="Times New Roman" w:hAnsi="Times New Roman" w:cs="Times New Roman"/>
                <w:sz w:val="20"/>
                <w:szCs w:val="20"/>
              </w:rPr>
              <w:t>White tiles: No data available</w:t>
            </w:r>
          </w:p>
          <w:p w:rsidRPr="00947C46" w:rsidR="582B0B51" w:rsidP="00703AC1" w:rsidRDefault="582B0B51" w14:paraId="04ACEDC3" w14:textId="2A74E656">
            <w:pPr>
              <w:jc w:val="both"/>
              <w:rPr>
                <w:rFonts w:ascii="Times New Roman" w:hAnsi="Times New Roman" w:cs="Times New Roman"/>
                <w:noProof/>
                <w:sz w:val="20"/>
                <w:szCs w:val="20"/>
              </w:rPr>
            </w:pPr>
          </w:p>
        </w:tc>
      </w:tr>
    </w:tbl>
    <w:p w:rsidRPr="00947C46" w:rsidR="00E517C7" w:rsidP="582B0B51" w:rsidRDefault="00E517C7" w14:paraId="4A8FFB40" w14:textId="608F828D"/>
    <w:p w:rsidRPr="00947C46" w:rsidR="005D33C2" w:rsidP="002C35C1" w:rsidRDefault="240FDED5" w14:paraId="5AB24C9D" w14:textId="19F9ECF6">
      <w:pPr>
        <w:jc w:val="center"/>
      </w:pPr>
      <w:r w:rsidRPr="00947C46">
        <w:rPr>
          <w:noProof/>
        </w:rPr>
        <w:lastRenderedPageBreak/>
        <w:drawing>
          <wp:inline distT="0" distB="0" distL="0" distR="0" wp14:anchorId="5BE8C567" wp14:editId="361ECAE0">
            <wp:extent cx="5755124" cy="5877054"/>
            <wp:effectExtent l="0" t="0" r="0" b="0"/>
            <wp:docPr id="995855883" name="Picture 99585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55124" cy="5877054"/>
                    </a:xfrm>
                    <a:prstGeom prst="rect">
                      <a:avLst/>
                    </a:prstGeom>
                  </pic:spPr>
                </pic:pic>
              </a:graphicData>
            </a:graphic>
          </wp:inline>
        </w:drawing>
      </w:r>
    </w:p>
    <w:p w:rsidRPr="00947C46" w:rsidR="009C1F29" w:rsidP="00E60802" w:rsidRDefault="009C1F29" w14:paraId="710EEB02" w14:textId="011214D7">
      <w:pPr>
        <w:jc w:val="both"/>
        <w:rPr>
          <w:rFonts w:ascii="Times New Roman" w:hAnsi="Times New Roman" w:cs="Times New Roman"/>
          <w:sz w:val="20"/>
          <w:szCs w:val="20"/>
        </w:rPr>
      </w:pPr>
      <w:r w:rsidRPr="00947C46">
        <w:rPr>
          <w:rFonts w:ascii="Times New Roman" w:hAnsi="Times New Roman" w:cs="Times New Roman"/>
          <w:b/>
          <w:bCs/>
          <w:sz w:val="20"/>
          <w:szCs w:val="20"/>
        </w:rPr>
        <w:t>Supplementary Fig</w:t>
      </w:r>
      <w:r w:rsidRPr="00947C46">
        <w:rPr>
          <w:rFonts w:ascii="Times New Roman" w:hAnsi="Times New Roman" w:cs="Times New Roman"/>
          <w:b/>
          <w:bCs/>
          <w:color w:val="000000" w:themeColor="text1"/>
          <w:sz w:val="20"/>
          <w:szCs w:val="20"/>
        </w:rPr>
        <w:t xml:space="preserve">. </w:t>
      </w:r>
      <w:r w:rsidRPr="00947C46" w:rsidR="0083654B">
        <w:rPr>
          <w:rFonts w:ascii="Times New Roman" w:hAnsi="Times New Roman" w:cs="Times New Roman"/>
          <w:b/>
          <w:bCs/>
          <w:color w:val="000000" w:themeColor="text1"/>
          <w:sz w:val="20"/>
          <w:szCs w:val="20"/>
        </w:rPr>
        <w:t>2</w:t>
      </w:r>
      <w:r w:rsidRPr="00947C46">
        <w:rPr>
          <w:rFonts w:ascii="Times New Roman" w:hAnsi="Times New Roman" w:cs="Times New Roman"/>
          <w:b/>
          <w:bCs/>
          <w:sz w:val="20"/>
          <w:szCs w:val="20"/>
        </w:rPr>
        <w:t xml:space="preserve"> </w:t>
      </w:r>
      <w:r w:rsidRPr="00947C46">
        <w:rPr>
          <w:rFonts w:ascii="Times New Roman" w:hAnsi="Times New Roman" w:cs="Times New Roman"/>
          <w:sz w:val="20"/>
          <w:szCs w:val="20"/>
        </w:rPr>
        <w:t>Gating strategy for CD4+ and CD8+ (CAR) T cells. Arrows indicate the order of the respective gating steps to delineate CAR from non-CAR CD4+ and CD8+ T cells. Leukocytes were identified by the expression of CD45, utilizing a SSC</w:t>
      </w:r>
      <w:r w:rsidRPr="00947C46">
        <w:rPr>
          <w:rFonts w:ascii="Times New Roman" w:hAnsi="Times New Roman" w:cs="Times New Roman"/>
          <w:sz w:val="20"/>
          <w:szCs w:val="20"/>
          <w:vertAlign w:val="superscript"/>
        </w:rPr>
        <w:t>low</w:t>
      </w:r>
      <w:r w:rsidRPr="00947C46">
        <w:rPr>
          <w:rFonts w:ascii="Times New Roman" w:hAnsi="Times New Roman" w:cs="Times New Roman"/>
          <w:sz w:val="20"/>
          <w:szCs w:val="20"/>
        </w:rPr>
        <w:t xml:space="preserve"> gate to effectively exclude debris. Monocytes were excluded from the lymphocyte population based on CD14 expression and subsequently excluded from the lymphocyte gate. Within the lymphocyte population, natural killer (NK) cells (CD16</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CD56</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natural killer T (NKT) cells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CD16</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CD56</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B cells (CD19</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and T cells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were differentiated. CAR</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and CAR</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T cells were further categorized into T helper cells (CD4</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and cytotoxic (CD8</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The activation states of each T cells subpopulation was assessed using die expression of HLA-DR/CD38 and PD-1, respectively.</w:t>
      </w:r>
    </w:p>
    <w:p w:rsidRPr="00947C46" w:rsidR="1BFA3066" w:rsidRDefault="1BFA3066" w14:paraId="751EA4C3" w14:textId="158CC59F"/>
    <w:p w:rsidRPr="00947C46" w:rsidR="1BFA3066" w:rsidRDefault="1BFA3066" w14:paraId="180552FA" w14:textId="4BA9927B">
      <w:r w:rsidRPr="00947C46">
        <w:br w:type="page"/>
      </w:r>
    </w:p>
    <w:p w:rsidRPr="00947C46" w:rsidR="435DB957" w:rsidP="002C35C1" w:rsidRDefault="435DB957" w14:paraId="68B9F2B0" w14:textId="3A9327D2">
      <w:pPr>
        <w:jc w:val="center"/>
      </w:pPr>
      <w:r w:rsidRPr="00947C46">
        <w:rPr>
          <w:noProof/>
        </w:rPr>
        <w:lastRenderedPageBreak/>
        <w:drawing>
          <wp:inline distT="0" distB="0" distL="0" distR="0" wp14:anchorId="66AC218C" wp14:editId="7FD2CC6B">
            <wp:extent cx="5849794" cy="4675565"/>
            <wp:effectExtent l="0" t="0" r="0" b="0"/>
            <wp:docPr id="446418214" name="Picture 44641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849794" cy="4675565"/>
                    </a:xfrm>
                    <a:prstGeom prst="rect">
                      <a:avLst/>
                    </a:prstGeom>
                  </pic:spPr>
                </pic:pic>
              </a:graphicData>
            </a:graphic>
          </wp:inline>
        </w:drawing>
      </w:r>
    </w:p>
    <w:p w:rsidRPr="00947C46" w:rsidR="0076587A" w:rsidP="00F5753E" w:rsidRDefault="0076587A" w14:paraId="5CC0F47B" w14:textId="7491E937">
      <w:pPr>
        <w:jc w:val="both"/>
        <w:rPr>
          <w:rFonts w:ascii="Times New Roman" w:hAnsi="Times New Roman" w:cs="Times New Roman"/>
          <w:b/>
          <w:bCs/>
          <w:sz w:val="20"/>
          <w:szCs w:val="20"/>
        </w:rPr>
      </w:pPr>
      <w:r w:rsidRPr="00947C46">
        <w:rPr>
          <w:rFonts w:ascii="Times New Roman" w:hAnsi="Times New Roman" w:cs="Times New Roman"/>
          <w:b/>
          <w:bCs/>
          <w:sz w:val="20"/>
          <w:szCs w:val="20"/>
        </w:rPr>
        <w:t>Supplementary Fig</w:t>
      </w:r>
      <w:r w:rsidRPr="00947C46">
        <w:rPr>
          <w:rFonts w:ascii="Times New Roman" w:hAnsi="Times New Roman" w:cs="Times New Roman"/>
          <w:b/>
          <w:bCs/>
          <w:color w:val="000000" w:themeColor="text1"/>
          <w:sz w:val="20"/>
          <w:szCs w:val="20"/>
        </w:rPr>
        <w:t xml:space="preserve">. </w:t>
      </w:r>
      <w:r w:rsidRPr="00947C46" w:rsidR="0083654B">
        <w:rPr>
          <w:rFonts w:ascii="Times New Roman" w:hAnsi="Times New Roman" w:cs="Times New Roman"/>
          <w:b/>
          <w:bCs/>
          <w:color w:val="000000" w:themeColor="text1"/>
          <w:sz w:val="20"/>
          <w:szCs w:val="20"/>
        </w:rPr>
        <w:t>3</w:t>
      </w:r>
      <w:r w:rsidRPr="00947C46">
        <w:rPr>
          <w:rFonts w:ascii="Times New Roman" w:hAnsi="Times New Roman" w:cs="Times New Roman"/>
          <w:b/>
          <w:bCs/>
          <w:sz w:val="20"/>
          <w:szCs w:val="20"/>
        </w:rPr>
        <w:t xml:space="preserve"> </w:t>
      </w:r>
      <w:r w:rsidRPr="00947C46">
        <w:rPr>
          <w:rFonts w:ascii="Times New Roman" w:hAnsi="Times New Roman" w:cs="Times New Roman"/>
          <w:sz w:val="20"/>
          <w:szCs w:val="20"/>
        </w:rPr>
        <w:t>Gating strategy for CD4</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and CD8</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T cell subpopulations. Arrows indicate the order of the respective gating steps. Originating from the lymphocyte gate (CD45</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SSC</w:t>
      </w:r>
      <w:r w:rsidRPr="00947C46">
        <w:rPr>
          <w:rFonts w:ascii="Times New Roman" w:hAnsi="Times New Roman" w:cs="Times New Roman"/>
          <w:sz w:val="20"/>
          <w:szCs w:val="20"/>
          <w:vertAlign w:val="superscript"/>
        </w:rPr>
        <w:t>low</w:t>
      </w:r>
      <w:r w:rsidRPr="00947C46">
        <w:rPr>
          <w:rFonts w:ascii="Times New Roman" w:hAnsi="Times New Roman" w:cs="Times New Roman"/>
          <w:sz w:val="20"/>
          <w:szCs w:val="20"/>
        </w:rPr>
        <w:t>), T-cells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T-helper cells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CD4</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and cytotoxic T cells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CD8</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were separated. Recent thymic emigrants (RTE) of </w:t>
      </w:r>
      <w:r w:rsidRPr="00947C46">
        <w:rPr>
          <w:rFonts w:ascii="Times New Roman" w:hAnsi="Times New Roman" w:cs="Times New Roman"/>
          <w:color w:val="000000"/>
          <w:sz w:val="20"/>
          <w:szCs w:val="20"/>
        </w:rPr>
        <w:t>CD4</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xml:space="preserve"> and CD8</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xml:space="preserve"> T cells have been characterized as naïve T-</w:t>
      </w:r>
      <w:r w:rsidRPr="00947C46">
        <w:rPr>
          <w:rFonts w:ascii="Times New Roman" w:hAnsi="Times New Roman" w:cs="Times New Roman"/>
          <w:sz w:val="20"/>
          <w:szCs w:val="20"/>
        </w:rPr>
        <w:t xml:space="preserve">cells with additionally surface expression of CD31+ </w:t>
      </w:r>
      <w:r w:rsidRPr="00947C46">
        <w:rPr>
          <w:rFonts w:ascii="Times New Roman" w:hAnsi="Times New Roman" w:cs="Times New Roman"/>
          <w:color w:val="000000"/>
          <w:sz w:val="20"/>
          <w:szCs w:val="20"/>
        </w:rPr>
        <w:t>(CD45RA</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CD31</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T-helper and cytotoxic T cell subpopulations were further divided into naïve (CCR7</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CD45RA</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CD45RO</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central memory (CCR7</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CD45RA</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CD45RO</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effector (CCR7-CD45RA+CD45RO-) and effector memory (CCR7</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CD45RA</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CD45RO</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CD4</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xml:space="preserve"> or CD8</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xml:space="preserve"> T-cells. At the end, relative cell numbers were calculated by mathematical AND-operation (for example naïve CD4</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cells: CD4</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xml:space="preserve"> AND CCR7</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CD45RO</w:t>
      </w:r>
      <w:r w:rsidRPr="00947C46">
        <w:rPr>
          <w:rFonts w:ascii="Times New Roman" w:hAnsi="Times New Roman" w:cs="Times New Roman"/>
          <w:color w:val="000000"/>
          <w:sz w:val="20"/>
          <w:szCs w:val="20"/>
          <w:vertAlign w:val="superscript"/>
        </w:rPr>
        <w:t xml:space="preserve">- </w:t>
      </w:r>
      <w:r w:rsidRPr="00947C46">
        <w:rPr>
          <w:rFonts w:ascii="Times New Roman" w:hAnsi="Times New Roman" w:cs="Times New Roman"/>
          <w:color w:val="000000"/>
          <w:sz w:val="20"/>
          <w:szCs w:val="20"/>
        </w:rPr>
        <w:t>AND CCR7</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CD45RA</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 xml:space="preserve"> cells).</w:t>
      </w:r>
    </w:p>
    <w:p w:rsidRPr="00947C46" w:rsidR="00DA4F3E" w:rsidP="002C35C1" w:rsidRDefault="79FC07B5" w14:paraId="26FE87BB" w14:textId="69834FE4">
      <w:pPr>
        <w:jc w:val="center"/>
      </w:pPr>
      <w:r w:rsidRPr="00947C46">
        <w:rPr>
          <w:noProof/>
        </w:rPr>
        <w:lastRenderedPageBreak/>
        <w:drawing>
          <wp:inline distT="0" distB="0" distL="0" distR="0" wp14:anchorId="1EEBD89C" wp14:editId="1CCAB199">
            <wp:extent cx="5459268" cy="4254511"/>
            <wp:effectExtent l="0" t="0" r="0" b="0"/>
            <wp:docPr id="744225632" name="Picture 74422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459268" cy="4254511"/>
                    </a:xfrm>
                    <a:prstGeom prst="rect">
                      <a:avLst/>
                    </a:prstGeom>
                  </pic:spPr>
                </pic:pic>
              </a:graphicData>
            </a:graphic>
          </wp:inline>
        </w:drawing>
      </w:r>
    </w:p>
    <w:p w:rsidRPr="00947C46" w:rsidR="0076587A" w:rsidP="00F5753E" w:rsidRDefault="0076587A" w14:paraId="02DFA998" w14:textId="657103E0">
      <w:pPr>
        <w:jc w:val="both"/>
        <w:rPr>
          <w:rFonts w:ascii="Times New Roman" w:hAnsi="Times New Roman" w:cs="Times New Roman"/>
          <w:sz w:val="20"/>
          <w:szCs w:val="20"/>
        </w:rPr>
      </w:pPr>
      <w:r w:rsidRPr="00947C46">
        <w:rPr>
          <w:rFonts w:ascii="Times New Roman" w:hAnsi="Times New Roman" w:eastAsia="Times New Roman" w:cs="Times New Roman"/>
          <w:b/>
          <w:bCs/>
          <w:sz w:val="20"/>
          <w:szCs w:val="20"/>
        </w:rPr>
        <w:t>Supplementary Fig</w:t>
      </w:r>
      <w:r w:rsidRPr="00947C46">
        <w:rPr>
          <w:rFonts w:ascii="Times New Roman" w:hAnsi="Times New Roman" w:eastAsia="Times New Roman" w:cs="Times New Roman"/>
          <w:b/>
          <w:bCs/>
          <w:color w:val="000000" w:themeColor="text1"/>
          <w:sz w:val="20"/>
          <w:szCs w:val="20"/>
        </w:rPr>
        <w:t xml:space="preserve">. </w:t>
      </w:r>
      <w:r w:rsidRPr="00947C46" w:rsidR="00C80D6D">
        <w:rPr>
          <w:rFonts w:ascii="Times New Roman" w:hAnsi="Times New Roman" w:eastAsia="Times New Roman" w:cs="Times New Roman"/>
          <w:b/>
          <w:bCs/>
          <w:color w:val="000000" w:themeColor="text1"/>
          <w:sz w:val="20"/>
          <w:szCs w:val="20"/>
        </w:rPr>
        <w:t>4</w:t>
      </w:r>
      <w:r w:rsidRPr="00947C46">
        <w:rPr>
          <w:rFonts w:ascii="Times New Roman" w:hAnsi="Times New Roman" w:eastAsia="Times New Roman" w:cs="Times New Roman"/>
          <w:b/>
          <w:bCs/>
          <w:color w:val="FF0000"/>
          <w:sz w:val="20"/>
          <w:szCs w:val="20"/>
        </w:rPr>
        <w:t xml:space="preserve"> </w:t>
      </w:r>
      <w:r w:rsidRPr="00947C46">
        <w:rPr>
          <w:rFonts w:ascii="Times New Roman" w:hAnsi="Times New Roman" w:cs="Times New Roman"/>
          <w:sz w:val="20"/>
          <w:szCs w:val="20"/>
        </w:rPr>
        <w:t xml:space="preserve">Gating strategy for </w:t>
      </w:r>
      <w:r w:rsidRPr="00947C46">
        <w:rPr>
          <w:rFonts w:ascii="Times New Roman" w:hAnsi="Times New Roman" w:cs="Times New Roman"/>
          <w:color w:val="000000"/>
          <w:sz w:val="20"/>
          <w:szCs w:val="20"/>
        </w:rPr>
        <w:t>regulatory T-cells</w:t>
      </w:r>
      <w:r w:rsidRPr="00947C46">
        <w:rPr>
          <w:rFonts w:ascii="Times New Roman" w:hAnsi="Times New Roman" w:cs="Times New Roman"/>
          <w:sz w:val="20"/>
          <w:szCs w:val="20"/>
        </w:rPr>
        <w:t>. Arrows indicate the order of the respective gating steps. From the lymphocyte gate (CD45</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SSC</w:t>
      </w:r>
      <w:r w:rsidRPr="00947C46">
        <w:rPr>
          <w:rFonts w:ascii="Times New Roman" w:hAnsi="Times New Roman" w:cs="Times New Roman"/>
          <w:sz w:val="20"/>
          <w:szCs w:val="20"/>
          <w:vertAlign w:val="superscript"/>
        </w:rPr>
        <w:t>low</w:t>
      </w:r>
      <w:r w:rsidRPr="00947C46">
        <w:rPr>
          <w:rFonts w:ascii="Times New Roman" w:hAnsi="Times New Roman" w:cs="Times New Roman"/>
          <w:sz w:val="20"/>
          <w:szCs w:val="20"/>
        </w:rPr>
        <w:t>), T-cells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and following T-helper cells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CD4</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were separated. R</w:t>
      </w:r>
      <w:r w:rsidRPr="00947C46">
        <w:rPr>
          <w:rFonts w:ascii="Times New Roman" w:hAnsi="Times New Roman" w:cs="Times New Roman"/>
          <w:color w:val="000000"/>
          <w:sz w:val="20"/>
          <w:szCs w:val="20"/>
        </w:rPr>
        <w:t>egulatory T-cells were then identified through the expression of CD25</w:t>
      </w:r>
      <w:r w:rsidRPr="00947C46">
        <w:rPr>
          <w:rFonts w:ascii="Times New Roman" w:hAnsi="Times New Roman" w:cs="Times New Roman"/>
          <w:color w:val="000000"/>
          <w:sz w:val="20"/>
          <w:szCs w:val="20"/>
          <w:vertAlign w:val="superscript"/>
        </w:rPr>
        <w:t>+</w:t>
      </w:r>
      <w:r w:rsidRPr="00947C46">
        <w:rPr>
          <w:rFonts w:ascii="Times New Roman" w:hAnsi="Times New Roman" w:cs="Times New Roman"/>
          <w:color w:val="000000"/>
          <w:sz w:val="20"/>
          <w:szCs w:val="20"/>
        </w:rPr>
        <w:t>CD127</w:t>
      </w:r>
      <w:r w:rsidRPr="00947C46">
        <w:rPr>
          <w:rFonts w:ascii="Times New Roman" w:hAnsi="Times New Roman" w:cs="Times New Roman"/>
          <w:color w:val="000000"/>
          <w:sz w:val="20"/>
          <w:szCs w:val="20"/>
          <w:vertAlign w:val="superscript"/>
        </w:rPr>
        <w:t>low</w:t>
      </w:r>
      <w:r w:rsidRPr="00947C46">
        <w:rPr>
          <w:rFonts w:ascii="Times New Roman" w:hAnsi="Times New Roman" w:cs="Times New Roman"/>
          <w:color w:val="000000"/>
          <w:sz w:val="20"/>
          <w:szCs w:val="20"/>
        </w:rPr>
        <w:t>, where a</w:t>
      </w:r>
      <w:r w:rsidRPr="00947C46">
        <w:rPr>
          <w:rFonts w:ascii="Times New Roman" w:hAnsi="Times New Roman" w:cs="Times New Roman"/>
          <w:sz w:val="20"/>
          <w:szCs w:val="20"/>
        </w:rPr>
        <w:t>ctivated regulatory T cells were assessed by anti-HLA-DR. Additionally, CD4</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T-cell activation was estimated based on CD25 surface marker expression. Regulatory T-cells can be further divided in naïve and memory regulatory T-cells (</w:t>
      </w:r>
      <w:r w:rsidRPr="00947C46">
        <w:rPr>
          <w:rFonts w:ascii="Times New Roman" w:hAnsi="Times New Roman" w:cs="Times New Roman"/>
          <w:color w:val="000000"/>
          <w:sz w:val="20"/>
          <w:szCs w:val="20"/>
        </w:rPr>
        <w:t>calculated by mathematical AND-operation:</w:t>
      </w:r>
      <w:r w:rsidRPr="00947C46">
        <w:rPr>
          <w:rFonts w:ascii="Times New Roman" w:hAnsi="Times New Roman" w:cs="Times New Roman"/>
          <w:sz w:val="20"/>
          <w:szCs w:val="20"/>
        </w:rPr>
        <w:t xml:space="preserve"> CD3</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CD4</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 xml:space="preserve"> AND CD25</w:t>
      </w:r>
      <w:r w:rsidRPr="00947C46">
        <w:rPr>
          <w:rFonts w:ascii="Times New Roman" w:hAnsi="Times New Roman" w:cs="Times New Roman"/>
          <w:sz w:val="20"/>
          <w:szCs w:val="20"/>
          <w:vertAlign w:val="superscript"/>
        </w:rPr>
        <w:t>+</w:t>
      </w:r>
      <w:r w:rsidRPr="00947C46">
        <w:rPr>
          <w:rFonts w:ascii="Times New Roman" w:hAnsi="Times New Roman" w:cs="Times New Roman"/>
          <w:sz w:val="20"/>
          <w:szCs w:val="20"/>
        </w:rPr>
        <w:t>CD127</w:t>
      </w:r>
      <w:r w:rsidRPr="00947C46">
        <w:rPr>
          <w:rFonts w:ascii="Times New Roman" w:hAnsi="Times New Roman" w:cs="Times New Roman"/>
          <w:sz w:val="20"/>
          <w:szCs w:val="20"/>
          <w:vertAlign w:val="superscript"/>
        </w:rPr>
        <w:t>low</w:t>
      </w:r>
      <w:r w:rsidRPr="00947C46">
        <w:rPr>
          <w:rFonts w:ascii="Times New Roman" w:hAnsi="Times New Roman" w:cs="Times New Roman"/>
          <w:sz w:val="20"/>
          <w:szCs w:val="20"/>
        </w:rPr>
        <w:t xml:space="preserve"> AND CD45RO (high/low).</w:t>
      </w:r>
    </w:p>
    <w:p w:rsidRPr="00947C46" w:rsidR="00781ACF" w:rsidP="1BFA3066" w:rsidRDefault="00781ACF" w14:paraId="733D2CDB" w14:textId="77777777"/>
    <w:sdt>
      <w:sdtPr>
        <w:tag w:val="CitaviBibliography"/>
        <w:id w:val="4875373"/>
        <w:placeholder>
          <w:docPart w:val="DefaultPlaceholder_-1854013440"/>
        </w:placeholder>
        <w:rPr>
          <w:rFonts w:ascii="Calibri" w:hAnsi="Calibri" w:eastAsia="" w:cs="Arial" w:asciiTheme="minorAscii" w:hAnsiTheme="minorAscii" w:eastAsiaTheme="minorEastAsia" w:cstheme="minorBidi"/>
          <w:color w:val="auto"/>
          <w:sz w:val="22"/>
          <w:szCs w:val="22"/>
        </w:rPr>
      </w:sdtPr>
      <w:sdtEndPr>
        <w:rPr>
          <w:rFonts w:ascii="Calibri" w:hAnsi="Calibri" w:eastAsia="" w:cs="Arial" w:asciiTheme="minorAscii" w:hAnsiTheme="minorAscii" w:eastAsiaTheme="minorEastAsia" w:cstheme="minorBidi"/>
          <w:color w:val="auto"/>
          <w:sz w:val="22"/>
          <w:szCs w:val="22"/>
        </w:rPr>
      </w:sdtEndPr>
      <w:sdtContent>
        <w:p w:rsidRPr="00947C46" w:rsidR="006E7865" w:rsidP="006E7865" w:rsidRDefault="00344822" w14:paraId="2A1A0A62" w14:textId="77777777">
          <w:pPr>
            <w:pStyle w:val="CitaviBibliographyHeading"/>
          </w:pPr>
          <w:r w:rsidRPr="00947C46">
            <w:fldChar w:fldCharType="begin"/>
          </w:r>
          <w:r w:rsidRPr="00947C46">
            <w:instrText>ADDIN CitaviBibliography</w:instrText>
          </w:r>
          <w:r w:rsidRPr="00947C46">
            <w:fldChar w:fldCharType="separate"/>
          </w:r>
          <w:r w:rsidRPr="00947C46" w:rsidR="006E7865">
            <w:t>References</w:t>
          </w:r>
        </w:p>
        <w:p w:rsidRPr="00947C46" w:rsidR="006E7865" w:rsidP="006E7865" w:rsidRDefault="006E7865" w14:paraId="02D859C3" w14:textId="77777777">
          <w:pPr>
            <w:pStyle w:val="CitaviBibliographyEntry"/>
          </w:pPr>
          <w:r w:rsidRPr="00947C46">
            <w:t>1.</w:t>
          </w:r>
          <w:r w:rsidRPr="00947C46">
            <w:tab/>
          </w:r>
          <w:bookmarkStart w:name="_CTVL0015de7c23ba42640b3bac016ff35f6d5b2" w:id="0"/>
          <w:r w:rsidRPr="00947C46">
            <w:t>Kang, J</w:t>
          </w:r>
          <w:bookmarkEnd w:id="0"/>
          <w:r w:rsidRPr="00947C46">
            <w:t>.</w:t>
          </w:r>
          <w:r w:rsidRPr="00947C46">
            <w:rPr>
              <w:i/>
            </w:rPr>
            <w:t xml:space="preserve"> et al. </w:t>
          </w:r>
          <w:r w:rsidRPr="00947C46">
            <w:t xml:space="preserve">Systematic dissection of tumor-normal single-cell ecosystems across a thousand tumors of 30 cancer types. </w:t>
          </w:r>
          <w:r w:rsidRPr="00947C46">
            <w:rPr>
              <w:i/>
            </w:rPr>
            <w:t xml:space="preserve">Nature communications </w:t>
          </w:r>
          <w:r w:rsidRPr="00947C46">
            <w:rPr>
              <w:b/>
            </w:rPr>
            <w:t xml:space="preserve">15, </w:t>
          </w:r>
          <w:r w:rsidRPr="00947C46">
            <w:t>4067; 10.1038/s41467-024-48310-4 (2024).</w:t>
          </w:r>
        </w:p>
        <w:p w:rsidRPr="00947C46" w:rsidR="00344822" w:rsidP="006E7865" w:rsidRDefault="006E7865" w14:paraId="3B235C9D" w14:textId="2D8907E3">
          <w:pPr>
            <w:pStyle w:val="CitaviBibliographyEntry"/>
          </w:pPr>
          <w:r w:rsidRPr="00947C46">
            <w:t>2.</w:t>
          </w:r>
          <w:r w:rsidRPr="00947C46">
            <w:tab/>
          </w:r>
          <w:bookmarkStart w:name="_CTVL0017f25a5191b13440dbbe2f031d205dde6" w:id="1"/>
          <w:r w:rsidRPr="00947C46">
            <w:t>Bilous, M</w:t>
          </w:r>
          <w:bookmarkEnd w:id="1"/>
          <w:r w:rsidRPr="00947C46">
            <w:t>.</w:t>
          </w:r>
          <w:r w:rsidRPr="00947C46">
            <w:rPr>
              <w:i/>
            </w:rPr>
            <w:t xml:space="preserve"> et al. </w:t>
          </w:r>
          <w:r w:rsidRPr="00947C46">
            <w:t xml:space="preserve">Metacells untangle large and complex single-cell transcriptome networks. </w:t>
          </w:r>
          <w:r w:rsidRPr="00947C46">
            <w:rPr>
              <w:i/>
            </w:rPr>
            <w:t xml:space="preserve">BMC bioinformatics </w:t>
          </w:r>
          <w:r w:rsidRPr="00947C46">
            <w:rPr>
              <w:b/>
            </w:rPr>
            <w:t xml:space="preserve">23, </w:t>
          </w:r>
          <w:r w:rsidRPr="00947C46">
            <w:t>336; 10.1186/s12859-022-04861-1 (2022).</w:t>
          </w:r>
          <w:r w:rsidRPr="00947C46" w:rsidR="00344822">
            <w:fldChar w:fldCharType="end"/>
          </w:r>
        </w:p>
      </w:sdtContent>
    </w:sdt>
    <w:p w:rsidRPr="00947C46" w:rsidR="00344822" w:rsidP="00344822" w:rsidRDefault="00344822" w14:paraId="2082E4AD" w14:textId="48F8E999">
      <w:pPr>
        <w:rPr>
          <w:rFonts w:ascii="Times New Roman" w:hAnsi="Times New Roman" w:cs="Times New Roman"/>
        </w:rPr>
      </w:pPr>
    </w:p>
    <w:sectPr w:rsidRPr="00947C46" w:rsidR="00344822" w:rsidSect="00C32210">
      <w:pgSz w:w="11906" w:h="16838" w:orient="portrait"/>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10"/>
    <w:rsid w:val="00011CC1"/>
    <w:rsid w:val="00033BE9"/>
    <w:rsid w:val="0004263D"/>
    <w:rsid w:val="00073E86"/>
    <w:rsid w:val="000845CF"/>
    <w:rsid w:val="000B111C"/>
    <w:rsid w:val="000D195B"/>
    <w:rsid w:val="000D758C"/>
    <w:rsid w:val="000F16D9"/>
    <w:rsid w:val="000F215A"/>
    <w:rsid w:val="000F71C3"/>
    <w:rsid w:val="00121B6D"/>
    <w:rsid w:val="00155515"/>
    <w:rsid w:val="001A7EBE"/>
    <w:rsid w:val="002035F0"/>
    <w:rsid w:val="00215912"/>
    <w:rsid w:val="00271FB1"/>
    <w:rsid w:val="00295E78"/>
    <w:rsid w:val="002B67C2"/>
    <w:rsid w:val="002C29A2"/>
    <w:rsid w:val="002C35C1"/>
    <w:rsid w:val="002D4B2A"/>
    <w:rsid w:val="00344822"/>
    <w:rsid w:val="003661DF"/>
    <w:rsid w:val="003700A1"/>
    <w:rsid w:val="003A2558"/>
    <w:rsid w:val="003C42E0"/>
    <w:rsid w:val="003D76FE"/>
    <w:rsid w:val="003F5860"/>
    <w:rsid w:val="00486695"/>
    <w:rsid w:val="004E0418"/>
    <w:rsid w:val="004F2509"/>
    <w:rsid w:val="004F3441"/>
    <w:rsid w:val="0058725C"/>
    <w:rsid w:val="00592BF4"/>
    <w:rsid w:val="005A3D05"/>
    <w:rsid w:val="005A50C3"/>
    <w:rsid w:val="005D33C2"/>
    <w:rsid w:val="006061C1"/>
    <w:rsid w:val="00610B66"/>
    <w:rsid w:val="00630C4A"/>
    <w:rsid w:val="00660B88"/>
    <w:rsid w:val="006802F6"/>
    <w:rsid w:val="006A4DE8"/>
    <w:rsid w:val="006C5636"/>
    <w:rsid w:val="006D2D0C"/>
    <w:rsid w:val="006D5068"/>
    <w:rsid w:val="006E7865"/>
    <w:rsid w:val="006F1F24"/>
    <w:rsid w:val="00703AC1"/>
    <w:rsid w:val="00707476"/>
    <w:rsid w:val="00720CDF"/>
    <w:rsid w:val="0076587A"/>
    <w:rsid w:val="00781ACF"/>
    <w:rsid w:val="0079550D"/>
    <w:rsid w:val="007B1B38"/>
    <w:rsid w:val="0083654B"/>
    <w:rsid w:val="008A4A42"/>
    <w:rsid w:val="008B378E"/>
    <w:rsid w:val="008D57E4"/>
    <w:rsid w:val="008E467C"/>
    <w:rsid w:val="008F05E6"/>
    <w:rsid w:val="008F2E6B"/>
    <w:rsid w:val="0092141B"/>
    <w:rsid w:val="00921C7B"/>
    <w:rsid w:val="00923623"/>
    <w:rsid w:val="00947C46"/>
    <w:rsid w:val="009763A4"/>
    <w:rsid w:val="009C1F29"/>
    <w:rsid w:val="009D2C8E"/>
    <w:rsid w:val="009E4C0D"/>
    <w:rsid w:val="00A349E5"/>
    <w:rsid w:val="00A505D8"/>
    <w:rsid w:val="00A647AC"/>
    <w:rsid w:val="00A77827"/>
    <w:rsid w:val="00A83AC2"/>
    <w:rsid w:val="00AC56B5"/>
    <w:rsid w:val="00AE11C6"/>
    <w:rsid w:val="00B10C56"/>
    <w:rsid w:val="00B12673"/>
    <w:rsid w:val="00B20307"/>
    <w:rsid w:val="00B23E8D"/>
    <w:rsid w:val="00B3118E"/>
    <w:rsid w:val="00B37E6A"/>
    <w:rsid w:val="00B4184E"/>
    <w:rsid w:val="00B83D69"/>
    <w:rsid w:val="00B97CE3"/>
    <w:rsid w:val="00BE0FCE"/>
    <w:rsid w:val="00C000A8"/>
    <w:rsid w:val="00C01380"/>
    <w:rsid w:val="00C06505"/>
    <w:rsid w:val="00C32210"/>
    <w:rsid w:val="00C5159B"/>
    <w:rsid w:val="00C80D6D"/>
    <w:rsid w:val="00CA06C3"/>
    <w:rsid w:val="00CA4527"/>
    <w:rsid w:val="00CD18F4"/>
    <w:rsid w:val="00D06227"/>
    <w:rsid w:val="00D313CA"/>
    <w:rsid w:val="00D35E0D"/>
    <w:rsid w:val="00D406AF"/>
    <w:rsid w:val="00D42A78"/>
    <w:rsid w:val="00D43D45"/>
    <w:rsid w:val="00DA2562"/>
    <w:rsid w:val="00DA4F3E"/>
    <w:rsid w:val="00DB0CF9"/>
    <w:rsid w:val="00DB369F"/>
    <w:rsid w:val="00DC2402"/>
    <w:rsid w:val="00DF7A2A"/>
    <w:rsid w:val="00E16D07"/>
    <w:rsid w:val="00E20753"/>
    <w:rsid w:val="00E2704E"/>
    <w:rsid w:val="00E37A3D"/>
    <w:rsid w:val="00E45EAE"/>
    <w:rsid w:val="00E517C7"/>
    <w:rsid w:val="00E60802"/>
    <w:rsid w:val="00E66701"/>
    <w:rsid w:val="00EA24E4"/>
    <w:rsid w:val="00ED5556"/>
    <w:rsid w:val="00EF0207"/>
    <w:rsid w:val="00F01888"/>
    <w:rsid w:val="00F341E1"/>
    <w:rsid w:val="00F40164"/>
    <w:rsid w:val="00F5753E"/>
    <w:rsid w:val="00FA3005"/>
    <w:rsid w:val="00FA3B50"/>
    <w:rsid w:val="00FB0676"/>
    <w:rsid w:val="00FC2807"/>
    <w:rsid w:val="00FE0F7A"/>
    <w:rsid w:val="00FF5336"/>
    <w:rsid w:val="00FF59B2"/>
    <w:rsid w:val="01F0485F"/>
    <w:rsid w:val="04C45CF7"/>
    <w:rsid w:val="088921BF"/>
    <w:rsid w:val="0ADA11AB"/>
    <w:rsid w:val="0BF8C66C"/>
    <w:rsid w:val="0C584D75"/>
    <w:rsid w:val="0FFA7AD5"/>
    <w:rsid w:val="0FFCB821"/>
    <w:rsid w:val="1175B8AA"/>
    <w:rsid w:val="140A6C82"/>
    <w:rsid w:val="153A466F"/>
    <w:rsid w:val="1621D1FA"/>
    <w:rsid w:val="197C3105"/>
    <w:rsid w:val="1A555333"/>
    <w:rsid w:val="1BD4ABAD"/>
    <w:rsid w:val="1BFA3066"/>
    <w:rsid w:val="1C8FBBA8"/>
    <w:rsid w:val="1DB3B202"/>
    <w:rsid w:val="1F14CC7E"/>
    <w:rsid w:val="1F656F7A"/>
    <w:rsid w:val="210BC995"/>
    <w:rsid w:val="21524D53"/>
    <w:rsid w:val="228B0D15"/>
    <w:rsid w:val="240FDED5"/>
    <w:rsid w:val="248A72C3"/>
    <w:rsid w:val="24AD2643"/>
    <w:rsid w:val="26FA3B0E"/>
    <w:rsid w:val="27A3126C"/>
    <w:rsid w:val="298640B8"/>
    <w:rsid w:val="2A69436D"/>
    <w:rsid w:val="2AFF0DBE"/>
    <w:rsid w:val="2CA2730F"/>
    <w:rsid w:val="2F6840F6"/>
    <w:rsid w:val="338F70C6"/>
    <w:rsid w:val="36EE8F8B"/>
    <w:rsid w:val="3A4A351C"/>
    <w:rsid w:val="3BE7E2D8"/>
    <w:rsid w:val="3CCDF188"/>
    <w:rsid w:val="40B49D13"/>
    <w:rsid w:val="42AECBB0"/>
    <w:rsid w:val="435DB957"/>
    <w:rsid w:val="47508367"/>
    <w:rsid w:val="4AD03FD6"/>
    <w:rsid w:val="4AEE97D4"/>
    <w:rsid w:val="4AFC91D5"/>
    <w:rsid w:val="52B61171"/>
    <w:rsid w:val="52F2101E"/>
    <w:rsid w:val="54EAFC1D"/>
    <w:rsid w:val="55D92A87"/>
    <w:rsid w:val="5655739E"/>
    <w:rsid w:val="56D29F15"/>
    <w:rsid w:val="582B0B51"/>
    <w:rsid w:val="589A7716"/>
    <w:rsid w:val="5904A41B"/>
    <w:rsid w:val="5B0E36B9"/>
    <w:rsid w:val="5CDD98E2"/>
    <w:rsid w:val="5D88B4EA"/>
    <w:rsid w:val="5D8A4B06"/>
    <w:rsid w:val="5EB98DD9"/>
    <w:rsid w:val="5FB66183"/>
    <w:rsid w:val="6171955F"/>
    <w:rsid w:val="63165536"/>
    <w:rsid w:val="637F17C8"/>
    <w:rsid w:val="6410418E"/>
    <w:rsid w:val="64DE6B76"/>
    <w:rsid w:val="66CA4E6C"/>
    <w:rsid w:val="6A3FE9F4"/>
    <w:rsid w:val="6AE68148"/>
    <w:rsid w:val="6C649191"/>
    <w:rsid w:val="6CBDA82A"/>
    <w:rsid w:val="6E4FFAAF"/>
    <w:rsid w:val="70718AE3"/>
    <w:rsid w:val="707B4536"/>
    <w:rsid w:val="71ACBE9E"/>
    <w:rsid w:val="721A7DD9"/>
    <w:rsid w:val="734FFD70"/>
    <w:rsid w:val="775DA2A0"/>
    <w:rsid w:val="7960D022"/>
    <w:rsid w:val="79FC07B5"/>
    <w:rsid w:val="7A4B4E92"/>
    <w:rsid w:val="7D830BD1"/>
    <w:rsid w:val="7E325302"/>
    <w:rsid w:val="7ED376B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B647"/>
  <w15:chartTrackingRefBased/>
  <w15:docId w15:val="{FC6DACC4-AE4F-4953-9AA3-AC797A07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F3E"/>
  </w:style>
  <w:style w:type="paragraph" w:styleId="Heading1">
    <w:name w:val="heading 1"/>
    <w:basedOn w:val="Normal"/>
    <w:next w:val="Normal"/>
    <w:link w:val="Heading1Char"/>
    <w:uiPriority w:val="9"/>
    <w:qFormat/>
    <w:rsid w:val="0034482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4482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482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44822"/>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44822"/>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44822"/>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344822"/>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344822"/>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4822"/>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A4F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92BF4"/>
    <w:rPr>
      <w:color w:val="0563C1" w:themeColor="hyperlink"/>
      <w:u w:val="single"/>
    </w:rPr>
  </w:style>
  <w:style w:type="character" w:styleId="UnresolvedMention">
    <w:name w:val="Unresolved Mention"/>
    <w:basedOn w:val="DefaultParagraphFont"/>
    <w:uiPriority w:val="99"/>
    <w:semiHidden/>
    <w:unhideWhenUsed/>
    <w:rsid w:val="00592BF4"/>
    <w:rPr>
      <w:color w:val="605E5C"/>
      <w:shd w:val="clear" w:color="auto" w:fill="E1DFDD"/>
    </w:rPr>
  </w:style>
  <w:style w:type="character" w:styleId="FollowedHyperlink">
    <w:name w:val="FollowedHyperlink"/>
    <w:basedOn w:val="DefaultParagraphFont"/>
    <w:uiPriority w:val="99"/>
    <w:semiHidden/>
    <w:unhideWhenUsed/>
    <w:rsid w:val="00610B66"/>
    <w:rPr>
      <w:color w:val="954F72" w:themeColor="followedHyperlink"/>
      <w:u w:val="single"/>
    </w:rPr>
  </w:style>
  <w:style w:type="character" w:styleId="PlaceholderText">
    <w:name w:val="Placeholder Text"/>
    <w:basedOn w:val="DefaultParagraphFont"/>
    <w:uiPriority w:val="99"/>
    <w:semiHidden/>
    <w:rsid w:val="00344822"/>
    <w:rPr>
      <w:color w:val="808080"/>
    </w:rPr>
  </w:style>
  <w:style w:type="paragraph" w:styleId="CitaviBibliographyEntry" w:customStyle="1">
    <w:name w:val="Citavi Bibliography Entry"/>
    <w:basedOn w:val="Normal"/>
    <w:link w:val="CitaviBibliographyEntryChar"/>
    <w:uiPriority w:val="99"/>
    <w:rsid w:val="00344822"/>
    <w:pPr>
      <w:tabs>
        <w:tab w:val="left" w:pos="454"/>
      </w:tabs>
      <w:spacing w:after="120"/>
      <w:ind w:left="454" w:hanging="454"/>
    </w:pPr>
  </w:style>
  <w:style w:type="character" w:styleId="CitaviBibliographyEntryChar" w:customStyle="1">
    <w:name w:val="Citavi Bibliography Entry Char"/>
    <w:basedOn w:val="DefaultParagraphFont"/>
    <w:link w:val="CitaviBibliographyEntry"/>
    <w:uiPriority w:val="99"/>
    <w:rsid w:val="00344822"/>
  </w:style>
  <w:style w:type="paragraph" w:styleId="CitaviBibliographyHeading" w:customStyle="1">
    <w:name w:val="Citavi Bibliography Heading"/>
    <w:basedOn w:val="Heading1"/>
    <w:link w:val="CitaviBibliographyHeadingChar"/>
    <w:uiPriority w:val="99"/>
    <w:rsid w:val="00344822"/>
  </w:style>
  <w:style w:type="character" w:styleId="CitaviBibliographyHeadingChar" w:customStyle="1">
    <w:name w:val="Citavi Bibliography Heading Char"/>
    <w:basedOn w:val="DefaultParagraphFont"/>
    <w:link w:val="CitaviBibliographyHeading"/>
    <w:uiPriority w:val="99"/>
    <w:rsid w:val="00344822"/>
    <w:rPr>
      <w:rFonts w:asciiTheme="majorHAnsi" w:hAnsiTheme="majorHAnsi" w:eastAsiaTheme="majorEastAsia" w:cstheme="majorBidi"/>
      <w:color w:val="2E74B5" w:themeColor="accent1" w:themeShade="BF"/>
      <w:sz w:val="32"/>
      <w:szCs w:val="32"/>
    </w:rPr>
  </w:style>
  <w:style w:type="character" w:styleId="Heading1Char" w:customStyle="1">
    <w:name w:val="Heading 1 Char"/>
    <w:basedOn w:val="DefaultParagraphFont"/>
    <w:link w:val="Heading1"/>
    <w:uiPriority w:val="9"/>
    <w:rsid w:val="00344822"/>
    <w:rPr>
      <w:rFonts w:asciiTheme="majorHAnsi" w:hAnsiTheme="majorHAnsi" w:eastAsiaTheme="majorEastAsia" w:cstheme="majorBidi"/>
      <w:color w:val="2E74B5" w:themeColor="accent1" w:themeShade="BF"/>
      <w:sz w:val="32"/>
      <w:szCs w:val="32"/>
    </w:rPr>
  </w:style>
  <w:style w:type="paragraph" w:styleId="CitaviChapterBibliographyHeading" w:customStyle="1">
    <w:name w:val="Citavi Chapter Bibliography Heading"/>
    <w:basedOn w:val="Heading2"/>
    <w:link w:val="CitaviChapterBibliographyHeadingChar"/>
    <w:uiPriority w:val="99"/>
    <w:rsid w:val="00344822"/>
  </w:style>
  <w:style w:type="character" w:styleId="CitaviChapterBibliographyHeadingChar" w:customStyle="1">
    <w:name w:val="Citavi Chapter Bibliography Heading Char"/>
    <w:basedOn w:val="DefaultParagraphFont"/>
    <w:link w:val="CitaviChapterBibliographyHeading"/>
    <w:uiPriority w:val="99"/>
    <w:rsid w:val="00344822"/>
    <w:rPr>
      <w:rFonts w:asciiTheme="majorHAnsi" w:hAnsiTheme="majorHAnsi" w:eastAsiaTheme="majorEastAsia" w:cstheme="majorBidi"/>
      <w:color w:val="2E74B5" w:themeColor="accent1" w:themeShade="BF"/>
      <w:sz w:val="26"/>
      <w:szCs w:val="26"/>
    </w:rPr>
  </w:style>
  <w:style w:type="character" w:styleId="Heading2Char" w:customStyle="1">
    <w:name w:val="Heading 2 Char"/>
    <w:basedOn w:val="DefaultParagraphFont"/>
    <w:link w:val="Heading2"/>
    <w:uiPriority w:val="9"/>
    <w:semiHidden/>
    <w:rsid w:val="00344822"/>
    <w:rPr>
      <w:rFonts w:asciiTheme="majorHAnsi" w:hAnsiTheme="majorHAnsi" w:eastAsiaTheme="majorEastAsia" w:cstheme="majorBidi"/>
      <w:color w:val="2E74B5" w:themeColor="accent1" w:themeShade="BF"/>
      <w:sz w:val="26"/>
      <w:szCs w:val="26"/>
    </w:rPr>
  </w:style>
  <w:style w:type="paragraph" w:styleId="CitaviBibliographySubheading1" w:customStyle="1">
    <w:name w:val="Citavi Bibliography Subheading 1"/>
    <w:basedOn w:val="Heading2"/>
    <w:link w:val="CitaviBibliographySubheading1Char"/>
    <w:uiPriority w:val="99"/>
    <w:rsid w:val="00344822"/>
    <w:pPr>
      <w:outlineLvl w:val="9"/>
    </w:pPr>
    <w:rPr>
      <w:noProof/>
    </w:rPr>
  </w:style>
  <w:style w:type="character" w:styleId="CitaviBibliographySubheading1Char" w:customStyle="1">
    <w:name w:val="Citavi Bibliography Subheading 1 Char"/>
    <w:basedOn w:val="DefaultParagraphFont"/>
    <w:link w:val="CitaviBibliographySubheading1"/>
    <w:uiPriority w:val="99"/>
    <w:rsid w:val="00344822"/>
    <w:rPr>
      <w:rFonts w:asciiTheme="majorHAnsi" w:hAnsiTheme="majorHAnsi" w:eastAsiaTheme="majorEastAsia" w:cstheme="majorBidi"/>
      <w:noProof/>
      <w:color w:val="2E74B5" w:themeColor="accent1" w:themeShade="BF"/>
      <w:sz w:val="26"/>
      <w:szCs w:val="26"/>
    </w:rPr>
  </w:style>
  <w:style w:type="paragraph" w:styleId="CitaviBibliographySubheading2" w:customStyle="1">
    <w:name w:val="Citavi Bibliography Subheading 2"/>
    <w:basedOn w:val="Heading3"/>
    <w:link w:val="CitaviBibliographySubheading2Char"/>
    <w:uiPriority w:val="99"/>
    <w:rsid w:val="00344822"/>
    <w:pPr>
      <w:outlineLvl w:val="9"/>
    </w:pPr>
    <w:rPr>
      <w:noProof/>
    </w:rPr>
  </w:style>
  <w:style w:type="character" w:styleId="CitaviBibliographySubheading2Char" w:customStyle="1">
    <w:name w:val="Citavi Bibliography Subheading 2 Char"/>
    <w:basedOn w:val="DefaultParagraphFont"/>
    <w:link w:val="CitaviBibliographySubheading2"/>
    <w:uiPriority w:val="99"/>
    <w:rsid w:val="00344822"/>
    <w:rPr>
      <w:rFonts w:asciiTheme="majorHAnsi" w:hAnsiTheme="majorHAnsi" w:eastAsiaTheme="majorEastAsia" w:cstheme="majorBidi"/>
      <w:noProof/>
      <w:color w:val="1F4D78" w:themeColor="accent1" w:themeShade="7F"/>
      <w:sz w:val="24"/>
      <w:szCs w:val="24"/>
    </w:rPr>
  </w:style>
  <w:style w:type="character" w:styleId="Heading3Char" w:customStyle="1">
    <w:name w:val="Heading 3 Char"/>
    <w:basedOn w:val="DefaultParagraphFont"/>
    <w:link w:val="Heading3"/>
    <w:uiPriority w:val="9"/>
    <w:semiHidden/>
    <w:rsid w:val="00344822"/>
    <w:rPr>
      <w:rFonts w:asciiTheme="majorHAnsi" w:hAnsiTheme="majorHAnsi" w:eastAsiaTheme="majorEastAsia" w:cstheme="majorBidi"/>
      <w:color w:val="1F4D78" w:themeColor="accent1" w:themeShade="7F"/>
      <w:sz w:val="24"/>
      <w:szCs w:val="24"/>
    </w:rPr>
  </w:style>
  <w:style w:type="paragraph" w:styleId="CitaviBibliographySubheading3" w:customStyle="1">
    <w:name w:val="Citavi Bibliography Subheading 3"/>
    <w:basedOn w:val="Heading4"/>
    <w:link w:val="CitaviBibliographySubheading3Char"/>
    <w:uiPriority w:val="99"/>
    <w:rsid w:val="00344822"/>
    <w:pPr>
      <w:outlineLvl w:val="9"/>
    </w:pPr>
    <w:rPr>
      <w:noProof/>
    </w:rPr>
  </w:style>
  <w:style w:type="character" w:styleId="CitaviBibliographySubheading3Char" w:customStyle="1">
    <w:name w:val="Citavi Bibliography Subheading 3 Char"/>
    <w:basedOn w:val="DefaultParagraphFont"/>
    <w:link w:val="CitaviBibliographySubheading3"/>
    <w:uiPriority w:val="99"/>
    <w:rsid w:val="00344822"/>
    <w:rPr>
      <w:rFonts w:asciiTheme="majorHAnsi" w:hAnsiTheme="majorHAnsi" w:eastAsiaTheme="majorEastAsia" w:cstheme="majorBidi"/>
      <w:i/>
      <w:iCs/>
      <w:noProof/>
      <w:color w:val="2E74B5" w:themeColor="accent1" w:themeShade="BF"/>
    </w:rPr>
  </w:style>
  <w:style w:type="character" w:styleId="Heading4Char" w:customStyle="1">
    <w:name w:val="Heading 4 Char"/>
    <w:basedOn w:val="DefaultParagraphFont"/>
    <w:link w:val="Heading4"/>
    <w:uiPriority w:val="9"/>
    <w:semiHidden/>
    <w:rsid w:val="00344822"/>
    <w:rPr>
      <w:rFonts w:asciiTheme="majorHAnsi" w:hAnsiTheme="majorHAnsi" w:eastAsiaTheme="majorEastAsia" w:cstheme="majorBidi"/>
      <w:i/>
      <w:iCs/>
      <w:color w:val="2E74B5" w:themeColor="accent1" w:themeShade="BF"/>
    </w:rPr>
  </w:style>
  <w:style w:type="paragraph" w:styleId="CitaviBibliographySubheading4" w:customStyle="1">
    <w:name w:val="Citavi Bibliography Subheading 4"/>
    <w:basedOn w:val="Heading5"/>
    <w:link w:val="CitaviBibliographySubheading4Char"/>
    <w:uiPriority w:val="99"/>
    <w:rsid w:val="00344822"/>
    <w:pPr>
      <w:outlineLvl w:val="9"/>
    </w:pPr>
    <w:rPr>
      <w:noProof/>
    </w:rPr>
  </w:style>
  <w:style w:type="character" w:styleId="CitaviBibliographySubheading4Char" w:customStyle="1">
    <w:name w:val="Citavi Bibliography Subheading 4 Char"/>
    <w:basedOn w:val="DefaultParagraphFont"/>
    <w:link w:val="CitaviBibliographySubheading4"/>
    <w:uiPriority w:val="99"/>
    <w:rsid w:val="00344822"/>
    <w:rPr>
      <w:rFonts w:asciiTheme="majorHAnsi" w:hAnsiTheme="majorHAnsi" w:eastAsiaTheme="majorEastAsia" w:cstheme="majorBidi"/>
      <w:noProof/>
      <w:color w:val="2E74B5" w:themeColor="accent1" w:themeShade="BF"/>
    </w:rPr>
  </w:style>
  <w:style w:type="character" w:styleId="Heading5Char" w:customStyle="1">
    <w:name w:val="Heading 5 Char"/>
    <w:basedOn w:val="DefaultParagraphFont"/>
    <w:link w:val="Heading5"/>
    <w:uiPriority w:val="9"/>
    <w:semiHidden/>
    <w:rsid w:val="00344822"/>
    <w:rPr>
      <w:rFonts w:asciiTheme="majorHAnsi" w:hAnsiTheme="majorHAnsi" w:eastAsiaTheme="majorEastAsia" w:cstheme="majorBidi"/>
      <w:color w:val="2E74B5" w:themeColor="accent1" w:themeShade="BF"/>
    </w:rPr>
  </w:style>
  <w:style w:type="paragraph" w:styleId="CitaviBibliographySubheading5" w:customStyle="1">
    <w:name w:val="Citavi Bibliography Subheading 5"/>
    <w:basedOn w:val="Heading6"/>
    <w:link w:val="CitaviBibliographySubheading5Char"/>
    <w:uiPriority w:val="99"/>
    <w:rsid w:val="00344822"/>
    <w:pPr>
      <w:outlineLvl w:val="9"/>
    </w:pPr>
    <w:rPr>
      <w:noProof/>
    </w:rPr>
  </w:style>
  <w:style w:type="character" w:styleId="CitaviBibliographySubheading5Char" w:customStyle="1">
    <w:name w:val="Citavi Bibliography Subheading 5 Char"/>
    <w:basedOn w:val="DefaultParagraphFont"/>
    <w:link w:val="CitaviBibliographySubheading5"/>
    <w:uiPriority w:val="99"/>
    <w:rsid w:val="00344822"/>
    <w:rPr>
      <w:rFonts w:asciiTheme="majorHAnsi" w:hAnsiTheme="majorHAnsi" w:eastAsiaTheme="majorEastAsia" w:cstheme="majorBidi"/>
      <w:noProof/>
      <w:color w:val="1F4D78" w:themeColor="accent1" w:themeShade="7F"/>
    </w:rPr>
  </w:style>
  <w:style w:type="character" w:styleId="Heading6Char" w:customStyle="1">
    <w:name w:val="Heading 6 Char"/>
    <w:basedOn w:val="DefaultParagraphFont"/>
    <w:link w:val="Heading6"/>
    <w:uiPriority w:val="9"/>
    <w:semiHidden/>
    <w:rsid w:val="00344822"/>
    <w:rPr>
      <w:rFonts w:asciiTheme="majorHAnsi" w:hAnsiTheme="majorHAnsi" w:eastAsiaTheme="majorEastAsia" w:cstheme="majorBidi"/>
      <w:color w:val="1F4D78" w:themeColor="accent1" w:themeShade="7F"/>
    </w:rPr>
  </w:style>
  <w:style w:type="paragraph" w:styleId="CitaviBibliographySubheading6" w:customStyle="1">
    <w:name w:val="Citavi Bibliography Subheading 6"/>
    <w:basedOn w:val="Heading7"/>
    <w:link w:val="CitaviBibliographySubheading6Char"/>
    <w:uiPriority w:val="99"/>
    <w:rsid w:val="00344822"/>
    <w:pPr>
      <w:outlineLvl w:val="9"/>
    </w:pPr>
    <w:rPr>
      <w:noProof/>
    </w:rPr>
  </w:style>
  <w:style w:type="character" w:styleId="CitaviBibliographySubheading6Char" w:customStyle="1">
    <w:name w:val="Citavi Bibliography Subheading 6 Char"/>
    <w:basedOn w:val="DefaultParagraphFont"/>
    <w:link w:val="CitaviBibliographySubheading6"/>
    <w:uiPriority w:val="99"/>
    <w:rsid w:val="00344822"/>
    <w:rPr>
      <w:rFonts w:asciiTheme="majorHAnsi" w:hAnsiTheme="majorHAnsi" w:eastAsiaTheme="majorEastAsia" w:cstheme="majorBidi"/>
      <w:i/>
      <w:iCs/>
      <w:noProof/>
      <w:color w:val="1F4D78" w:themeColor="accent1" w:themeShade="7F"/>
    </w:rPr>
  </w:style>
  <w:style w:type="character" w:styleId="Heading7Char" w:customStyle="1">
    <w:name w:val="Heading 7 Char"/>
    <w:basedOn w:val="DefaultParagraphFont"/>
    <w:link w:val="Heading7"/>
    <w:uiPriority w:val="9"/>
    <w:semiHidden/>
    <w:rsid w:val="00344822"/>
    <w:rPr>
      <w:rFonts w:asciiTheme="majorHAnsi" w:hAnsiTheme="majorHAnsi" w:eastAsiaTheme="majorEastAsia" w:cstheme="majorBidi"/>
      <w:i/>
      <w:iCs/>
      <w:color w:val="1F4D78" w:themeColor="accent1" w:themeShade="7F"/>
    </w:rPr>
  </w:style>
  <w:style w:type="paragraph" w:styleId="CitaviBibliographySubheading7" w:customStyle="1">
    <w:name w:val="Citavi Bibliography Subheading 7"/>
    <w:basedOn w:val="Heading8"/>
    <w:link w:val="CitaviBibliographySubheading7Char"/>
    <w:uiPriority w:val="99"/>
    <w:rsid w:val="00344822"/>
    <w:pPr>
      <w:outlineLvl w:val="9"/>
    </w:pPr>
    <w:rPr>
      <w:noProof/>
    </w:rPr>
  </w:style>
  <w:style w:type="character" w:styleId="CitaviBibliographySubheading7Char" w:customStyle="1">
    <w:name w:val="Citavi Bibliography Subheading 7 Char"/>
    <w:basedOn w:val="DefaultParagraphFont"/>
    <w:link w:val="CitaviBibliographySubheading7"/>
    <w:uiPriority w:val="99"/>
    <w:rsid w:val="00344822"/>
    <w:rPr>
      <w:rFonts w:asciiTheme="majorHAnsi" w:hAnsiTheme="majorHAnsi" w:eastAsiaTheme="majorEastAsia" w:cstheme="majorBidi"/>
      <w:noProof/>
      <w:color w:val="272727" w:themeColor="text1" w:themeTint="D8"/>
      <w:sz w:val="21"/>
      <w:szCs w:val="21"/>
    </w:rPr>
  </w:style>
  <w:style w:type="character" w:styleId="Heading8Char" w:customStyle="1">
    <w:name w:val="Heading 8 Char"/>
    <w:basedOn w:val="DefaultParagraphFont"/>
    <w:link w:val="Heading8"/>
    <w:uiPriority w:val="9"/>
    <w:semiHidden/>
    <w:rsid w:val="00344822"/>
    <w:rPr>
      <w:rFonts w:asciiTheme="majorHAnsi" w:hAnsiTheme="majorHAnsi" w:eastAsiaTheme="majorEastAsia" w:cstheme="majorBidi"/>
      <w:color w:val="272727" w:themeColor="text1" w:themeTint="D8"/>
      <w:sz w:val="21"/>
      <w:szCs w:val="21"/>
    </w:rPr>
  </w:style>
  <w:style w:type="paragraph" w:styleId="CitaviBibliographySubheading8" w:customStyle="1">
    <w:name w:val="Citavi Bibliography Subheading 8"/>
    <w:basedOn w:val="Heading9"/>
    <w:link w:val="CitaviBibliographySubheading8Char"/>
    <w:uiPriority w:val="99"/>
    <w:rsid w:val="00344822"/>
    <w:pPr>
      <w:outlineLvl w:val="9"/>
    </w:pPr>
    <w:rPr>
      <w:noProof/>
    </w:rPr>
  </w:style>
  <w:style w:type="character" w:styleId="CitaviBibliographySubheading8Char" w:customStyle="1">
    <w:name w:val="Citavi Bibliography Subheading 8 Char"/>
    <w:basedOn w:val="DefaultParagraphFont"/>
    <w:link w:val="CitaviBibliographySubheading8"/>
    <w:uiPriority w:val="99"/>
    <w:rsid w:val="00344822"/>
    <w:rPr>
      <w:rFonts w:asciiTheme="majorHAnsi" w:hAnsiTheme="majorHAnsi" w:eastAsiaTheme="majorEastAsia" w:cstheme="majorBidi"/>
      <w:i/>
      <w:iCs/>
      <w:noProof/>
      <w:color w:val="272727" w:themeColor="text1" w:themeTint="D8"/>
      <w:sz w:val="21"/>
      <w:szCs w:val="21"/>
    </w:rPr>
  </w:style>
  <w:style w:type="character" w:styleId="Heading9Char" w:customStyle="1">
    <w:name w:val="Heading 9 Char"/>
    <w:basedOn w:val="DefaultParagraphFont"/>
    <w:link w:val="Heading9"/>
    <w:uiPriority w:val="9"/>
    <w:semiHidden/>
    <w:rsid w:val="00344822"/>
    <w:rPr>
      <w:rFonts w:asciiTheme="majorHAnsi" w:hAnsiTheme="majorHAnsi" w:eastAsiaTheme="majorEastAsia" w:cstheme="majorBidi"/>
      <w:i/>
      <w:iCs/>
      <w:color w:val="272727" w:themeColor="text1" w:themeTint="D8"/>
      <w:sz w:val="21"/>
      <w:szCs w:val="21"/>
    </w:rPr>
  </w:style>
  <w:style w:type="paragraph" w:styleId="NormalWeb">
    <w:name w:val="Normal (Web)"/>
    <w:basedOn w:val="Normal"/>
    <w:uiPriority w:val="99"/>
    <w:semiHidden/>
    <w:unhideWhenUsed/>
    <w:rsid w:val="00630C4A"/>
    <w:pPr>
      <w:spacing w:before="100" w:beforeAutospacing="1" w:after="100" w:afterAutospacing="1" w:line="240" w:lineRule="auto"/>
    </w:pPr>
    <w:rPr>
      <w:rFonts w:ascii="Times New Roman" w:hAnsi="Times New Roman" w:eastAsia="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62293">
      <w:bodyDiv w:val="1"/>
      <w:marLeft w:val="0"/>
      <w:marRight w:val="0"/>
      <w:marTop w:val="0"/>
      <w:marBottom w:val="0"/>
      <w:divBdr>
        <w:top w:val="none" w:sz="0" w:space="0" w:color="auto"/>
        <w:left w:val="none" w:sz="0" w:space="0" w:color="auto"/>
        <w:bottom w:val="none" w:sz="0" w:space="0" w:color="auto"/>
        <w:right w:val="none" w:sz="0" w:space="0" w:color="auto"/>
      </w:divBdr>
    </w:div>
    <w:div w:id="323238076">
      <w:bodyDiv w:val="1"/>
      <w:marLeft w:val="0"/>
      <w:marRight w:val="0"/>
      <w:marTop w:val="0"/>
      <w:marBottom w:val="0"/>
      <w:divBdr>
        <w:top w:val="none" w:sz="0" w:space="0" w:color="auto"/>
        <w:left w:val="none" w:sz="0" w:space="0" w:color="auto"/>
        <w:bottom w:val="none" w:sz="0" w:space="0" w:color="auto"/>
        <w:right w:val="none" w:sz="0" w:space="0" w:color="auto"/>
      </w:divBdr>
    </w:div>
    <w:div w:id="337657424">
      <w:bodyDiv w:val="1"/>
      <w:marLeft w:val="0"/>
      <w:marRight w:val="0"/>
      <w:marTop w:val="0"/>
      <w:marBottom w:val="0"/>
      <w:divBdr>
        <w:top w:val="none" w:sz="0" w:space="0" w:color="auto"/>
        <w:left w:val="none" w:sz="0" w:space="0" w:color="auto"/>
        <w:bottom w:val="none" w:sz="0" w:space="0" w:color="auto"/>
        <w:right w:val="none" w:sz="0" w:space="0" w:color="auto"/>
      </w:divBdr>
    </w:div>
    <w:div w:id="700666693">
      <w:bodyDiv w:val="1"/>
      <w:marLeft w:val="0"/>
      <w:marRight w:val="0"/>
      <w:marTop w:val="0"/>
      <w:marBottom w:val="0"/>
      <w:divBdr>
        <w:top w:val="none" w:sz="0" w:space="0" w:color="auto"/>
        <w:left w:val="none" w:sz="0" w:space="0" w:color="auto"/>
        <w:bottom w:val="none" w:sz="0" w:space="0" w:color="auto"/>
        <w:right w:val="none" w:sz="0" w:space="0" w:color="auto"/>
      </w:divBdr>
    </w:div>
    <w:div w:id="763650728">
      <w:bodyDiv w:val="1"/>
      <w:marLeft w:val="0"/>
      <w:marRight w:val="0"/>
      <w:marTop w:val="0"/>
      <w:marBottom w:val="0"/>
      <w:divBdr>
        <w:top w:val="none" w:sz="0" w:space="0" w:color="auto"/>
        <w:left w:val="none" w:sz="0" w:space="0" w:color="auto"/>
        <w:bottom w:val="none" w:sz="0" w:space="0" w:color="auto"/>
        <w:right w:val="none" w:sz="0" w:space="0" w:color="auto"/>
      </w:divBdr>
    </w:div>
    <w:div w:id="1011025089">
      <w:bodyDiv w:val="1"/>
      <w:marLeft w:val="0"/>
      <w:marRight w:val="0"/>
      <w:marTop w:val="0"/>
      <w:marBottom w:val="0"/>
      <w:divBdr>
        <w:top w:val="none" w:sz="0" w:space="0" w:color="auto"/>
        <w:left w:val="none" w:sz="0" w:space="0" w:color="auto"/>
        <w:bottom w:val="none" w:sz="0" w:space="0" w:color="auto"/>
        <w:right w:val="none" w:sz="0" w:space="0" w:color="auto"/>
      </w:divBdr>
    </w:div>
    <w:div w:id="1021973942">
      <w:bodyDiv w:val="1"/>
      <w:marLeft w:val="0"/>
      <w:marRight w:val="0"/>
      <w:marTop w:val="0"/>
      <w:marBottom w:val="0"/>
      <w:divBdr>
        <w:top w:val="none" w:sz="0" w:space="0" w:color="auto"/>
        <w:left w:val="none" w:sz="0" w:space="0" w:color="auto"/>
        <w:bottom w:val="none" w:sz="0" w:space="0" w:color="auto"/>
        <w:right w:val="none" w:sz="0" w:space="0" w:color="auto"/>
      </w:divBdr>
    </w:div>
    <w:div w:id="1080371254">
      <w:bodyDiv w:val="1"/>
      <w:marLeft w:val="0"/>
      <w:marRight w:val="0"/>
      <w:marTop w:val="0"/>
      <w:marBottom w:val="0"/>
      <w:divBdr>
        <w:top w:val="none" w:sz="0" w:space="0" w:color="auto"/>
        <w:left w:val="none" w:sz="0" w:space="0" w:color="auto"/>
        <w:bottom w:val="none" w:sz="0" w:space="0" w:color="auto"/>
        <w:right w:val="none" w:sz="0" w:space="0" w:color="auto"/>
      </w:divBdr>
    </w:div>
    <w:div w:id="1229264986">
      <w:bodyDiv w:val="1"/>
      <w:marLeft w:val="0"/>
      <w:marRight w:val="0"/>
      <w:marTop w:val="0"/>
      <w:marBottom w:val="0"/>
      <w:divBdr>
        <w:top w:val="none" w:sz="0" w:space="0" w:color="auto"/>
        <w:left w:val="none" w:sz="0" w:space="0" w:color="auto"/>
        <w:bottom w:val="none" w:sz="0" w:space="0" w:color="auto"/>
        <w:right w:val="none" w:sz="0" w:space="0" w:color="auto"/>
      </w:divBdr>
    </w:div>
    <w:div w:id="1310132755">
      <w:bodyDiv w:val="1"/>
      <w:marLeft w:val="0"/>
      <w:marRight w:val="0"/>
      <w:marTop w:val="0"/>
      <w:marBottom w:val="0"/>
      <w:divBdr>
        <w:top w:val="none" w:sz="0" w:space="0" w:color="auto"/>
        <w:left w:val="none" w:sz="0" w:space="0" w:color="auto"/>
        <w:bottom w:val="none" w:sz="0" w:space="0" w:color="auto"/>
        <w:right w:val="none" w:sz="0" w:space="0" w:color="auto"/>
      </w:divBdr>
    </w:div>
    <w:div w:id="1808551444">
      <w:bodyDiv w:val="1"/>
      <w:marLeft w:val="0"/>
      <w:marRight w:val="0"/>
      <w:marTop w:val="0"/>
      <w:marBottom w:val="0"/>
      <w:divBdr>
        <w:top w:val="none" w:sz="0" w:space="0" w:color="auto"/>
        <w:left w:val="none" w:sz="0" w:space="0" w:color="auto"/>
        <w:bottom w:val="none" w:sz="0" w:space="0" w:color="auto"/>
        <w:right w:val="none" w:sz="0" w:space="0" w:color="auto"/>
      </w:divBdr>
    </w:div>
    <w:div w:id="18743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image" Target="media/image4.png" Id="rId10" /><Relationship Type="http://schemas.openxmlformats.org/officeDocument/2006/relationships/styles" Target="styles.xml" Id="rId4" /><Relationship Type="http://schemas.openxmlformats.org/officeDocument/2006/relationships/image" Target="media/image3.png"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CED226-9C50-4416-9F15-9FF05947AEF5}"/>
      </w:docPartPr>
      <w:docPartBody>
        <w:p w:rsidR="00A02843" w:rsidRDefault="00FF5336">
          <w:r w:rsidRPr="000928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36"/>
    <w:rsid w:val="005F6374"/>
    <w:rsid w:val="00660B88"/>
    <w:rsid w:val="00A02843"/>
    <w:rsid w:val="00F0614A"/>
    <w:rsid w:val="00FF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3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DF6C320B251148906FE7BD89E864DE" ma:contentTypeVersion="12" ma:contentTypeDescription="Ein neues Dokument erstellen." ma:contentTypeScope="" ma:versionID="0a21b7b4596424d7cb564df28a437621">
  <xsd:schema xmlns:xsd="http://www.w3.org/2001/XMLSchema" xmlns:xs="http://www.w3.org/2001/XMLSchema" xmlns:p="http://schemas.microsoft.com/office/2006/metadata/properties" xmlns:ns2="b76bedef-6021-4817-876e-3836db386dcf" xmlns:ns3="e6c9799a-39c0-45d0-9d80-ca9c556d522f" targetNamespace="http://schemas.microsoft.com/office/2006/metadata/properties" ma:root="true" ma:fieldsID="ddd93990826c9559e834cd4143c0a6e1" ns2:_="" ns3:_="">
    <xsd:import namespace="b76bedef-6021-4817-876e-3836db386dcf"/>
    <xsd:import namespace="e6c9799a-39c0-45d0-9d80-ca9c556d52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bedef-6021-4817-876e-3836db386dc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32f3eda0-f8c0-4f29-8b63-535fe4e69b7c}" ma:internalName="TaxCatchAll" ma:showField="CatchAllData" ma:web="b76bedef-6021-4817-876e-3836db386d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c9799a-39c0-45d0-9d80-ca9c556d52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c9799a-39c0-45d0-9d80-ca9c556d522f">
      <Terms xmlns="http://schemas.microsoft.com/office/infopath/2007/PartnerControls"/>
    </lcf76f155ced4ddcb4097134ff3c332f>
    <TaxCatchAll xmlns="b76bedef-6021-4817-876e-3836db386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3B0B2-4D95-40D1-A20B-EB23FE0E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bedef-6021-4817-876e-3836db386dcf"/>
    <ds:schemaRef ds:uri="e6c9799a-39c0-45d0-9d80-ca9c556d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DF8DC-A84F-4DCC-8895-7781C242F4FE}">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e6c9799a-39c0-45d0-9d80-ca9c556d522f"/>
    <ds:schemaRef ds:uri="b76bedef-6021-4817-876e-3836db386dcf"/>
    <ds:schemaRef ds:uri="http://www.w3.org/XML/1998/namespace"/>
    <ds:schemaRef ds:uri="http://purl.org/dc/dcmitype/"/>
  </ds:schemaRefs>
</ds:datastoreItem>
</file>

<file path=customXml/itemProps3.xml><?xml version="1.0" encoding="utf-8"?>
<ds:datastoreItem xmlns:ds="http://schemas.openxmlformats.org/officeDocument/2006/customXml" ds:itemID="{52B51749-04FF-487C-A579-3D333AF81B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Rade, Michael</dc:creator>
  <keywords/>
  <dc:description/>
  <lastModifiedBy>Rade, Michael</lastModifiedBy>
  <revision>126</revision>
  <dcterms:created xsi:type="dcterms:W3CDTF">2024-10-19T15:42:00.0000000Z</dcterms:created>
  <dcterms:modified xsi:type="dcterms:W3CDTF">2025-02-20T12:43:14.7144973Z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0x01010003DF6C320B251148906FE7BD89E864DE</vt:lpwstr>
  </property>
  <property fmtid="{D5CDD505-2E9C-101B-9397-08002B2CF9AE}" pid="3" name="MediaServiceImageTags">
    <vt:lpwstr/>
  </property>
  <property fmtid="{D5CDD505-2E9C-101B-9397-08002B2CF9AE}" pid="4" name="CitaviDocumentProperty_7">
    <vt:lpwstr>2024_BCMA_CAR_MAX</vt:lpwstr>
  </property>
  <property fmtid="{D5CDD505-2E9C-101B-9397-08002B2CF9AE}" pid="5" name="CitaviDocumentProperty_0">
    <vt:lpwstr>427acb68-017d-44ca-9439-de1cc2b918f6</vt:lpwstr>
  </property>
  <property fmtid="{D5CDD505-2E9C-101B-9397-08002B2CF9AE}" pid="6" name="CitaviDocumentProperty_1">
    <vt:lpwstr>6.15.2.0</vt:lpwstr>
  </property>
  <property fmtid="{D5CDD505-2E9C-101B-9397-08002B2CF9AE}" pid="7" name="CitaviDocumentProperty_6">
    <vt:lpwstr>True</vt:lpwstr>
  </property>
  <property fmtid="{D5CDD505-2E9C-101B-9397-08002B2CF9AE}" pid="8" name="CitaviDocumentProperty_8">
    <vt:lpwstr>CloudProjectKey=damtng40et73esa9yfw4n2z02z6tudcg6xx7qolk62txkk1; ProjectName=2024_BCMA_CAR_MAX</vt:lpwstr>
  </property>
</Properties>
</file>