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C7970"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b/>
          <w:bCs/>
          <w:sz w:val="24"/>
          <w:szCs w:val="24"/>
        </w:rPr>
        <w:t>Extended data</w:t>
      </w:r>
    </w:p>
    <w:p w14:paraId="389BA996" w14:textId="77777777" w:rsidR="00AE1FA4" w:rsidRPr="006A2A51" w:rsidRDefault="00AE1FA4" w:rsidP="00AE1FA4">
      <w:pPr>
        <w:spacing w:after="0" w:line="480" w:lineRule="auto"/>
        <w:rPr>
          <w:rFonts w:ascii="Times New Roman" w:hAnsi="Times New Roman" w:cs="Times New Roman"/>
          <w:sz w:val="24"/>
          <w:szCs w:val="24"/>
        </w:rPr>
      </w:pPr>
    </w:p>
    <w:p w14:paraId="46C5A88C"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F3A7214" wp14:editId="603753D0">
            <wp:extent cx="5943600" cy="4029075"/>
            <wp:effectExtent l="0" t="0" r="0" b="9525"/>
            <wp:docPr id="33419719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4029075"/>
                    </a:xfrm>
                    <a:prstGeom prst="rect">
                      <a:avLst/>
                    </a:prstGeom>
                    <a:noFill/>
                    <a:ln>
                      <a:noFill/>
                    </a:ln>
                  </pic:spPr>
                </pic:pic>
              </a:graphicData>
            </a:graphic>
          </wp:inline>
        </w:drawing>
      </w:r>
    </w:p>
    <w:p w14:paraId="27DFE086"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b/>
          <w:bCs/>
          <w:sz w:val="24"/>
          <w:szCs w:val="24"/>
        </w:rPr>
        <w:t>Extended Data</w:t>
      </w:r>
      <w:r w:rsidRPr="006A2A51">
        <w:rPr>
          <w:rFonts w:ascii="Times New Roman" w:hAnsi="Times New Roman" w:cs="Times New Roman"/>
          <w:b/>
          <w:bCs/>
          <w:sz w:val="24"/>
          <w:szCs w:val="24"/>
        </w:rPr>
        <w:t xml:space="preserve"> Fig. 1: Peri-reach modulation aligned separately to Reach Start and Reach End.</w:t>
      </w:r>
      <w:r>
        <w:rPr>
          <w:rFonts w:ascii="Times New Roman" w:hAnsi="Times New Roman" w:cs="Times New Roman"/>
          <w:sz w:val="24"/>
          <w:szCs w:val="24"/>
        </w:rPr>
        <w:t xml:space="preserve"> </w:t>
      </w:r>
      <w:r w:rsidRPr="006A2A51">
        <w:rPr>
          <w:rFonts w:ascii="Times New Roman" w:hAnsi="Times New Roman" w:cs="Times New Roman"/>
          <w:sz w:val="24"/>
          <w:szCs w:val="24"/>
        </w:rPr>
        <w:t xml:space="preserve">Panels are analogous to those in Fig. 3, but with data aligned independently to Reach Start (left) and Reach End (right). Samples after Reach Start and </w:t>
      </w:r>
      <w:r>
        <w:rPr>
          <w:rFonts w:ascii="Times New Roman" w:hAnsi="Times New Roman" w:cs="Times New Roman"/>
          <w:sz w:val="24"/>
          <w:szCs w:val="24"/>
        </w:rPr>
        <w:t xml:space="preserve">before </w:t>
      </w:r>
      <w:r w:rsidRPr="006A2A51">
        <w:rPr>
          <w:rFonts w:ascii="Times New Roman" w:hAnsi="Times New Roman" w:cs="Times New Roman"/>
          <w:sz w:val="24"/>
          <w:szCs w:val="24"/>
        </w:rPr>
        <w:t xml:space="preserve">Reach End </w:t>
      </w:r>
      <w:r>
        <w:rPr>
          <w:rFonts w:ascii="Times New Roman" w:hAnsi="Times New Roman" w:cs="Times New Roman"/>
          <w:sz w:val="24"/>
          <w:szCs w:val="24"/>
        </w:rPr>
        <w:t>here represent real time 10 ms samples</w:t>
      </w:r>
      <w:r w:rsidRPr="006A2A51">
        <w:rPr>
          <w:rFonts w:ascii="Times New Roman" w:hAnsi="Times New Roman" w:cs="Times New Roman"/>
          <w:sz w:val="24"/>
          <w:szCs w:val="24"/>
        </w:rPr>
        <w:t>, without the time-stretching method used to simultaneously align to both Reach Start and Reach End</w:t>
      </w:r>
      <w:r>
        <w:rPr>
          <w:rFonts w:ascii="Times New Roman" w:hAnsi="Times New Roman" w:cs="Times New Roman"/>
          <w:sz w:val="24"/>
          <w:szCs w:val="24"/>
        </w:rPr>
        <w:t xml:space="preserve"> (as shown in Fig. 3)</w:t>
      </w:r>
      <w:r w:rsidRPr="006A2A51">
        <w:rPr>
          <w:rFonts w:ascii="Times New Roman" w:hAnsi="Times New Roman" w:cs="Times New Roman"/>
          <w:sz w:val="24"/>
          <w:szCs w:val="24"/>
        </w:rPr>
        <w:t>.</w:t>
      </w:r>
    </w:p>
    <w:p w14:paraId="52B52A1A" w14:textId="77777777" w:rsidR="00AE1FA4" w:rsidRPr="006A2A51" w:rsidRDefault="00AE1FA4" w:rsidP="00AE1FA4">
      <w:pPr>
        <w:spacing w:after="0" w:line="480" w:lineRule="auto"/>
        <w:rPr>
          <w:rFonts w:ascii="Times New Roman" w:hAnsi="Times New Roman" w:cs="Times New Roman"/>
          <w:sz w:val="24"/>
          <w:szCs w:val="24"/>
        </w:rPr>
      </w:pPr>
    </w:p>
    <w:p w14:paraId="0B1D14D8"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59737A4" wp14:editId="553E69B1">
            <wp:extent cx="5943600" cy="1914525"/>
            <wp:effectExtent l="0" t="0" r="0" b="9525"/>
            <wp:docPr id="189827073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1914525"/>
                    </a:xfrm>
                    <a:prstGeom prst="rect">
                      <a:avLst/>
                    </a:prstGeom>
                    <a:noFill/>
                    <a:ln>
                      <a:noFill/>
                    </a:ln>
                  </pic:spPr>
                </pic:pic>
              </a:graphicData>
            </a:graphic>
          </wp:inline>
        </w:drawing>
      </w:r>
    </w:p>
    <w:p w14:paraId="75B55D6F"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b/>
          <w:bCs/>
          <w:sz w:val="24"/>
          <w:szCs w:val="24"/>
        </w:rPr>
        <w:t>Extended Data Fig.</w:t>
      </w:r>
      <w:r w:rsidRPr="006A2A51">
        <w:rPr>
          <w:rFonts w:ascii="Times New Roman" w:hAnsi="Times New Roman" w:cs="Times New Roman"/>
          <w:b/>
          <w:bCs/>
          <w:sz w:val="24"/>
          <w:szCs w:val="24"/>
        </w:rPr>
        <w:t xml:space="preserve"> 2: </w:t>
      </w:r>
      <w:r>
        <w:rPr>
          <w:rFonts w:ascii="Times New Roman" w:hAnsi="Times New Roman" w:cs="Times New Roman"/>
          <w:b/>
          <w:bCs/>
          <w:sz w:val="24"/>
          <w:szCs w:val="24"/>
        </w:rPr>
        <w:t>Firing rate</w:t>
      </w:r>
      <w:r w:rsidRPr="006A2A51">
        <w:rPr>
          <w:rFonts w:ascii="Times New Roman" w:hAnsi="Times New Roman" w:cs="Times New Roman"/>
          <w:b/>
          <w:bCs/>
          <w:sz w:val="24"/>
          <w:szCs w:val="24"/>
        </w:rPr>
        <w:t xml:space="preserve"> modulation aligned to alternative behavioral events.</w:t>
      </w:r>
    </w:p>
    <w:p w14:paraId="49CE69A7" w14:textId="77777777" w:rsidR="00AE1FA4" w:rsidRPr="006A2A51" w:rsidRDefault="00AE1FA4" w:rsidP="00AE1FA4">
      <w:pPr>
        <w:spacing w:after="0" w:line="480" w:lineRule="auto"/>
        <w:rPr>
          <w:rFonts w:ascii="Times New Roman" w:hAnsi="Times New Roman" w:cs="Times New Roman"/>
          <w:sz w:val="24"/>
          <w:szCs w:val="24"/>
        </w:rPr>
      </w:pPr>
      <w:r w:rsidRPr="006A2A51">
        <w:rPr>
          <w:rFonts w:ascii="Times New Roman" w:hAnsi="Times New Roman" w:cs="Times New Roman"/>
          <w:b/>
          <w:bCs/>
          <w:sz w:val="24"/>
          <w:szCs w:val="24"/>
        </w:rPr>
        <w:t>a</w:t>
      </w:r>
      <w:r w:rsidRPr="006A2A51">
        <w:rPr>
          <w:rFonts w:ascii="Times New Roman" w:hAnsi="Times New Roman" w:cs="Times New Roman"/>
          <w:sz w:val="24"/>
          <w:szCs w:val="24"/>
        </w:rPr>
        <w:t xml:space="preserve">, </w:t>
      </w:r>
      <w:r>
        <w:rPr>
          <w:rFonts w:ascii="Times New Roman" w:hAnsi="Times New Roman" w:cs="Times New Roman"/>
          <w:sz w:val="24"/>
          <w:szCs w:val="24"/>
        </w:rPr>
        <w:t>M</w:t>
      </w:r>
      <w:r w:rsidRPr="006A2A51">
        <w:rPr>
          <w:rFonts w:ascii="Times New Roman" w:hAnsi="Times New Roman" w:cs="Times New Roman"/>
          <w:sz w:val="24"/>
          <w:szCs w:val="24"/>
        </w:rPr>
        <w:t>ean fingertip speed (top) and the proportion of units concurrently displaying</w:t>
      </w:r>
      <w:r>
        <w:rPr>
          <w:rFonts w:ascii="Times New Roman" w:hAnsi="Times New Roman" w:cs="Times New Roman"/>
          <w:sz w:val="24"/>
          <w:szCs w:val="24"/>
        </w:rPr>
        <w:t xml:space="preserve"> significant</w:t>
      </w:r>
      <w:r w:rsidRPr="006A2A51">
        <w:rPr>
          <w:rFonts w:ascii="Times New Roman" w:hAnsi="Times New Roman" w:cs="Times New Roman"/>
          <w:sz w:val="24"/>
          <w:szCs w:val="24"/>
        </w:rPr>
        <w:t xml:space="preserve"> positive (red), negative (</w:t>
      </w:r>
      <w:r>
        <w:rPr>
          <w:rFonts w:ascii="Times New Roman" w:hAnsi="Times New Roman" w:cs="Times New Roman"/>
          <w:sz w:val="24"/>
          <w:szCs w:val="24"/>
        </w:rPr>
        <w:t>blue</w:t>
      </w:r>
      <w:r w:rsidRPr="006A2A51">
        <w:rPr>
          <w:rFonts w:ascii="Times New Roman" w:hAnsi="Times New Roman" w:cs="Times New Roman"/>
          <w:sz w:val="24"/>
          <w:szCs w:val="24"/>
        </w:rPr>
        <w:t>), or any (black) FR modulation</w:t>
      </w:r>
      <w:r>
        <w:rPr>
          <w:rFonts w:ascii="Times New Roman" w:hAnsi="Times New Roman" w:cs="Times New Roman"/>
          <w:sz w:val="24"/>
          <w:szCs w:val="24"/>
        </w:rPr>
        <w:t xml:space="preserve"> (observed mean FR greater or less than 99.5% of random expected mean FRs [</w:t>
      </w:r>
      <w:r w:rsidRPr="005373D4">
        <w:rPr>
          <w:rFonts w:ascii="Times New Roman" w:hAnsi="Times New Roman" w:cs="Times New Roman"/>
          <w:sz w:val="24"/>
          <w:szCs w:val="24"/>
        </w:rPr>
        <w:t>α = 0.0</w:t>
      </w:r>
      <w:r>
        <w:rPr>
          <w:rFonts w:ascii="Times New Roman" w:hAnsi="Times New Roman" w:cs="Times New Roman"/>
          <w:sz w:val="24"/>
          <w:szCs w:val="24"/>
        </w:rPr>
        <w:t>1], 10,000 shuffles for at least 5 consecutive samples [50 ms])</w:t>
      </w:r>
      <w:r w:rsidRPr="006A2A51">
        <w:rPr>
          <w:rFonts w:ascii="Times New Roman" w:hAnsi="Times New Roman" w:cs="Times New Roman"/>
          <w:sz w:val="24"/>
          <w:szCs w:val="24"/>
        </w:rPr>
        <w:t xml:space="preserve"> in a 1</w:t>
      </w:r>
      <w:r>
        <w:rPr>
          <w:rFonts w:ascii="Times New Roman" w:hAnsi="Times New Roman" w:cs="Times New Roman"/>
          <w:sz w:val="24"/>
          <w:szCs w:val="24"/>
        </w:rPr>
        <w:t xml:space="preserve"> </w:t>
      </w:r>
      <w:r w:rsidRPr="006A2A51">
        <w:rPr>
          <w:rFonts w:ascii="Times New Roman" w:hAnsi="Times New Roman" w:cs="Times New Roman"/>
          <w:sz w:val="24"/>
          <w:szCs w:val="24"/>
        </w:rPr>
        <w:t>s</w:t>
      </w:r>
      <w:r>
        <w:rPr>
          <w:rFonts w:ascii="Times New Roman" w:hAnsi="Times New Roman" w:cs="Times New Roman"/>
          <w:sz w:val="24"/>
          <w:szCs w:val="24"/>
        </w:rPr>
        <w:t xml:space="preserve"> wide</w:t>
      </w:r>
      <w:r w:rsidRPr="006A2A51">
        <w:rPr>
          <w:rFonts w:ascii="Times New Roman" w:hAnsi="Times New Roman" w:cs="Times New Roman"/>
          <w:sz w:val="24"/>
          <w:szCs w:val="24"/>
        </w:rPr>
        <w:t xml:space="preserve"> window around the time of Target Cue (the time when an arrow was shown over the center target to indicate the location of the next outer target). Limited </w:t>
      </w:r>
      <w:r>
        <w:rPr>
          <w:rFonts w:ascii="Times New Roman" w:hAnsi="Times New Roman" w:cs="Times New Roman"/>
          <w:sz w:val="24"/>
          <w:szCs w:val="24"/>
        </w:rPr>
        <w:t>FR modulation</w:t>
      </w:r>
      <w:r w:rsidRPr="006A2A51">
        <w:rPr>
          <w:rFonts w:ascii="Times New Roman" w:hAnsi="Times New Roman" w:cs="Times New Roman"/>
          <w:sz w:val="24"/>
          <w:szCs w:val="24"/>
        </w:rPr>
        <w:t xml:space="preserve"> is noted during this cue phase. </w:t>
      </w:r>
      <w:r w:rsidRPr="006A2A51">
        <w:rPr>
          <w:rFonts w:ascii="Times New Roman" w:hAnsi="Times New Roman" w:cs="Times New Roman"/>
          <w:b/>
          <w:bCs/>
          <w:sz w:val="24"/>
          <w:szCs w:val="24"/>
        </w:rPr>
        <w:t>b</w:t>
      </w:r>
      <w:r w:rsidRPr="006A2A51">
        <w:rPr>
          <w:rFonts w:ascii="Times New Roman" w:hAnsi="Times New Roman" w:cs="Times New Roman"/>
          <w:sz w:val="24"/>
          <w:szCs w:val="24"/>
        </w:rPr>
        <w:t xml:space="preserve">, </w:t>
      </w:r>
      <w:r>
        <w:rPr>
          <w:rFonts w:ascii="Times New Roman" w:hAnsi="Times New Roman" w:cs="Times New Roman"/>
          <w:sz w:val="24"/>
          <w:szCs w:val="24"/>
        </w:rPr>
        <w:t>S</w:t>
      </w:r>
      <w:r w:rsidRPr="006A2A51">
        <w:rPr>
          <w:rFonts w:ascii="Times New Roman" w:hAnsi="Times New Roman" w:cs="Times New Roman"/>
          <w:sz w:val="24"/>
          <w:szCs w:val="24"/>
        </w:rPr>
        <w:t xml:space="preserve">ame as in </w:t>
      </w:r>
      <w:r w:rsidRPr="006A2A51">
        <w:rPr>
          <w:rFonts w:ascii="Times New Roman" w:hAnsi="Times New Roman" w:cs="Times New Roman"/>
          <w:b/>
          <w:bCs/>
          <w:sz w:val="24"/>
          <w:szCs w:val="24"/>
        </w:rPr>
        <w:t>a</w:t>
      </w:r>
      <w:r w:rsidRPr="006A2A51">
        <w:rPr>
          <w:rFonts w:ascii="Times New Roman" w:hAnsi="Times New Roman" w:cs="Times New Roman"/>
          <w:sz w:val="24"/>
          <w:szCs w:val="24"/>
        </w:rPr>
        <w:t xml:space="preserve">, but aligned to the Go Cue (the time when the current target was extinguished and the new target appeared). </w:t>
      </w:r>
      <w:r w:rsidRPr="006A2A51">
        <w:rPr>
          <w:rFonts w:ascii="Times New Roman" w:hAnsi="Times New Roman" w:cs="Times New Roman"/>
          <w:b/>
          <w:bCs/>
          <w:sz w:val="24"/>
          <w:szCs w:val="24"/>
        </w:rPr>
        <w:t>c</w:t>
      </w:r>
      <w:r w:rsidRPr="006A2A51">
        <w:rPr>
          <w:rFonts w:ascii="Times New Roman" w:hAnsi="Times New Roman" w:cs="Times New Roman"/>
          <w:sz w:val="24"/>
          <w:szCs w:val="24"/>
        </w:rPr>
        <w:t xml:space="preserve">, </w:t>
      </w:r>
      <w:r>
        <w:rPr>
          <w:rFonts w:ascii="Times New Roman" w:hAnsi="Times New Roman" w:cs="Times New Roman"/>
          <w:sz w:val="24"/>
          <w:szCs w:val="24"/>
        </w:rPr>
        <w:t>S</w:t>
      </w:r>
      <w:r w:rsidRPr="006A2A51">
        <w:rPr>
          <w:rFonts w:ascii="Times New Roman" w:hAnsi="Times New Roman" w:cs="Times New Roman"/>
          <w:sz w:val="24"/>
          <w:szCs w:val="24"/>
        </w:rPr>
        <w:t xml:space="preserve">ame as in </w:t>
      </w:r>
      <w:r w:rsidRPr="006A2A51">
        <w:rPr>
          <w:rFonts w:ascii="Times New Roman" w:hAnsi="Times New Roman" w:cs="Times New Roman"/>
          <w:b/>
          <w:bCs/>
          <w:sz w:val="24"/>
          <w:szCs w:val="24"/>
        </w:rPr>
        <w:t>a</w:t>
      </w:r>
      <w:r w:rsidRPr="006A2A51">
        <w:rPr>
          <w:rFonts w:ascii="Times New Roman" w:hAnsi="Times New Roman" w:cs="Times New Roman"/>
          <w:sz w:val="24"/>
          <w:szCs w:val="24"/>
        </w:rPr>
        <w:t xml:space="preserve"> and </w:t>
      </w:r>
      <w:r w:rsidRPr="006A2A51">
        <w:rPr>
          <w:rFonts w:ascii="Times New Roman" w:hAnsi="Times New Roman" w:cs="Times New Roman"/>
          <w:b/>
          <w:bCs/>
          <w:sz w:val="24"/>
          <w:szCs w:val="24"/>
        </w:rPr>
        <w:t>b</w:t>
      </w:r>
      <w:r w:rsidRPr="006A2A51">
        <w:rPr>
          <w:rFonts w:ascii="Times New Roman" w:hAnsi="Times New Roman" w:cs="Times New Roman"/>
          <w:sz w:val="24"/>
          <w:szCs w:val="24"/>
        </w:rPr>
        <w:t>, but aligned to the time of peak observed fingertip speed in each reach.</w:t>
      </w:r>
    </w:p>
    <w:p w14:paraId="0EB80F1A" w14:textId="77777777" w:rsidR="00AE1FA4" w:rsidRDefault="00AE1FA4" w:rsidP="00AE1FA4">
      <w:pPr>
        <w:spacing w:after="0" w:line="480" w:lineRule="auto"/>
        <w:rPr>
          <w:rFonts w:ascii="Times New Roman" w:hAnsi="Times New Roman" w:cs="Times New Roman"/>
          <w:sz w:val="24"/>
          <w:szCs w:val="24"/>
        </w:rPr>
      </w:pPr>
    </w:p>
    <w:p w14:paraId="46280D58" w14:textId="77777777" w:rsidR="00AE1FA4" w:rsidRPr="005373D4" w:rsidRDefault="00AE1FA4" w:rsidP="00AE1FA4">
      <w:pPr>
        <w:spacing w:after="0" w:line="480" w:lineRule="auto"/>
        <w:rPr>
          <w:rFonts w:ascii="Times New Roman" w:hAnsi="Times New Roman" w:cs="Times New Roman"/>
          <w:sz w:val="24"/>
          <w:szCs w:val="24"/>
        </w:rPr>
      </w:pPr>
      <w:r w:rsidRPr="005373D4">
        <w:rPr>
          <w:rFonts w:ascii="Times New Roman" w:hAnsi="Times New Roman" w:cs="Times New Roman"/>
          <w:noProof/>
          <w:sz w:val="24"/>
          <w:szCs w:val="24"/>
        </w:rPr>
        <w:lastRenderedPageBreak/>
        <w:drawing>
          <wp:inline distT="0" distB="0" distL="0" distR="0" wp14:anchorId="56698058" wp14:editId="286D9007">
            <wp:extent cx="5943600" cy="4286250"/>
            <wp:effectExtent l="0" t="0" r="0" b="0"/>
            <wp:docPr id="12083655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286250"/>
                    </a:xfrm>
                    <a:prstGeom prst="rect">
                      <a:avLst/>
                    </a:prstGeom>
                    <a:noFill/>
                    <a:ln>
                      <a:noFill/>
                    </a:ln>
                  </pic:spPr>
                </pic:pic>
              </a:graphicData>
            </a:graphic>
          </wp:inline>
        </w:drawing>
      </w:r>
    </w:p>
    <w:p w14:paraId="0994CBF4" w14:textId="77777777" w:rsidR="00AE1FA4" w:rsidRDefault="00AE1FA4" w:rsidP="00AE1FA4">
      <w:pPr>
        <w:spacing w:after="0" w:line="480" w:lineRule="auto"/>
        <w:rPr>
          <w:rFonts w:ascii="Times New Roman" w:hAnsi="Times New Roman" w:cs="Times New Roman"/>
          <w:sz w:val="24"/>
          <w:szCs w:val="24"/>
        </w:rPr>
      </w:pPr>
      <w:r w:rsidRPr="005373D4">
        <w:rPr>
          <w:rFonts w:ascii="Times New Roman" w:hAnsi="Times New Roman" w:cs="Times New Roman"/>
          <w:b/>
          <w:bCs/>
          <w:sz w:val="24"/>
          <w:szCs w:val="24"/>
        </w:rPr>
        <w:t>Extended Data Fig. 3: Kinematic and error encoding is more common around Reach Ends</w:t>
      </w:r>
      <w:r>
        <w:rPr>
          <w:rFonts w:ascii="Times New Roman" w:hAnsi="Times New Roman" w:cs="Times New Roman"/>
          <w:b/>
          <w:bCs/>
          <w:sz w:val="24"/>
          <w:szCs w:val="24"/>
        </w:rPr>
        <w:t xml:space="preserve"> than Reach Starts</w:t>
      </w:r>
      <w:r w:rsidRPr="005373D4">
        <w:rPr>
          <w:rFonts w:ascii="Times New Roman" w:hAnsi="Times New Roman" w:cs="Times New Roman"/>
          <w:b/>
          <w:bCs/>
          <w:sz w:val="24"/>
          <w:szCs w:val="24"/>
        </w:rPr>
        <w:t>. a</w:t>
      </w:r>
      <w:r w:rsidRPr="005373D4">
        <w:rPr>
          <w:rFonts w:ascii="Times New Roman" w:hAnsi="Times New Roman" w:cs="Times New Roman"/>
          <w:sz w:val="24"/>
          <w:szCs w:val="24"/>
        </w:rPr>
        <w:t xml:space="preserve">, Fingertip speed in </w:t>
      </w:r>
      <w:r>
        <w:rPr>
          <w:rFonts w:ascii="Times New Roman" w:hAnsi="Times New Roman" w:cs="Times New Roman"/>
          <w:sz w:val="24"/>
          <w:szCs w:val="24"/>
        </w:rPr>
        <w:t>4</w:t>
      </w:r>
      <w:r w:rsidRPr="005373D4">
        <w:rPr>
          <w:rFonts w:ascii="Times New Roman" w:hAnsi="Times New Roman" w:cs="Times New Roman"/>
          <w:sz w:val="24"/>
          <w:szCs w:val="24"/>
        </w:rPr>
        <w:t xml:space="preserve"> example reaches from procedure S.02.R session 2 displaying the time windows used to extract kinematic and error term data from 500 ms windows centered at either Reach Starts (orange patches) or Reach Ends (green patches). </w:t>
      </w:r>
      <w:r w:rsidRPr="005373D4">
        <w:rPr>
          <w:rFonts w:ascii="Times New Roman" w:hAnsi="Times New Roman" w:cs="Times New Roman"/>
          <w:b/>
          <w:bCs/>
          <w:sz w:val="24"/>
          <w:szCs w:val="24"/>
        </w:rPr>
        <w:t>b</w:t>
      </w:r>
      <w:r w:rsidRPr="005373D4">
        <w:rPr>
          <w:rFonts w:ascii="Times New Roman" w:hAnsi="Times New Roman" w:cs="Times New Roman"/>
          <w:sz w:val="24"/>
          <w:szCs w:val="24"/>
        </w:rPr>
        <w:t xml:space="preserve">, R-square values for regressions of ventral intermediate nucleus unit firing rates on kinematic and error terms from 500 ms windows around Reach Starts (orange markers) or Reach Ends (green markers). Colors correspond to the time windows shown in </w:t>
      </w:r>
      <w:r w:rsidRPr="005373D4">
        <w:rPr>
          <w:rFonts w:ascii="Times New Roman" w:hAnsi="Times New Roman" w:cs="Times New Roman"/>
          <w:b/>
          <w:bCs/>
          <w:sz w:val="24"/>
          <w:szCs w:val="24"/>
        </w:rPr>
        <w:t>a</w:t>
      </w:r>
      <w:r w:rsidRPr="005373D4">
        <w:rPr>
          <w:rFonts w:ascii="Times New Roman" w:hAnsi="Times New Roman" w:cs="Times New Roman"/>
          <w:sz w:val="24"/>
          <w:szCs w:val="24"/>
        </w:rPr>
        <w:t xml:space="preserve">. Only those units with significant regression fits (R-square greater than 95% [α = 0.05, one-sided] of random expected R-squares generated by randomly shifting neural timestamps relative to kinematics 10,000 times) are displayed. N denotes the number of units with significant regression fits in each category. </w:t>
      </w:r>
      <w:r w:rsidRPr="005373D4">
        <w:rPr>
          <w:rFonts w:ascii="Times New Roman" w:hAnsi="Times New Roman" w:cs="Times New Roman"/>
          <w:b/>
          <w:bCs/>
          <w:sz w:val="24"/>
          <w:szCs w:val="24"/>
        </w:rPr>
        <w:t>c</w:t>
      </w:r>
      <w:r w:rsidRPr="005373D4">
        <w:rPr>
          <w:rFonts w:ascii="Times New Roman" w:hAnsi="Times New Roman" w:cs="Times New Roman"/>
          <w:sz w:val="24"/>
          <w:szCs w:val="24"/>
        </w:rPr>
        <w:t xml:space="preserve">, Same as in </w:t>
      </w:r>
      <w:r w:rsidRPr="005373D4">
        <w:rPr>
          <w:rFonts w:ascii="Times New Roman" w:hAnsi="Times New Roman" w:cs="Times New Roman"/>
          <w:b/>
          <w:bCs/>
          <w:sz w:val="24"/>
          <w:szCs w:val="24"/>
        </w:rPr>
        <w:t>b</w:t>
      </w:r>
      <w:r w:rsidRPr="005373D4">
        <w:rPr>
          <w:rFonts w:ascii="Times New Roman" w:hAnsi="Times New Roman" w:cs="Times New Roman"/>
          <w:sz w:val="24"/>
          <w:szCs w:val="24"/>
        </w:rPr>
        <w:t>, but with a regression fit significance threshold of α = 0.01.</w:t>
      </w:r>
    </w:p>
    <w:p w14:paraId="2C610118" w14:textId="77777777" w:rsidR="00AE1FA4" w:rsidRPr="001F299E" w:rsidRDefault="00AE1FA4" w:rsidP="00AE1FA4">
      <w:pPr>
        <w:spacing w:after="0" w:line="480" w:lineRule="auto"/>
        <w:rPr>
          <w:rFonts w:ascii="Times New Roman" w:hAnsi="Times New Roman" w:cs="Times New Roman"/>
          <w:sz w:val="24"/>
          <w:szCs w:val="24"/>
        </w:rPr>
      </w:pPr>
    </w:p>
    <w:p w14:paraId="2073CB10"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E3B3124" wp14:editId="0FD8E854">
            <wp:extent cx="5114925" cy="2085975"/>
            <wp:effectExtent l="0" t="0" r="9525" b="9525"/>
            <wp:docPr id="13393106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4925" cy="2085975"/>
                    </a:xfrm>
                    <a:prstGeom prst="rect">
                      <a:avLst/>
                    </a:prstGeom>
                    <a:noFill/>
                    <a:ln>
                      <a:noFill/>
                    </a:ln>
                  </pic:spPr>
                </pic:pic>
              </a:graphicData>
            </a:graphic>
          </wp:inline>
        </w:drawing>
      </w:r>
    </w:p>
    <w:p w14:paraId="1541FA62"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b/>
          <w:bCs/>
          <w:sz w:val="24"/>
          <w:szCs w:val="24"/>
        </w:rPr>
        <w:t>Extended Data Fig.</w:t>
      </w:r>
      <w:r w:rsidRPr="006A2A51">
        <w:rPr>
          <w:rFonts w:ascii="Times New Roman" w:hAnsi="Times New Roman" w:cs="Times New Roman"/>
          <w:b/>
          <w:bCs/>
          <w:sz w:val="24"/>
          <w:szCs w:val="24"/>
        </w:rPr>
        <w:t xml:space="preserve"> </w:t>
      </w:r>
      <w:r>
        <w:rPr>
          <w:rFonts w:ascii="Times New Roman" w:hAnsi="Times New Roman" w:cs="Times New Roman"/>
          <w:b/>
          <w:bCs/>
          <w:sz w:val="24"/>
          <w:szCs w:val="24"/>
        </w:rPr>
        <w:t>4</w:t>
      </w:r>
      <w:r w:rsidRPr="006A2A51">
        <w:rPr>
          <w:rFonts w:ascii="Times New Roman" w:hAnsi="Times New Roman" w:cs="Times New Roman"/>
          <w:b/>
          <w:bCs/>
          <w:sz w:val="24"/>
          <w:szCs w:val="24"/>
        </w:rPr>
        <w:t>: Peri-reach modulation and directional tuning durations.</w:t>
      </w:r>
      <w:r>
        <w:rPr>
          <w:rFonts w:ascii="Times New Roman" w:hAnsi="Times New Roman" w:cs="Times New Roman"/>
          <w:b/>
          <w:bCs/>
          <w:sz w:val="24"/>
          <w:szCs w:val="24"/>
        </w:rPr>
        <w:t xml:space="preserve"> </w:t>
      </w:r>
      <w:r w:rsidRPr="006A2A51">
        <w:rPr>
          <w:rFonts w:ascii="Times New Roman" w:hAnsi="Times New Roman" w:cs="Times New Roman"/>
          <w:b/>
          <w:bCs/>
          <w:sz w:val="24"/>
          <w:szCs w:val="24"/>
        </w:rPr>
        <w:t>a</w:t>
      </w:r>
      <w:r w:rsidRPr="006A2A51">
        <w:rPr>
          <w:rFonts w:ascii="Times New Roman" w:hAnsi="Times New Roman" w:cs="Times New Roman"/>
          <w:sz w:val="24"/>
          <w:szCs w:val="24"/>
        </w:rPr>
        <w:t xml:space="preserve">, </w:t>
      </w:r>
      <w:r>
        <w:rPr>
          <w:rFonts w:ascii="Times New Roman" w:hAnsi="Times New Roman" w:cs="Times New Roman"/>
          <w:sz w:val="24"/>
          <w:szCs w:val="24"/>
        </w:rPr>
        <w:t>T</w:t>
      </w:r>
      <w:r w:rsidRPr="006A2A51">
        <w:rPr>
          <w:rFonts w:ascii="Times New Roman" w:hAnsi="Times New Roman" w:cs="Times New Roman"/>
          <w:sz w:val="24"/>
          <w:szCs w:val="24"/>
        </w:rPr>
        <w:t>he proportion of units displaying significant peri-reach FR modulation at two different α</w:t>
      </w:r>
      <w:r>
        <w:rPr>
          <w:rFonts w:ascii="Times New Roman" w:hAnsi="Times New Roman" w:cs="Times New Roman"/>
          <w:sz w:val="24"/>
          <w:szCs w:val="24"/>
        </w:rPr>
        <w:t>-</w:t>
      </w:r>
      <w:r w:rsidRPr="006A2A51">
        <w:rPr>
          <w:rFonts w:ascii="Times New Roman" w:hAnsi="Times New Roman" w:cs="Times New Roman"/>
          <w:sz w:val="24"/>
          <w:szCs w:val="24"/>
        </w:rPr>
        <w:t xml:space="preserve">levels when altering the required minimum duration of significant modulation periods. The marker denotes the level selected for analysis </w:t>
      </w:r>
      <w:r>
        <w:rPr>
          <w:rFonts w:ascii="Times New Roman" w:hAnsi="Times New Roman" w:cs="Times New Roman"/>
          <w:sz w:val="24"/>
          <w:szCs w:val="24"/>
        </w:rPr>
        <w:t xml:space="preserve">and display </w:t>
      </w:r>
      <w:r w:rsidRPr="006A2A51">
        <w:rPr>
          <w:rFonts w:ascii="Times New Roman" w:hAnsi="Times New Roman" w:cs="Times New Roman"/>
          <w:sz w:val="24"/>
          <w:szCs w:val="24"/>
        </w:rPr>
        <w:t>in the main text (Fig. 3), for which units were required to sustain significant FR modulation for at least 50</w:t>
      </w:r>
      <w:r>
        <w:rPr>
          <w:rFonts w:ascii="Times New Roman" w:hAnsi="Times New Roman" w:cs="Times New Roman"/>
          <w:sz w:val="24"/>
          <w:szCs w:val="24"/>
        </w:rPr>
        <w:t xml:space="preserve"> </w:t>
      </w:r>
      <w:r w:rsidRPr="006A2A51">
        <w:rPr>
          <w:rFonts w:ascii="Times New Roman" w:hAnsi="Times New Roman" w:cs="Times New Roman"/>
          <w:sz w:val="24"/>
          <w:szCs w:val="24"/>
        </w:rPr>
        <w:t xml:space="preserve">ms to be considered a peri-reach modulated unit. </w:t>
      </w:r>
      <w:r w:rsidRPr="006A2A51">
        <w:rPr>
          <w:rFonts w:ascii="Times New Roman" w:hAnsi="Times New Roman" w:cs="Times New Roman"/>
          <w:b/>
          <w:bCs/>
          <w:sz w:val="24"/>
          <w:szCs w:val="24"/>
        </w:rPr>
        <w:t>b</w:t>
      </w:r>
      <w:r w:rsidRPr="006A2A51">
        <w:rPr>
          <w:rFonts w:ascii="Times New Roman" w:hAnsi="Times New Roman" w:cs="Times New Roman"/>
          <w:sz w:val="24"/>
          <w:szCs w:val="24"/>
        </w:rPr>
        <w:t xml:space="preserve">, </w:t>
      </w:r>
      <w:r>
        <w:rPr>
          <w:rFonts w:ascii="Times New Roman" w:hAnsi="Times New Roman" w:cs="Times New Roman"/>
          <w:sz w:val="24"/>
          <w:szCs w:val="24"/>
        </w:rPr>
        <w:t>S</w:t>
      </w:r>
      <w:r w:rsidRPr="006A2A51">
        <w:rPr>
          <w:rFonts w:ascii="Times New Roman" w:hAnsi="Times New Roman" w:cs="Times New Roman"/>
          <w:sz w:val="24"/>
          <w:szCs w:val="24"/>
        </w:rPr>
        <w:t xml:space="preserve">ame as in </w:t>
      </w:r>
      <w:r w:rsidRPr="006A2A51">
        <w:rPr>
          <w:rFonts w:ascii="Times New Roman" w:hAnsi="Times New Roman" w:cs="Times New Roman"/>
          <w:b/>
          <w:bCs/>
          <w:sz w:val="24"/>
          <w:szCs w:val="24"/>
        </w:rPr>
        <w:t>a</w:t>
      </w:r>
      <w:r w:rsidRPr="006A2A51">
        <w:rPr>
          <w:rFonts w:ascii="Times New Roman" w:hAnsi="Times New Roman" w:cs="Times New Roman"/>
          <w:sz w:val="24"/>
          <w:szCs w:val="24"/>
        </w:rPr>
        <w:t>, but displaying the proportion of directionally tuned units at differing α levels and minimum significance durations. The markers coincide with the levels selected for display in the main text (Fig. 4).</w:t>
      </w:r>
    </w:p>
    <w:p w14:paraId="1F2F45B7" w14:textId="77777777" w:rsidR="00AE1FA4" w:rsidRDefault="00AE1FA4" w:rsidP="00AE1FA4">
      <w:pPr>
        <w:spacing w:after="0" w:line="480" w:lineRule="auto"/>
        <w:rPr>
          <w:rFonts w:ascii="Times New Roman" w:hAnsi="Times New Roman" w:cs="Times New Roman"/>
          <w:sz w:val="24"/>
          <w:szCs w:val="24"/>
        </w:rPr>
      </w:pPr>
    </w:p>
    <w:p w14:paraId="73923539" w14:textId="77777777" w:rsidR="00AE1FA4" w:rsidRPr="006A2A51" w:rsidRDefault="00AE1FA4" w:rsidP="00AE1FA4">
      <w:pPr>
        <w:spacing w:after="0"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F55A57A" wp14:editId="63B9ED52">
            <wp:extent cx="5943600" cy="5448300"/>
            <wp:effectExtent l="0" t="0" r="0" b="0"/>
            <wp:docPr id="22636341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448300"/>
                    </a:xfrm>
                    <a:prstGeom prst="rect">
                      <a:avLst/>
                    </a:prstGeom>
                    <a:noFill/>
                    <a:ln>
                      <a:noFill/>
                    </a:ln>
                  </pic:spPr>
                </pic:pic>
              </a:graphicData>
            </a:graphic>
          </wp:inline>
        </w:drawing>
      </w:r>
    </w:p>
    <w:p w14:paraId="4B10D14E" w14:textId="77777777" w:rsidR="00AE1FA4" w:rsidRPr="00743790" w:rsidRDefault="00AE1FA4" w:rsidP="00AE1FA4">
      <w:pPr>
        <w:spacing w:after="0" w:line="480" w:lineRule="auto"/>
        <w:rPr>
          <w:rFonts w:ascii="Times New Roman" w:hAnsi="Times New Roman" w:cs="Times New Roman"/>
          <w:sz w:val="24"/>
          <w:szCs w:val="24"/>
        </w:rPr>
      </w:pPr>
      <w:r>
        <w:rPr>
          <w:rFonts w:ascii="Times New Roman" w:hAnsi="Times New Roman" w:cs="Times New Roman"/>
          <w:b/>
          <w:bCs/>
          <w:sz w:val="24"/>
          <w:szCs w:val="24"/>
        </w:rPr>
        <w:t>Extended Data Fig.</w:t>
      </w:r>
      <w:r w:rsidRPr="006A2A51">
        <w:rPr>
          <w:rFonts w:ascii="Times New Roman" w:hAnsi="Times New Roman" w:cs="Times New Roman"/>
          <w:b/>
          <w:bCs/>
          <w:sz w:val="24"/>
          <w:szCs w:val="24"/>
        </w:rPr>
        <w:t xml:space="preserve"> </w:t>
      </w:r>
      <w:r>
        <w:rPr>
          <w:rFonts w:ascii="Times New Roman" w:hAnsi="Times New Roman" w:cs="Times New Roman"/>
          <w:b/>
          <w:bCs/>
          <w:sz w:val="24"/>
          <w:szCs w:val="24"/>
        </w:rPr>
        <w:t>5</w:t>
      </w:r>
      <w:r w:rsidRPr="006A2A51">
        <w:rPr>
          <w:rFonts w:ascii="Times New Roman" w:hAnsi="Times New Roman" w:cs="Times New Roman"/>
          <w:b/>
          <w:bCs/>
          <w:sz w:val="24"/>
          <w:szCs w:val="24"/>
        </w:rPr>
        <w:t>: Recording locations of units with significant movement-related activity.</w:t>
      </w:r>
      <w:r>
        <w:rPr>
          <w:rFonts w:ascii="Times New Roman" w:hAnsi="Times New Roman" w:cs="Times New Roman"/>
          <w:b/>
          <w:bCs/>
          <w:sz w:val="24"/>
          <w:szCs w:val="24"/>
        </w:rPr>
        <w:t xml:space="preserve"> </w:t>
      </w:r>
      <w:r w:rsidRPr="006A2A51">
        <w:rPr>
          <w:rFonts w:ascii="Times New Roman" w:hAnsi="Times New Roman" w:cs="Times New Roman"/>
          <w:b/>
          <w:bCs/>
          <w:sz w:val="24"/>
          <w:szCs w:val="24"/>
        </w:rPr>
        <w:t>a</w:t>
      </w:r>
      <w:r w:rsidRPr="006A2A51">
        <w:rPr>
          <w:rFonts w:ascii="Times New Roman" w:hAnsi="Times New Roman" w:cs="Times New Roman"/>
          <w:sz w:val="24"/>
          <w:szCs w:val="24"/>
        </w:rPr>
        <w:t xml:space="preserve">, </w:t>
      </w:r>
      <w:r>
        <w:rPr>
          <w:rFonts w:ascii="Times New Roman" w:hAnsi="Times New Roman" w:cs="Times New Roman"/>
          <w:sz w:val="24"/>
          <w:szCs w:val="24"/>
        </w:rPr>
        <w:t>R</w:t>
      </w:r>
      <w:r w:rsidRPr="006A2A51">
        <w:rPr>
          <w:rFonts w:ascii="Times New Roman" w:hAnsi="Times New Roman" w:cs="Times New Roman"/>
          <w:sz w:val="24"/>
          <w:szCs w:val="24"/>
        </w:rPr>
        <w:t>ecording depths and</w:t>
      </w:r>
      <w:r>
        <w:rPr>
          <w:rFonts w:ascii="Times New Roman" w:hAnsi="Times New Roman" w:cs="Times New Roman"/>
          <w:sz w:val="24"/>
          <w:szCs w:val="24"/>
        </w:rPr>
        <w:t xml:space="preserve"> electrode tracks</w:t>
      </w:r>
      <w:r w:rsidRPr="006A2A51">
        <w:rPr>
          <w:rFonts w:ascii="Times New Roman" w:hAnsi="Times New Roman" w:cs="Times New Roman"/>
          <w:sz w:val="24"/>
          <w:szCs w:val="24"/>
        </w:rPr>
        <w:t xml:space="preserve"> </w:t>
      </w:r>
      <w:r>
        <w:rPr>
          <w:rFonts w:ascii="Times New Roman" w:hAnsi="Times New Roman" w:cs="Times New Roman"/>
          <w:sz w:val="24"/>
          <w:szCs w:val="24"/>
        </w:rPr>
        <w:t>for</w:t>
      </w:r>
      <w:r w:rsidRPr="006A2A51">
        <w:rPr>
          <w:rFonts w:ascii="Times New Roman" w:hAnsi="Times New Roman" w:cs="Times New Roman"/>
          <w:sz w:val="24"/>
          <w:szCs w:val="24"/>
        </w:rPr>
        <w:t xml:space="preserve"> units which displayed significant peri-reach FR modulation (red), compared with those which</w:t>
      </w:r>
      <w:r>
        <w:rPr>
          <w:rFonts w:ascii="Times New Roman" w:hAnsi="Times New Roman" w:cs="Times New Roman"/>
          <w:sz w:val="24"/>
          <w:szCs w:val="24"/>
        </w:rPr>
        <w:t xml:space="preserve"> </w:t>
      </w:r>
      <w:r w:rsidRPr="006A2A51">
        <w:rPr>
          <w:rFonts w:ascii="Times New Roman" w:hAnsi="Times New Roman" w:cs="Times New Roman"/>
          <w:sz w:val="24"/>
          <w:szCs w:val="24"/>
        </w:rPr>
        <w:t xml:space="preserve">were not peri-reach modulated (black). Unit locations are shown separately for each electrode track location (ant: anterior, ctr: center, post: posterior, med: medial) as well as for all tracks combined. Horizontal thickened bars denote median depths. </w:t>
      </w:r>
      <w:r w:rsidRPr="006A2A51">
        <w:rPr>
          <w:rFonts w:ascii="Times New Roman" w:hAnsi="Times New Roman" w:cs="Times New Roman"/>
          <w:b/>
          <w:bCs/>
          <w:sz w:val="24"/>
          <w:szCs w:val="24"/>
        </w:rPr>
        <w:t>b</w:t>
      </w:r>
      <w:r w:rsidRPr="006A2A51">
        <w:rPr>
          <w:rFonts w:ascii="Times New Roman" w:hAnsi="Times New Roman" w:cs="Times New Roman"/>
          <w:sz w:val="24"/>
          <w:szCs w:val="24"/>
        </w:rPr>
        <w:t xml:space="preserve">, </w:t>
      </w:r>
      <w:r>
        <w:rPr>
          <w:rFonts w:ascii="Times New Roman" w:hAnsi="Times New Roman" w:cs="Times New Roman"/>
          <w:sz w:val="24"/>
          <w:szCs w:val="24"/>
        </w:rPr>
        <w:t>T</w:t>
      </w:r>
      <w:r w:rsidRPr="006A2A51">
        <w:rPr>
          <w:rFonts w:ascii="Times New Roman" w:hAnsi="Times New Roman" w:cs="Times New Roman"/>
          <w:sz w:val="24"/>
          <w:szCs w:val="24"/>
        </w:rPr>
        <w:t>he proportion of units recorded in each electrode track which displayed significant peri-reach FR modulation, along with the overall proportion of units displaying peri-</w:t>
      </w:r>
      <w:r w:rsidRPr="006A2A51">
        <w:rPr>
          <w:rFonts w:ascii="Times New Roman" w:hAnsi="Times New Roman" w:cs="Times New Roman"/>
          <w:sz w:val="24"/>
          <w:szCs w:val="24"/>
        </w:rPr>
        <w:lastRenderedPageBreak/>
        <w:t>reach modulation (</w:t>
      </w:r>
      <w:r>
        <w:rPr>
          <w:rFonts w:ascii="Times New Roman" w:hAnsi="Times New Roman" w:cs="Times New Roman"/>
          <w:sz w:val="24"/>
          <w:szCs w:val="24"/>
        </w:rPr>
        <w:t xml:space="preserve">red </w:t>
      </w:r>
      <w:r w:rsidRPr="006A2A51">
        <w:rPr>
          <w:rFonts w:ascii="Times New Roman" w:hAnsi="Times New Roman" w:cs="Times New Roman"/>
          <w:sz w:val="24"/>
          <w:szCs w:val="24"/>
        </w:rPr>
        <w:t xml:space="preserve">dashed line). </w:t>
      </w:r>
      <w:r w:rsidRPr="006A2A51">
        <w:rPr>
          <w:rFonts w:ascii="Times New Roman" w:hAnsi="Times New Roman" w:cs="Times New Roman"/>
          <w:b/>
          <w:bCs/>
          <w:sz w:val="24"/>
          <w:szCs w:val="24"/>
        </w:rPr>
        <w:t xml:space="preserve">c </w:t>
      </w:r>
      <w:r w:rsidRPr="006A2A51">
        <w:rPr>
          <w:rFonts w:ascii="Times New Roman" w:hAnsi="Times New Roman" w:cs="Times New Roman"/>
          <w:sz w:val="24"/>
          <w:szCs w:val="24"/>
        </w:rPr>
        <w:t xml:space="preserve">and </w:t>
      </w:r>
      <w:r w:rsidRPr="006A2A51">
        <w:rPr>
          <w:rFonts w:ascii="Times New Roman" w:hAnsi="Times New Roman" w:cs="Times New Roman"/>
          <w:b/>
          <w:bCs/>
          <w:sz w:val="24"/>
          <w:szCs w:val="24"/>
        </w:rPr>
        <w:t xml:space="preserve">d¸ </w:t>
      </w:r>
      <w:r>
        <w:rPr>
          <w:rFonts w:ascii="Times New Roman" w:hAnsi="Times New Roman" w:cs="Times New Roman"/>
          <w:sz w:val="24"/>
          <w:szCs w:val="24"/>
        </w:rPr>
        <w:t>S</w:t>
      </w:r>
      <w:r w:rsidRPr="006A2A51">
        <w:rPr>
          <w:rFonts w:ascii="Times New Roman" w:hAnsi="Times New Roman" w:cs="Times New Roman"/>
          <w:sz w:val="24"/>
          <w:szCs w:val="24"/>
        </w:rPr>
        <w:t xml:space="preserve">ame as in </w:t>
      </w:r>
      <w:r w:rsidRPr="006A2A51">
        <w:rPr>
          <w:rFonts w:ascii="Times New Roman" w:hAnsi="Times New Roman" w:cs="Times New Roman"/>
          <w:b/>
          <w:bCs/>
          <w:sz w:val="24"/>
          <w:szCs w:val="24"/>
        </w:rPr>
        <w:t>a</w:t>
      </w:r>
      <w:r w:rsidRPr="006A2A51">
        <w:rPr>
          <w:rFonts w:ascii="Times New Roman" w:hAnsi="Times New Roman" w:cs="Times New Roman"/>
          <w:sz w:val="24"/>
          <w:szCs w:val="24"/>
        </w:rPr>
        <w:t xml:space="preserve"> and </w:t>
      </w:r>
      <w:r w:rsidRPr="006A2A51">
        <w:rPr>
          <w:rFonts w:ascii="Times New Roman" w:hAnsi="Times New Roman" w:cs="Times New Roman"/>
          <w:b/>
          <w:bCs/>
          <w:sz w:val="24"/>
          <w:szCs w:val="24"/>
        </w:rPr>
        <w:t>b</w:t>
      </w:r>
      <w:r w:rsidRPr="006A2A51">
        <w:rPr>
          <w:rFonts w:ascii="Times New Roman" w:hAnsi="Times New Roman" w:cs="Times New Roman"/>
          <w:sz w:val="24"/>
          <w:szCs w:val="24"/>
        </w:rPr>
        <w:t xml:space="preserve">, but displaying the location and proportion of units that were significantly tuned to direction. </w:t>
      </w:r>
      <w:r w:rsidRPr="006A2A51">
        <w:rPr>
          <w:rFonts w:ascii="Times New Roman" w:hAnsi="Times New Roman" w:cs="Times New Roman"/>
          <w:b/>
          <w:bCs/>
          <w:sz w:val="24"/>
          <w:szCs w:val="24"/>
        </w:rPr>
        <w:t xml:space="preserve">e </w:t>
      </w:r>
      <w:r w:rsidRPr="006A2A51">
        <w:rPr>
          <w:rFonts w:ascii="Times New Roman" w:hAnsi="Times New Roman" w:cs="Times New Roman"/>
          <w:sz w:val="24"/>
          <w:szCs w:val="24"/>
        </w:rPr>
        <w:t xml:space="preserve">and </w:t>
      </w:r>
      <w:r w:rsidRPr="006A2A51">
        <w:rPr>
          <w:rFonts w:ascii="Times New Roman" w:hAnsi="Times New Roman" w:cs="Times New Roman"/>
          <w:b/>
          <w:bCs/>
          <w:sz w:val="24"/>
          <w:szCs w:val="24"/>
        </w:rPr>
        <w:t xml:space="preserve">f¸ </w:t>
      </w:r>
      <w:r>
        <w:rPr>
          <w:rFonts w:ascii="Times New Roman" w:hAnsi="Times New Roman" w:cs="Times New Roman"/>
          <w:sz w:val="24"/>
          <w:szCs w:val="24"/>
        </w:rPr>
        <w:t>S</w:t>
      </w:r>
      <w:r w:rsidRPr="006A2A51">
        <w:rPr>
          <w:rFonts w:ascii="Times New Roman" w:hAnsi="Times New Roman" w:cs="Times New Roman"/>
          <w:sz w:val="24"/>
          <w:szCs w:val="24"/>
        </w:rPr>
        <w:t xml:space="preserve">ame as in </w:t>
      </w:r>
      <w:r w:rsidRPr="006A2A51">
        <w:rPr>
          <w:rFonts w:ascii="Times New Roman" w:hAnsi="Times New Roman" w:cs="Times New Roman"/>
          <w:b/>
          <w:bCs/>
          <w:sz w:val="24"/>
          <w:szCs w:val="24"/>
        </w:rPr>
        <w:t>a</w:t>
      </w:r>
      <w:r w:rsidRPr="006A2A51">
        <w:rPr>
          <w:rFonts w:ascii="Times New Roman" w:hAnsi="Times New Roman" w:cs="Times New Roman"/>
          <w:sz w:val="24"/>
          <w:szCs w:val="24"/>
        </w:rPr>
        <w:t xml:space="preserve"> and </w:t>
      </w:r>
      <w:r w:rsidRPr="006A2A51">
        <w:rPr>
          <w:rFonts w:ascii="Times New Roman" w:hAnsi="Times New Roman" w:cs="Times New Roman"/>
          <w:b/>
          <w:bCs/>
          <w:sz w:val="24"/>
          <w:szCs w:val="24"/>
        </w:rPr>
        <w:t>b</w:t>
      </w:r>
      <w:r w:rsidRPr="006A2A51">
        <w:rPr>
          <w:rFonts w:ascii="Times New Roman" w:hAnsi="Times New Roman" w:cs="Times New Roman"/>
          <w:sz w:val="24"/>
          <w:szCs w:val="24"/>
        </w:rPr>
        <w:t xml:space="preserve">, but displaying the location and proportion of units that significantly encoded kinematics. In </w:t>
      </w:r>
      <w:r w:rsidRPr="006A2A51">
        <w:rPr>
          <w:rFonts w:ascii="Times New Roman" w:hAnsi="Times New Roman" w:cs="Times New Roman"/>
          <w:b/>
          <w:bCs/>
          <w:sz w:val="24"/>
          <w:szCs w:val="24"/>
        </w:rPr>
        <w:t xml:space="preserve">a, c </w:t>
      </w:r>
      <w:r w:rsidRPr="006A2A51">
        <w:rPr>
          <w:rFonts w:ascii="Times New Roman" w:hAnsi="Times New Roman" w:cs="Times New Roman"/>
          <w:sz w:val="24"/>
          <w:szCs w:val="24"/>
        </w:rPr>
        <w:t xml:space="preserve">and </w:t>
      </w:r>
      <w:r w:rsidRPr="006A2A51">
        <w:rPr>
          <w:rFonts w:ascii="Times New Roman" w:hAnsi="Times New Roman" w:cs="Times New Roman"/>
          <w:b/>
          <w:bCs/>
          <w:sz w:val="24"/>
          <w:szCs w:val="24"/>
        </w:rPr>
        <w:t>e</w:t>
      </w:r>
      <w:r w:rsidRPr="006A2A51">
        <w:rPr>
          <w:rFonts w:ascii="Times New Roman" w:hAnsi="Times New Roman" w:cs="Times New Roman"/>
          <w:sz w:val="24"/>
          <w:szCs w:val="24"/>
        </w:rPr>
        <w:t xml:space="preserve">, medians depths for significant units and non-significant units were compared using Wilcoxon Rank Sum tests (two-sided, α = 0.05). In </w:t>
      </w:r>
      <w:r w:rsidRPr="006A2A51">
        <w:rPr>
          <w:rFonts w:ascii="Times New Roman" w:hAnsi="Times New Roman" w:cs="Times New Roman"/>
          <w:b/>
          <w:bCs/>
          <w:sz w:val="24"/>
          <w:szCs w:val="24"/>
        </w:rPr>
        <w:t>b</w:t>
      </w:r>
      <w:r w:rsidRPr="006A2A51">
        <w:rPr>
          <w:rFonts w:ascii="Times New Roman" w:hAnsi="Times New Roman" w:cs="Times New Roman"/>
          <w:sz w:val="24"/>
          <w:szCs w:val="24"/>
        </w:rPr>
        <w:t xml:space="preserve">, </w:t>
      </w:r>
      <w:r w:rsidRPr="006A2A51">
        <w:rPr>
          <w:rFonts w:ascii="Times New Roman" w:hAnsi="Times New Roman" w:cs="Times New Roman"/>
          <w:b/>
          <w:bCs/>
          <w:sz w:val="24"/>
          <w:szCs w:val="24"/>
        </w:rPr>
        <w:t>d</w:t>
      </w:r>
      <w:r w:rsidRPr="006A2A51">
        <w:rPr>
          <w:rFonts w:ascii="Times New Roman" w:hAnsi="Times New Roman" w:cs="Times New Roman"/>
          <w:sz w:val="24"/>
          <w:szCs w:val="24"/>
        </w:rPr>
        <w:t xml:space="preserve">, and </w:t>
      </w:r>
      <w:r w:rsidRPr="006A2A51">
        <w:rPr>
          <w:rFonts w:ascii="Times New Roman" w:hAnsi="Times New Roman" w:cs="Times New Roman"/>
          <w:b/>
          <w:bCs/>
          <w:sz w:val="24"/>
          <w:szCs w:val="24"/>
        </w:rPr>
        <w:t>f</w:t>
      </w:r>
      <w:r w:rsidRPr="006A2A51">
        <w:rPr>
          <w:rFonts w:ascii="Times New Roman" w:hAnsi="Times New Roman" w:cs="Times New Roman"/>
          <w:sz w:val="24"/>
          <w:szCs w:val="24"/>
        </w:rPr>
        <w:t xml:space="preserve">, proportions on all pairs of tracks were compared using a chi-square test (α = 0.05). </w:t>
      </w:r>
      <w:r>
        <w:rPr>
          <w:rFonts w:ascii="Times New Roman" w:hAnsi="Times New Roman" w:cs="Times New Roman"/>
          <w:sz w:val="24"/>
          <w:szCs w:val="24"/>
        </w:rPr>
        <w:t>No significant effects of depth or electrode track location were observed on the likelihood of recording units with significant movement-related activity.</w:t>
      </w:r>
    </w:p>
    <w:p w14:paraId="1EDD729F" w14:textId="77777777" w:rsidR="0038214D" w:rsidRDefault="0038214D"/>
    <w:sectPr w:rsidR="0038214D" w:rsidSect="00AE1FA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FA4"/>
    <w:rsid w:val="00235F39"/>
    <w:rsid w:val="0038214D"/>
    <w:rsid w:val="00AD7A41"/>
    <w:rsid w:val="00AE1FA4"/>
    <w:rsid w:val="00AE732B"/>
    <w:rsid w:val="00CB4717"/>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0DBDC"/>
  <w15:chartTrackingRefBased/>
  <w15:docId w15:val="{880CEB97-ACC7-44FD-B31E-9322C589F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FA4"/>
    <w:pPr>
      <w:spacing w:line="259" w:lineRule="auto"/>
    </w:pPr>
    <w:rPr>
      <w:kern w:val="0"/>
      <w:sz w:val="22"/>
      <w:szCs w:val="22"/>
      <w14:ligatures w14:val="none"/>
    </w:rPr>
  </w:style>
  <w:style w:type="paragraph" w:styleId="Heading1">
    <w:name w:val="heading 1"/>
    <w:basedOn w:val="Normal"/>
    <w:next w:val="Normal"/>
    <w:link w:val="Heading1Char"/>
    <w:uiPriority w:val="9"/>
    <w:qFormat/>
    <w:rsid w:val="00AE1FA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E1FA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E1FA4"/>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E1FA4"/>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AE1FA4"/>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AE1FA4"/>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AE1FA4"/>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AE1FA4"/>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AE1FA4"/>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1F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1F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1F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1F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1F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1F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1F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1F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1FA4"/>
    <w:rPr>
      <w:rFonts w:eastAsiaTheme="majorEastAsia" w:cstheme="majorBidi"/>
      <w:color w:val="272727" w:themeColor="text1" w:themeTint="D8"/>
    </w:rPr>
  </w:style>
  <w:style w:type="paragraph" w:styleId="Title">
    <w:name w:val="Title"/>
    <w:basedOn w:val="Normal"/>
    <w:next w:val="Normal"/>
    <w:link w:val="TitleChar"/>
    <w:uiPriority w:val="10"/>
    <w:qFormat/>
    <w:rsid w:val="00AE1FA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E1F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1FA4"/>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E1F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1FA4"/>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AE1FA4"/>
    <w:rPr>
      <w:i/>
      <w:iCs/>
      <w:color w:val="404040" w:themeColor="text1" w:themeTint="BF"/>
    </w:rPr>
  </w:style>
  <w:style w:type="paragraph" w:styleId="ListParagraph">
    <w:name w:val="List Paragraph"/>
    <w:basedOn w:val="Normal"/>
    <w:uiPriority w:val="34"/>
    <w:qFormat/>
    <w:rsid w:val="00AE1FA4"/>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AE1FA4"/>
    <w:rPr>
      <w:i/>
      <w:iCs/>
      <w:color w:val="0F4761" w:themeColor="accent1" w:themeShade="BF"/>
    </w:rPr>
  </w:style>
  <w:style w:type="paragraph" w:styleId="IntenseQuote">
    <w:name w:val="Intense Quote"/>
    <w:basedOn w:val="Normal"/>
    <w:next w:val="Normal"/>
    <w:link w:val="IntenseQuoteChar"/>
    <w:uiPriority w:val="30"/>
    <w:qFormat/>
    <w:rsid w:val="00AE1FA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AE1FA4"/>
    <w:rPr>
      <w:i/>
      <w:iCs/>
      <w:color w:val="0F4761" w:themeColor="accent1" w:themeShade="BF"/>
    </w:rPr>
  </w:style>
  <w:style w:type="character" w:styleId="IntenseReference">
    <w:name w:val="Intense Reference"/>
    <w:basedOn w:val="DefaultParagraphFont"/>
    <w:uiPriority w:val="32"/>
    <w:qFormat/>
    <w:rsid w:val="00AE1FA4"/>
    <w:rPr>
      <w:b/>
      <w:bCs/>
      <w:smallCaps/>
      <w:color w:val="0F4761" w:themeColor="accent1" w:themeShade="BF"/>
      <w:spacing w:val="5"/>
    </w:rPr>
  </w:style>
  <w:style w:type="character" w:styleId="LineNumber">
    <w:name w:val="line number"/>
    <w:basedOn w:val="DefaultParagraphFont"/>
    <w:uiPriority w:val="99"/>
    <w:semiHidden/>
    <w:unhideWhenUsed/>
    <w:rsid w:val="00AE1F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641</Words>
  <Characters>3660</Characters>
  <Application>Microsoft Office Word</Application>
  <DocSecurity>0</DocSecurity>
  <Lines>30</Lines>
  <Paragraphs>8</Paragraphs>
  <ScaleCrop>false</ScaleCrop>
  <Company>Springer Nature</Company>
  <LinksUpToDate>false</LinksUpToDate>
  <CharactersWithSpaces>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2025-03-25T10:55:00Z</dcterms:created>
  <dcterms:modified xsi:type="dcterms:W3CDTF">2025-03-25T10:56:00Z</dcterms:modified>
</cp:coreProperties>
</file>