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630B20" w14:textId="77777777" w:rsidR="00593B34" w:rsidRPr="00197CFB" w:rsidRDefault="00593B34" w:rsidP="00593B3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97CFB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2A526A9C" wp14:editId="36D0A788">
            <wp:extent cx="5935980" cy="3634740"/>
            <wp:effectExtent l="0" t="0" r="762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63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EADE8" w14:textId="77777777" w:rsidR="00593B34" w:rsidRPr="005D13E1" w:rsidRDefault="00593B34" w:rsidP="00593B3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97CF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 1. </w:t>
      </w:r>
      <w:r w:rsidRPr="00197CFB">
        <w:rPr>
          <w:rFonts w:ascii="Times New Roman" w:hAnsi="Times New Roman" w:cs="Times New Roman"/>
          <w:color w:val="000000" w:themeColor="text1"/>
          <w:sz w:val="24"/>
          <w:szCs w:val="24"/>
        </w:rPr>
        <w:t>The survival distribution is plotted as KM curves using each of the proposed biomarkers as a risk factor. The comparison groups are given as patients clustered into solid-dominant (SD) and non-solid dominant (NSD) tumor groups.</w:t>
      </w:r>
    </w:p>
    <w:p w14:paraId="42E719C9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B34"/>
    <w:rsid w:val="00593B3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41C00"/>
  <w15:chartTrackingRefBased/>
  <w15:docId w15:val="{081C97AA-42C6-4F71-8757-6744B7CEE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B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2020-08-25T16:46:00Z</dcterms:created>
  <dcterms:modified xsi:type="dcterms:W3CDTF">2020-08-25T16:46:00Z</dcterms:modified>
</cp:coreProperties>
</file>