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2EDC5" w14:textId="77777777" w:rsidR="00185BC8" w:rsidRDefault="00185BC8" w:rsidP="00185BC8">
      <w:pPr>
        <w:spacing w:line="480" w:lineRule="auto"/>
        <w:jc w:val="left"/>
        <w:rPr>
          <w:rFonts w:ascii="Arial" w:hAnsi="Arial" w:cs="Arial"/>
          <w:b/>
          <w:bCs/>
          <w:sz w:val="24"/>
          <w:szCs w:val="24"/>
        </w:rPr>
      </w:pPr>
      <w:bookmarkStart w:id="0" w:name="_Hlk165305399"/>
      <w:r w:rsidRPr="00971B5E">
        <w:rPr>
          <w:rFonts w:ascii="Arial" w:hAnsi="Arial" w:cs="Arial" w:hint="eastAsia"/>
          <w:b/>
          <w:bCs/>
          <w:sz w:val="24"/>
          <w:szCs w:val="24"/>
        </w:rPr>
        <w:t>Supplementary information</w:t>
      </w:r>
    </w:p>
    <w:p w14:paraId="18B88898" w14:textId="77777777" w:rsidR="00185BC8" w:rsidRPr="0025797B" w:rsidRDefault="00185BC8" w:rsidP="00185BC8">
      <w:pPr>
        <w:spacing w:line="480" w:lineRule="auto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bookmarkEnd w:id="0"/>
    <w:p w14:paraId="17A98021" w14:textId="77777777" w:rsidR="00C60F85" w:rsidRPr="009F6E54" w:rsidRDefault="00C60F85" w:rsidP="00C60F85">
      <w:pPr>
        <w:widowControl/>
        <w:snapToGrid w:val="0"/>
        <w:spacing w:line="360" w:lineRule="auto"/>
        <w:ind w:rightChars="-100" w:right="-210"/>
        <w:jc w:val="center"/>
        <w:rPr>
          <w:rFonts w:ascii="Times New Roman" w:hAnsi="Times New Roman"/>
          <w:b/>
          <w:bCs/>
          <w:color w:val="0D0D0D"/>
          <w:kern w:val="0"/>
          <w:sz w:val="28"/>
          <w:szCs w:val="28"/>
        </w:rPr>
      </w:pPr>
      <w:r>
        <w:rPr>
          <w:rFonts w:ascii="Times New Roman" w:hAnsi="Times New Roman" w:hint="eastAsia"/>
          <w:b/>
          <w:bCs/>
          <w:color w:val="0D0D0D"/>
          <w:kern w:val="0"/>
          <w:sz w:val="28"/>
          <w:szCs w:val="28"/>
        </w:rPr>
        <w:t>Cross-species comparison</w:t>
      </w:r>
      <w:r w:rsidRPr="009F6E54">
        <w:rPr>
          <w:rFonts w:ascii="Times New Roman" w:eastAsia="AdvOT17d99a6a . B" w:hAnsi="Times New Roman"/>
          <w:b/>
          <w:bCs/>
          <w:color w:val="0D0D0D"/>
          <w:kern w:val="0"/>
          <w:sz w:val="28"/>
          <w:szCs w:val="28"/>
        </w:rPr>
        <w:t xml:space="preserve"> of single-cell landscapes reveal</w:t>
      </w:r>
      <w:r w:rsidRPr="009F6E54">
        <w:rPr>
          <w:rFonts w:ascii="Times New Roman" w:eastAsia="AdvOT17d99a6a . B" w:hAnsi="Times New Roman"/>
          <w:b/>
          <w:bCs/>
          <w:color w:val="0D0D0D"/>
          <w:kern w:val="0"/>
          <w:sz w:val="28"/>
          <w:szCs w:val="28"/>
          <w:lang w:eastAsia="zh"/>
        </w:rPr>
        <w:t>s</w:t>
      </w:r>
      <w:r w:rsidRPr="009F6E54">
        <w:rPr>
          <w:rFonts w:ascii="Times New Roman" w:hAnsi="Times New Roman" w:hint="eastAsia"/>
          <w:b/>
          <w:bCs/>
          <w:color w:val="0D0D0D"/>
          <w:kern w:val="0"/>
          <w:sz w:val="28"/>
          <w:szCs w:val="28"/>
        </w:rPr>
        <w:t xml:space="preserve"> </w:t>
      </w:r>
      <w:r w:rsidRPr="009F6E54">
        <w:rPr>
          <w:rFonts w:ascii="Times New Roman" w:eastAsia="AdvOT17d99a6a . B" w:hAnsi="Times New Roman"/>
          <w:b/>
          <w:bCs/>
          <w:color w:val="0D0D0D"/>
          <w:kern w:val="0"/>
          <w:sz w:val="28"/>
          <w:szCs w:val="28"/>
        </w:rPr>
        <w:t>conservation and innovati</w:t>
      </w:r>
      <w:r w:rsidRPr="009F6E54">
        <w:rPr>
          <w:rFonts w:ascii="Times New Roman" w:eastAsia="宋体" w:hAnsi="Times New Roman"/>
          <w:b/>
          <w:bCs/>
          <w:color w:val="0D0D0D"/>
          <w:kern w:val="0"/>
          <w:sz w:val="28"/>
          <w:szCs w:val="28"/>
        </w:rPr>
        <w:t>on</w:t>
      </w:r>
      <w:r w:rsidRPr="009F6E54">
        <w:rPr>
          <w:rFonts w:ascii="Times New Roman" w:eastAsia="AdvOT17d99a6a . B" w:hAnsi="Times New Roman"/>
          <w:b/>
          <w:bCs/>
          <w:color w:val="0D0D0D"/>
          <w:kern w:val="0"/>
          <w:sz w:val="28"/>
          <w:szCs w:val="28"/>
        </w:rPr>
        <w:t xml:space="preserve"> </w:t>
      </w:r>
      <w:r w:rsidRPr="009F6E54">
        <w:rPr>
          <w:rFonts w:ascii="Times New Roman" w:eastAsia="AdvOT17d99a6a . B" w:hAnsi="Times New Roman"/>
          <w:b/>
          <w:bCs/>
          <w:color w:val="0D0D0D"/>
          <w:kern w:val="0"/>
          <w:sz w:val="28"/>
          <w:szCs w:val="28"/>
          <w:lang w:eastAsia="zh"/>
        </w:rPr>
        <w:t>in</w:t>
      </w:r>
      <w:r w:rsidRPr="009F6E54">
        <w:rPr>
          <w:rFonts w:ascii="Times New Roman" w:eastAsia="AdvOT17d99a6a . B" w:hAnsi="Times New Roman"/>
          <w:b/>
          <w:bCs/>
          <w:color w:val="0D0D0D"/>
          <w:kern w:val="0"/>
          <w:sz w:val="28"/>
          <w:szCs w:val="28"/>
        </w:rPr>
        <w:t xml:space="preserve"> </w:t>
      </w:r>
      <w:hyperlink r:id="rId5" w:tgtFrame="https://cn.bing.com/_blank" w:history="1">
        <w:r w:rsidRPr="00846375">
          <w:rPr>
            <w:rFonts w:ascii="Times New Roman" w:eastAsia="AdvOT17d99a6a . B" w:hAnsi="Times New Roman" w:hint="eastAsia"/>
            <w:b/>
            <w:bCs/>
            <w:color w:val="0D0D0D"/>
            <w:kern w:val="0"/>
            <w:sz w:val="28"/>
            <w:szCs w:val="28"/>
          </w:rPr>
          <w:t>chicken</w:t>
        </w:r>
        <w:r w:rsidRPr="009F6E54">
          <w:rPr>
            <w:rFonts w:ascii="Times New Roman" w:eastAsia="AdvOT17d99a6a . B" w:hAnsi="Times New Roman"/>
            <w:b/>
            <w:bCs/>
            <w:color w:val="0D0D0D"/>
            <w:kern w:val="0"/>
            <w:sz w:val="28"/>
            <w:szCs w:val="28"/>
          </w:rPr>
          <w:t xml:space="preserve"> immune</w:t>
        </w:r>
        <w:r w:rsidRPr="009F6E54">
          <w:rPr>
            <w:rFonts w:ascii="Times New Roman" w:eastAsia="宋体" w:hAnsi="Times New Roman"/>
            <w:b/>
            <w:bCs/>
            <w:color w:val="0D0D0D"/>
            <w:kern w:val="0"/>
            <w:sz w:val="28"/>
            <w:szCs w:val="28"/>
          </w:rPr>
          <w:t xml:space="preserve"> </w:t>
        </w:r>
        <w:r w:rsidRPr="009F6E54">
          <w:rPr>
            <w:rFonts w:ascii="Times New Roman" w:eastAsia="AdvOT17d99a6a . B" w:hAnsi="Times New Roman"/>
            <w:b/>
            <w:bCs/>
            <w:color w:val="0D0D0D"/>
            <w:kern w:val="0"/>
            <w:sz w:val="28"/>
            <w:szCs w:val="28"/>
          </w:rPr>
          <w:t>systems</w:t>
        </w:r>
      </w:hyperlink>
    </w:p>
    <w:p w14:paraId="589136EA" w14:textId="77777777" w:rsidR="00185BC8" w:rsidRPr="00C60F85" w:rsidRDefault="00185BC8" w:rsidP="00185BC8">
      <w:pPr>
        <w:spacing w:line="480" w:lineRule="auto"/>
        <w:jc w:val="center"/>
        <w:rPr>
          <w:rFonts w:ascii="Arial" w:hAnsi="Arial" w:cs="Arial"/>
          <w:b/>
          <w:bCs/>
          <w:color w:val="000000" w:themeColor="text1"/>
          <w:szCs w:val="21"/>
        </w:rPr>
      </w:pPr>
    </w:p>
    <w:p w14:paraId="1644B44A" w14:textId="77777777" w:rsidR="00C60F85" w:rsidRPr="00C60F85" w:rsidRDefault="00C60F85" w:rsidP="00C60F85">
      <w:pPr>
        <w:spacing w:line="360" w:lineRule="auto"/>
        <w:rPr>
          <w:rFonts w:ascii="Times New Roman" w:eastAsia="微软雅黑" w:hAnsi="Times New Roman" w:cs="Times New Roman"/>
          <w:color w:val="000000"/>
          <w:sz w:val="24"/>
          <w:szCs w:val="24"/>
        </w:rPr>
      </w:pPr>
      <w:r w:rsidRPr="00C60F85">
        <w:rPr>
          <w:rFonts w:ascii="Times New Roman" w:eastAsia="微软雅黑" w:hAnsi="Times New Roman" w:cs="Times New Roman"/>
          <w:b/>
          <w:bCs/>
          <w:color w:val="000000"/>
          <w:sz w:val="24"/>
          <w:szCs w:val="24"/>
        </w:rPr>
        <w:t>Authors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: Fei Wang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1†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 Jilong Ren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1†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 Yaqi Zhou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1†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 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Wuqiang Huo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1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†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 Huichao Liu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2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†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,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 xml:space="preserve"> Mumu Qin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†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 Yi Jing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†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 xml:space="preserve">, 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Zhongtao Yin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4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, 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Tao Shi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 Huiquan Shan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 Guanghui Tan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 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Haoping Wang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 Xi Guo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 xml:space="preserve">, </w:t>
      </w:r>
      <w:bookmarkStart w:id="1" w:name="_Hlk179789743"/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Junpu Mei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, Zhen Yue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,</w:t>
      </w:r>
      <w:bookmarkEnd w:id="1"/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 Zhuocheng Hou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4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, 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Huaijun Zhou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5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 Jiuzhou Song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6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 </w:t>
      </w:r>
      <w:bookmarkStart w:id="2" w:name="OLE_LINK7"/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Søren Egedal Degn</w:t>
      </w:r>
      <w:bookmarkEnd w:id="2"/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7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, Lin Lin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7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, Yonglun Luo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7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, Feilong Meng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8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, 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Xiaodong Fang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3,9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*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 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Haihan Zhang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2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*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,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 xml:space="preserve"> Xi He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2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*</w:t>
      </w:r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,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 xml:space="preserve"> </w:t>
      </w:r>
      <w:bookmarkStart w:id="3" w:name="OLE_LINK1"/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Lingzhao Fang</w:t>
      </w:r>
      <w:bookmarkEnd w:id="3"/>
      <w:r w:rsidRPr="00C60F85">
        <w:rPr>
          <w:rFonts w:ascii="Times New Roman" w:eastAsia="微软雅黑" w:hAnsi="Times New Roman" w:cs="Times New Roman" w:hint="eastAsia"/>
          <w:color w:val="000000"/>
          <w:sz w:val="24"/>
          <w:szCs w:val="24"/>
          <w:vertAlign w:val="superscript"/>
        </w:rPr>
        <w:t>10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*</w:t>
      </w:r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 xml:space="preserve">, </w:t>
      </w:r>
      <w:bookmarkStart w:id="4" w:name="_Hlk180176865"/>
      <w:r w:rsidRPr="00C60F85">
        <w:rPr>
          <w:rFonts w:ascii="Times New Roman" w:eastAsia="微软雅黑" w:hAnsi="Times New Roman" w:cs="Times New Roman"/>
          <w:color w:val="000000"/>
          <w:sz w:val="24"/>
          <w:szCs w:val="24"/>
        </w:rPr>
        <w:t>Yu Jiang</w:t>
      </w:r>
      <w:bookmarkEnd w:id="4"/>
      <w:r w:rsidRPr="00C60F85">
        <w:rPr>
          <w:rFonts w:ascii="Times New Roman" w:eastAsia="微软雅黑" w:hAnsi="Times New Roman" w:cs="Times New Roman"/>
          <w:color w:val="000000"/>
          <w:sz w:val="24"/>
          <w:szCs w:val="24"/>
          <w:vertAlign w:val="superscript"/>
        </w:rPr>
        <w:t>1*</w:t>
      </w:r>
    </w:p>
    <w:p w14:paraId="7128F2A7" w14:textId="4F65E340" w:rsidR="00C60F85" w:rsidRPr="00C60F85" w:rsidRDefault="00185BC8" w:rsidP="00C60F85">
      <w:pPr>
        <w:widowControl/>
        <w:spacing w:line="480" w:lineRule="auto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5797B"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4AF1F4B1" w14:textId="5A291DB2" w:rsidR="00C60F85" w:rsidRPr="000E6D8F" w:rsidRDefault="00C60F85" w:rsidP="00C60F85">
      <w:pPr>
        <w:rPr>
          <w:rFonts w:ascii="Times New Roman" w:eastAsia="等线" w:hAnsi="Times New Roman"/>
          <w:b/>
          <w:color w:val="0D0D0D"/>
          <w:sz w:val="24"/>
          <w:lang w:bidi="ar"/>
        </w:rPr>
      </w:pPr>
      <w:r>
        <w:rPr>
          <w:rFonts w:ascii="Times New Roman" w:eastAsia="等线" w:hAnsi="Times New Roman"/>
          <w:b/>
          <w:noProof/>
          <w:color w:val="0D0D0D"/>
          <w:sz w:val="24"/>
          <w:lang w:bidi="ar"/>
        </w:rPr>
        <w:lastRenderedPageBreak/>
        <w:drawing>
          <wp:inline distT="0" distB="0" distL="0" distR="0" wp14:anchorId="22C12B3B" wp14:editId="6216063F">
            <wp:extent cx="5259705" cy="5230495"/>
            <wp:effectExtent l="0" t="0" r="0" b="8255"/>
            <wp:docPr id="17119161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523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F85">
        <w:rPr>
          <w:rFonts w:hint="eastAsia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lang w:bidi="ar"/>
        </w:rPr>
        <w:t>Supplementary Fig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 xml:space="preserve">. </w:t>
      </w:r>
      <w:r w:rsidRPr="009F6E54">
        <w:rPr>
          <w:rFonts w:ascii="Times New Roman" w:eastAsia="等线" w:hAnsi="Times New Roman"/>
          <w:b/>
          <w:bCs/>
          <w:color w:val="0D0D0D"/>
          <w:lang w:eastAsia="zh" w:bidi="ar"/>
        </w:rPr>
        <w:t>1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. 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Overview of the chicken cell atlas.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 A, 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Upper </w:t>
      </w:r>
      <w:bookmarkStart w:id="5" w:name="_Hlk189834740"/>
      <w:r w:rsidRPr="009F6E54">
        <w:rPr>
          <w:rFonts w:ascii="Times New Roman" w:eastAsia="等线" w:hAnsi="Times New Roman"/>
          <w:color w:val="0D0D0D"/>
          <w:lang w:bidi="ar"/>
        </w:rPr>
        <w:t>panel:</w:t>
      </w:r>
      <w:bookmarkEnd w:id="5"/>
      <w:r w:rsidRPr="009F6E54">
        <w:rPr>
          <w:rFonts w:ascii="Times New Roman" w:eastAsia="等线" w:hAnsi="Times New Roman"/>
          <w:color w:val="0D0D0D"/>
          <w:lang w:bidi="ar"/>
        </w:rPr>
        <w:t xml:space="preserve"> The proportion of cell number</w:t>
      </w:r>
      <w:r w:rsidRPr="009F6E54">
        <w:rPr>
          <w:rFonts w:ascii="Times New Roman" w:eastAsia="等线" w:hAnsi="Times New Roman" w:hint="eastAsia"/>
          <w:color w:val="0D0D0D"/>
          <w:lang w:bidi="ar"/>
        </w:rPr>
        <w:t>s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</w:t>
      </w:r>
      <w:bookmarkStart w:id="6" w:name="OLE_LINK75"/>
      <w:r w:rsidRPr="009F6E54">
        <w:rPr>
          <w:rFonts w:ascii="Times New Roman" w:eastAsia="等线" w:hAnsi="Times New Roman"/>
          <w:color w:val="0D0D0D"/>
          <w:lang w:bidi="ar"/>
        </w:rPr>
        <w:t>dissociated by scRNA-seq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and </w:t>
      </w:r>
      <w:r w:rsidRPr="009F6E54">
        <w:rPr>
          <w:rFonts w:ascii="Times New Roman" w:eastAsia="等线" w:hAnsi="Times New Roman"/>
          <w:color w:val="0D0D0D"/>
          <w:lang w:bidi="ar"/>
        </w:rPr>
        <w:t>snRNA-seq</w:t>
      </w:r>
      <w:bookmarkEnd w:id="6"/>
      <w:r w:rsidRPr="009F6E54">
        <w:rPr>
          <w:rFonts w:ascii="Times New Roman" w:eastAsia="等线" w:hAnsi="Times New Roman"/>
          <w:color w:val="0D0D0D"/>
          <w:lang w:bidi="ar"/>
        </w:rPr>
        <w:t xml:space="preserve"> across various tissues. Lower panel: The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>number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of cell types </w:t>
      </w:r>
      <w:r w:rsidRPr="009F6E54">
        <w:rPr>
          <w:rFonts w:ascii="Times New Roman" w:eastAsia="等线" w:hAnsi="Times New Roman"/>
          <w:color w:val="0D0D0D"/>
          <w:lang w:bidi="ar"/>
        </w:rPr>
        <w:t>identified in each tissue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(red dot) and </w:t>
      </w:r>
      <w:r w:rsidRPr="009F6E54">
        <w:rPr>
          <w:rFonts w:ascii="Times New Roman" w:eastAsia="等线" w:hAnsi="Times New Roman"/>
          <w:color w:val="0D0D0D"/>
          <w:lang w:bidi="ar"/>
        </w:rPr>
        <w:t>cell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>numbers after filtering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>in each tissue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(grey bar </w:t>
      </w:r>
      <w:r w:rsidRPr="009F6E54">
        <w:rPr>
          <w:rFonts w:ascii="Times New Roman" w:eastAsia="等线" w:hAnsi="Times New Roman"/>
          <w:color w:val="0D0D0D"/>
          <w:lang w:bidi="ar"/>
        </w:rPr>
        <w:t>frame</w:t>
      </w:r>
      <w:r w:rsidRPr="009F6E54">
        <w:rPr>
          <w:rFonts w:ascii="Times New Roman" w:eastAsia="等线" w:hAnsi="Times New Roman" w:hint="eastAsia"/>
          <w:color w:val="0D0D0D"/>
          <w:lang w:bidi="ar"/>
        </w:rPr>
        <w:t>).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>B,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>T-SNE visualization of all clusters colored by major cell types.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 C,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Co-embedding of 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gizzard </w:t>
      </w:r>
      <w:r w:rsidRPr="009F6E54">
        <w:rPr>
          <w:rFonts w:ascii="Times New Roman" w:eastAsia="等线" w:hAnsi="Times New Roman"/>
          <w:color w:val="0D0D0D"/>
          <w:lang w:bidi="ar"/>
        </w:rPr>
        <w:t>snRNA-seq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>and scRNA-seq datasets.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>D,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 w:hint="eastAsia"/>
          <w:color w:val="0D0D0D"/>
          <w:lang w:bidi="ar"/>
        </w:rPr>
        <w:t>Dot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plot showing the expression level of 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marker genes </w:t>
      </w:r>
      <w:r w:rsidRPr="009F6E54">
        <w:rPr>
          <w:rFonts w:ascii="Times New Roman" w:eastAsia="等线" w:hAnsi="Times New Roman"/>
          <w:color w:val="0D0D0D"/>
          <w:lang w:bidi="ar"/>
        </w:rPr>
        <w:t>in each cell type of the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gizzard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comparing snRNA-seq and scRNA-seq methods.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>E,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Stacked bar plot </w:t>
      </w:r>
      <w:r w:rsidRPr="000E6D8F">
        <w:rPr>
          <w:rFonts w:ascii="Times New Roman" w:eastAsia="等线" w:hAnsi="Times New Roman"/>
          <w:color w:val="0D0D0D"/>
          <w:szCs w:val="21"/>
          <w:lang w:bidi="ar"/>
        </w:rPr>
        <w:t>representing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the ratio of each cell type detected in the </w:t>
      </w:r>
      <w:r w:rsidRPr="009F6E54">
        <w:rPr>
          <w:rFonts w:ascii="Times New Roman" w:eastAsia="等线" w:hAnsi="Times New Roman" w:hint="eastAsia"/>
          <w:color w:val="0D0D0D"/>
          <w:lang w:bidi="ar"/>
        </w:rPr>
        <w:t>gizzard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from either snRNA-seq or scRNA-seq.</w:t>
      </w:r>
    </w:p>
    <w:p w14:paraId="4B437EAD" w14:textId="775F8BC9" w:rsidR="00C60F85" w:rsidRDefault="00C60F85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sz w:val="21"/>
          <w:szCs w:val="21"/>
          <w:lang w:bidi="ar"/>
        </w:rPr>
      </w:pPr>
      <w:r>
        <w:rPr>
          <w:noProof/>
        </w:rPr>
        <w:lastRenderedPageBreak/>
        <w:drawing>
          <wp:inline distT="0" distB="0" distL="0" distR="0" wp14:anchorId="203BFD91" wp14:editId="73A02771">
            <wp:extent cx="5274310" cy="7934960"/>
            <wp:effectExtent l="0" t="0" r="2540" b="8890"/>
            <wp:docPr id="3451525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3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F85">
        <w:rPr>
          <w:rFonts w:hint="eastAsia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0E6D8F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. </w:t>
      </w:r>
      <w:r w:rsidRPr="000E6D8F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2. </w:t>
      </w:r>
      <w:r w:rsidRPr="000E6D8F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Overview of the chicken </w:t>
      </w:r>
      <w:r w:rsidRPr="000E6D8F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spatial transcriptomics</w:t>
      </w:r>
      <w:r w:rsidRPr="000E6D8F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.</w:t>
      </w:r>
      <w:r w:rsidRPr="000E6D8F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 A,</w:t>
      </w:r>
      <w:r w:rsidRPr="000E6D8F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</w:t>
      </w:r>
      <w:r w:rsidRPr="000E6D8F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H</w:t>
      </w:r>
      <w:r w:rsidRPr="000E6D8F">
        <w:rPr>
          <w:rFonts w:ascii="Times New Roman" w:eastAsia="等线" w:hAnsi="Times New Roman"/>
          <w:color w:val="0D0D0D"/>
          <w:sz w:val="21"/>
          <w:szCs w:val="21"/>
          <w:lang w:bidi="ar"/>
        </w:rPr>
        <w:t>eatmap representation of the counts detected in the chicken embryo</w:t>
      </w:r>
      <w:r w:rsidRPr="000E6D8F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. </w:t>
      </w:r>
      <w:r w:rsidRPr="000E6D8F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B,</w:t>
      </w:r>
      <w:r w:rsidRPr="000E6D8F">
        <w:rPr>
          <w:rFonts w:ascii="Times New Roman" w:eastAsia="等线" w:hAnsi="Times New Roman" w:hint="eastAsia"/>
          <w:color w:val="0D0D0D"/>
          <w:sz w:val="21"/>
          <w:szCs w:val="21"/>
          <w:lang w:eastAsia="zh" w:bidi="ar"/>
        </w:rPr>
        <w:t xml:space="preserve"> </w:t>
      </w:r>
      <w:r w:rsidRPr="000E6D8F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S</w:t>
      </w:r>
      <w:r w:rsidRPr="000E6D8F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patial visualization of the </w:t>
      </w:r>
      <w:r w:rsidRPr="000E6D8F">
        <w:rPr>
          <w:rFonts w:ascii="Times New Roman" w:eastAsia="等线" w:hAnsi="Times New Roman"/>
          <w:color w:val="0D0D0D"/>
          <w:sz w:val="21"/>
          <w:szCs w:val="21"/>
          <w:lang w:bidi="ar"/>
        </w:rPr>
        <w:lastRenderedPageBreak/>
        <w:t>indicated gene expression</w:t>
      </w:r>
      <w:r w:rsidRPr="000E6D8F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0E6D8F">
        <w:rPr>
          <w:rFonts w:ascii="Times New Roman" w:eastAsia="等线" w:hAnsi="Times New Roman"/>
          <w:color w:val="0D0D0D"/>
          <w:sz w:val="21"/>
          <w:szCs w:val="21"/>
          <w:lang w:bidi="ar"/>
        </w:rPr>
        <w:t>in the chicken embryo.</w:t>
      </w:r>
      <w:r w:rsidRPr="000E6D8F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0E6D8F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C,</w:t>
      </w:r>
      <w:r w:rsidRPr="000E6D8F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Spatial visualization of the indicated major cell types</w:t>
      </w:r>
      <w:r w:rsidRPr="000E6D8F">
        <w:rPr>
          <w:rFonts w:ascii="Times New Roman" w:eastAsia="等线" w:hAnsi="Times New Roman" w:hint="eastAsia"/>
          <w:color w:val="0D0D0D"/>
          <w:sz w:val="21"/>
          <w:szCs w:val="21"/>
          <w:lang w:eastAsia="zh" w:bidi="ar"/>
        </w:rPr>
        <w:t xml:space="preserve"> </w:t>
      </w:r>
      <w:r w:rsidRPr="000E6D8F">
        <w:rPr>
          <w:rFonts w:ascii="Times New Roman" w:eastAsia="宋体" w:hAnsi="Times New Roman" w:hint="eastAsia"/>
          <w:bCs/>
          <w:color w:val="0D0D0D"/>
          <w:sz w:val="21"/>
          <w:szCs w:val="21"/>
          <w:lang w:eastAsia="zh"/>
        </w:rPr>
        <w:t>annotated using deconvolution</w:t>
      </w:r>
      <w:r w:rsidRPr="000E6D8F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0E6D8F">
        <w:rPr>
          <w:rFonts w:ascii="Times New Roman" w:eastAsia="等线" w:hAnsi="Times New Roman"/>
          <w:color w:val="0D0D0D"/>
          <w:sz w:val="21"/>
          <w:szCs w:val="21"/>
          <w:lang w:bidi="ar"/>
        </w:rPr>
        <w:t>in the chicken embryo.</w:t>
      </w:r>
    </w:p>
    <w:p w14:paraId="6366845E" w14:textId="6EF0F66B" w:rsidR="00C60F85" w:rsidRPr="00C60F85" w:rsidRDefault="00C60F85" w:rsidP="00C60F85">
      <w:pPr>
        <w:widowControl/>
        <w:jc w:val="left"/>
        <w:rPr>
          <w:rFonts w:ascii="Times New Roman" w:eastAsia="等线" w:hAnsi="Times New Roman" w:cs="Times New Roman"/>
          <w:color w:val="0D0D0D"/>
          <w:kern w:val="0"/>
          <w:szCs w:val="21"/>
          <w:lang w:bidi="ar"/>
        </w:rPr>
      </w:pPr>
      <w:r>
        <w:rPr>
          <w:rFonts w:ascii="Times New Roman" w:eastAsia="等线" w:hAnsi="Times New Roman"/>
          <w:color w:val="0D0D0D"/>
          <w:szCs w:val="21"/>
          <w:lang w:bidi="ar"/>
        </w:rPr>
        <w:br w:type="page"/>
      </w:r>
    </w:p>
    <w:p w14:paraId="560D2721" w14:textId="77777777" w:rsidR="00C60F85" w:rsidRPr="009F6E54" w:rsidRDefault="00C60F85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lang w:bidi="ar"/>
        </w:rPr>
      </w:pPr>
      <w:r>
        <w:rPr>
          <w:rFonts w:ascii="Times New Roman" w:eastAsia="等线" w:hAnsi="Times New Roman"/>
          <w:noProof/>
          <w:color w:val="0D0D0D"/>
          <w:lang w:bidi="ar"/>
        </w:rPr>
        <w:lastRenderedPageBreak/>
        <w:drawing>
          <wp:inline distT="0" distB="0" distL="0" distR="0" wp14:anchorId="73D02B07" wp14:editId="315060D9">
            <wp:extent cx="5266690" cy="4513580"/>
            <wp:effectExtent l="0" t="0" r="0" b="1270"/>
            <wp:docPr id="84214914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451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2F614" w14:textId="3EA76F41" w:rsidR="00C60F85" w:rsidRPr="00C60F85" w:rsidRDefault="00C60F85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sz w:val="21"/>
          <w:szCs w:val="21"/>
          <w:lang w:bidi="ar"/>
        </w:rPr>
      </w:pP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3.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ScRNA-seq profiling and spatial visualization of cell clusters in the gizzard of the chicken embryo.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 A,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UMAP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visualization of all clusters colored by major cell types.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B,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>Dot plot for expression of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>marker genes of the identified cell populations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in chicken gizzard.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C,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Spatial visualization of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cells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in gizzard of the chicken embryo.</w:t>
      </w:r>
    </w:p>
    <w:p w14:paraId="73C735FA" w14:textId="77777777" w:rsidR="00C60F85" w:rsidRPr="009F6E54" w:rsidRDefault="00C60F85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lang w:bidi="ar"/>
        </w:rPr>
      </w:pPr>
      <w:r>
        <w:rPr>
          <w:rFonts w:ascii="Times New Roman" w:eastAsia="等线" w:hAnsi="Times New Roman"/>
          <w:noProof/>
          <w:color w:val="0D0D0D"/>
          <w:lang w:bidi="ar"/>
        </w:rPr>
        <w:lastRenderedPageBreak/>
        <w:drawing>
          <wp:inline distT="0" distB="0" distL="0" distR="0" wp14:anchorId="38117200" wp14:editId="4D00C347">
            <wp:extent cx="5274310" cy="5047615"/>
            <wp:effectExtent l="0" t="0" r="2540" b="635"/>
            <wp:docPr id="10538004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4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EBA6C" w14:textId="1DC79454" w:rsidR="00C60F85" w:rsidRPr="00C60F85" w:rsidRDefault="00C60F85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sz w:val="21"/>
          <w:szCs w:val="21"/>
          <w:lang w:bidi="ar"/>
        </w:rPr>
      </w:pP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4.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Overview of the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turtle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cell atlas.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 </w:t>
      </w:r>
      <w:bookmarkStart w:id="7" w:name="OLE_LINK79"/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A,</w:t>
      </w:r>
      <w:bookmarkEnd w:id="7"/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The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number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of cell types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identified in each tissue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(red dot) and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cell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numbers after filtering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in each tissue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(grey bar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frame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).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B,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T-SNE visualization of all clusters colored by major cell types.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 C,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UMAP visualization of all clusters colored by major cell types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in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turtle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>lung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.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D,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Dot plot for expression of marker genes of the identified populations in turtle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>lung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.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</w:p>
    <w:p w14:paraId="7EF28BC9" w14:textId="25C0CA79" w:rsidR="00C60F85" w:rsidRPr="009F6E54" w:rsidRDefault="00B041DA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lang w:bidi="ar"/>
        </w:rPr>
      </w:pPr>
      <w:r>
        <w:rPr>
          <w:noProof/>
        </w:rPr>
        <w:lastRenderedPageBreak/>
        <w:drawing>
          <wp:inline distT="0" distB="0" distL="0" distR="0" wp14:anchorId="1BA99CD6" wp14:editId="7024478A">
            <wp:extent cx="5267325" cy="4091305"/>
            <wp:effectExtent l="0" t="0" r="9525" b="4445"/>
            <wp:docPr id="55613197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09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993F5" w14:textId="6ECD8A72" w:rsidR="00C60F85" w:rsidRDefault="00C60F85" w:rsidP="00C60F85">
      <w:pPr>
        <w:widowControl/>
        <w:jc w:val="left"/>
        <w:rPr>
          <w:rFonts w:ascii="Times New Roman" w:eastAsia="等线" w:hAnsi="Times New Roman"/>
          <w:color w:val="0D0D0D"/>
          <w:kern w:val="0"/>
          <w:szCs w:val="21"/>
          <w:lang w:bidi="ar"/>
        </w:rPr>
      </w:pPr>
      <w:r w:rsidRPr="00C60F85">
        <w:rPr>
          <w:rFonts w:ascii="Times New Roman" w:eastAsia="等线" w:hAnsi="Times New Roman" w:hint="eastAsia"/>
          <w:b/>
          <w:bCs/>
          <w:color w:val="0D0D0D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Cs w:val="21"/>
          <w:lang w:bidi="ar"/>
        </w:rPr>
        <w:t>5.</w:t>
      </w:r>
      <w:r w:rsidRPr="00C60F85">
        <w:rPr>
          <w:rFonts w:ascii="Times New Roman" w:eastAsia="宋体" w:hAnsi="Times New Roman"/>
          <w:b/>
          <w:color w:val="0D0D0D"/>
          <w:szCs w:val="21"/>
        </w:rPr>
        <w:t xml:space="preserve"> Cross-species comparison of cell landscapes.</w:t>
      </w:r>
      <w:r w:rsidRPr="00C60F85">
        <w:rPr>
          <w:rFonts w:ascii="Times New Roman" w:eastAsia="等线" w:hAnsi="Times New Roman" w:hint="eastAsia"/>
          <w:b/>
          <w:color w:val="0D0D0D"/>
          <w:kern w:val="0"/>
          <w:szCs w:val="21"/>
          <w:lang w:bidi="ar"/>
        </w:rPr>
        <w:t xml:space="preserve"> </w:t>
      </w:r>
      <w:r w:rsidR="00E70D67" w:rsidRPr="00E70D67">
        <w:rPr>
          <w:rFonts w:ascii="Times New Roman" w:eastAsia="等线" w:hAnsi="Times New Roman" w:hint="eastAsia"/>
          <w:b/>
          <w:bCs/>
          <w:color w:val="0D0D0D"/>
          <w:kern w:val="0"/>
          <w:szCs w:val="21"/>
          <w:lang w:bidi="ar"/>
        </w:rPr>
        <w:t>A,</w:t>
      </w:r>
      <w:r w:rsidRPr="00C60F85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kern w:val="0"/>
          <w:szCs w:val="21"/>
          <w:lang w:eastAsia="zh" w:bidi="ar"/>
        </w:rPr>
        <w:t xml:space="preserve">UMAP plot after integration of scRNA-seq data from the </w:t>
      </w:r>
      <w:r w:rsidRPr="00C60F85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>turtle, chicken</w:t>
      </w:r>
      <w:r w:rsidRPr="00C60F85">
        <w:rPr>
          <w:rFonts w:ascii="Times New Roman" w:eastAsia="等线" w:hAnsi="Times New Roman"/>
          <w:color w:val="0D0D0D"/>
          <w:kern w:val="0"/>
          <w:szCs w:val="21"/>
          <w:lang w:eastAsia="zh" w:bidi="ar"/>
        </w:rPr>
        <w:t xml:space="preserve"> and</w:t>
      </w:r>
      <w:r w:rsidRPr="00C60F85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 human.</w:t>
      </w:r>
      <w:r w:rsidR="00E70D67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 </w:t>
      </w:r>
      <w:r w:rsidR="00BB70ED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>Top</w:t>
      </w:r>
      <w:r w:rsidR="00E70D67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: </w:t>
      </w:r>
      <w:r w:rsidR="00E70D67" w:rsidRPr="00E70D67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>UMAP visualization of all clusters colored by major cell types</w:t>
      </w:r>
      <w:r w:rsidR="00BB70ED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>.</w:t>
      </w:r>
      <w:r w:rsidR="00E70D67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 </w:t>
      </w:r>
      <w:r w:rsidR="00BB70ED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>Bottom</w:t>
      </w:r>
      <w:r w:rsidR="00E70D67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>:</w:t>
      </w:r>
      <w:r w:rsidRPr="00C60F85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 </w:t>
      </w:r>
      <w:r w:rsidR="00E70D67" w:rsidRPr="00E70D67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UMAP visualization of all clusters colored by </w:t>
      </w:r>
      <w:r w:rsidR="00E70D67" w:rsidRPr="00C60F85">
        <w:rPr>
          <w:rFonts w:ascii="Times New Roman" w:eastAsia="等线" w:hAnsi="Times New Roman"/>
          <w:color w:val="0D0D0D"/>
          <w:kern w:val="0"/>
          <w:szCs w:val="21"/>
          <w:lang w:bidi="ar"/>
        </w:rPr>
        <w:t>integrated clusters</w:t>
      </w:r>
      <w:r w:rsidR="00E70D67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. </w:t>
      </w:r>
      <w:r w:rsidR="00E70D67" w:rsidRPr="00E70D67">
        <w:rPr>
          <w:rFonts w:ascii="Times New Roman" w:eastAsia="等线" w:hAnsi="Times New Roman" w:hint="eastAsia"/>
          <w:b/>
          <w:bCs/>
          <w:color w:val="0D0D0D"/>
          <w:kern w:val="0"/>
          <w:szCs w:val="21"/>
          <w:lang w:bidi="ar"/>
        </w:rPr>
        <w:t>B,</w:t>
      </w:r>
      <w:r w:rsidRPr="00C60F85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 </w:t>
      </w:r>
      <w:r w:rsidR="00BB70ED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>P</w:t>
      </w:r>
      <w:r w:rsidRPr="00C60F85">
        <w:rPr>
          <w:rFonts w:ascii="Times New Roman" w:eastAsia="等线" w:hAnsi="Times New Roman"/>
          <w:color w:val="0D0D0D"/>
          <w:kern w:val="0"/>
          <w:szCs w:val="21"/>
          <w:lang w:bidi="ar"/>
        </w:rPr>
        <w:t>ercentage of cells from the original</w:t>
      </w:r>
      <w:r w:rsidRPr="00C60F85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kern w:val="0"/>
          <w:szCs w:val="21"/>
          <w:lang w:bidi="ar"/>
        </w:rPr>
        <w:t>species-specific clusters (rows) in the integrated clusters (columns)</w:t>
      </w:r>
      <w:r w:rsidRPr="00C60F85">
        <w:rPr>
          <w:rFonts w:ascii="Times New Roman" w:eastAsia="等线" w:hAnsi="Times New Roman" w:hint="eastAsia"/>
          <w:color w:val="0D0D0D"/>
          <w:kern w:val="0"/>
          <w:szCs w:val="21"/>
          <w:lang w:bidi="ar"/>
        </w:rPr>
        <w:t xml:space="preserve">. </w:t>
      </w:r>
    </w:p>
    <w:p w14:paraId="31695078" w14:textId="3C4D6D61" w:rsidR="00C60F85" w:rsidRPr="00C60F85" w:rsidRDefault="00C60F85" w:rsidP="00C60F85">
      <w:pPr>
        <w:widowControl/>
        <w:jc w:val="left"/>
        <w:rPr>
          <w:rFonts w:ascii="Times New Roman" w:eastAsia="等线" w:hAnsi="Times New Roman"/>
          <w:color w:val="0D0D0D"/>
          <w:kern w:val="0"/>
          <w:szCs w:val="21"/>
          <w:lang w:bidi="ar"/>
        </w:rPr>
      </w:pPr>
      <w:r>
        <w:rPr>
          <w:rFonts w:ascii="Times New Roman" w:eastAsia="等线" w:hAnsi="Times New Roman"/>
          <w:color w:val="0D0D0D"/>
          <w:kern w:val="0"/>
          <w:szCs w:val="21"/>
          <w:lang w:bidi="ar"/>
        </w:rPr>
        <w:br w:type="page"/>
      </w:r>
    </w:p>
    <w:p w14:paraId="50DDF43F" w14:textId="77777777" w:rsidR="00C60F85" w:rsidRPr="009F6E54" w:rsidRDefault="00C60F85" w:rsidP="00C60F85">
      <w:pPr>
        <w:widowControl/>
        <w:jc w:val="left"/>
        <w:rPr>
          <w:rFonts w:ascii="Times New Roman" w:eastAsia="等线" w:hAnsi="Times New Roman"/>
          <w:color w:val="0D0D0D"/>
          <w:kern w:val="0"/>
          <w:sz w:val="24"/>
          <w:lang w:bidi="ar"/>
        </w:rPr>
      </w:pPr>
      <w:r>
        <w:rPr>
          <w:rFonts w:ascii="Times New Roman" w:eastAsia="等线" w:hAnsi="Times New Roman"/>
          <w:noProof/>
          <w:color w:val="0D0D0D"/>
          <w:kern w:val="0"/>
          <w:sz w:val="24"/>
          <w:lang w:bidi="ar"/>
        </w:rPr>
        <w:lastRenderedPageBreak/>
        <w:drawing>
          <wp:inline distT="0" distB="0" distL="0" distR="0" wp14:anchorId="6ED24D3B" wp14:editId="792C638D">
            <wp:extent cx="3832860" cy="3767455"/>
            <wp:effectExtent l="0" t="0" r="0" b="4445"/>
            <wp:docPr id="7183375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860" cy="376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FF159" w14:textId="31A985BA" w:rsidR="00C60F85" w:rsidRPr="00C60F85" w:rsidRDefault="00C60F85" w:rsidP="00C60F85">
      <w:pPr>
        <w:widowControl/>
        <w:jc w:val="left"/>
        <w:rPr>
          <w:rFonts w:ascii="Times New Roman" w:eastAsia="等线" w:hAnsi="Times New Roman"/>
          <w:color w:val="0D0D0D"/>
          <w:szCs w:val="21"/>
          <w:lang w:bidi="ar"/>
        </w:rPr>
      </w:pPr>
      <w:r w:rsidRPr="00C60F85">
        <w:rPr>
          <w:rFonts w:ascii="Times New Roman" w:eastAsia="等线" w:hAnsi="Times New Roman" w:hint="eastAsia"/>
          <w:b/>
          <w:bCs/>
          <w:color w:val="0D0D0D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Cs w:val="21"/>
          <w:lang w:bidi="ar"/>
        </w:rPr>
        <w:t xml:space="preserve">. </w:t>
      </w:r>
      <w:r w:rsidRPr="00C60F85">
        <w:rPr>
          <w:rFonts w:ascii="Times New Roman" w:eastAsia="等线" w:hAnsi="Times New Roman" w:hint="eastAsia"/>
          <w:b/>
          <w:bCs/>
          <w:color w:val="0D0D0D"/>
          <w:szCs w:val="21"/>
          <w:lang w:bidi="ar"/>
        </w:rPr>
        <w:t xml:space="preserve">6. </w:t>
      </w:r>
      <w:r w:rsidRPr="00C60F85">
        <w:rPr>
          <w:rFonts w:ascii="Times New Roman" w:eastAsia="等线" w:hAnsi="Times New Roman"/>
          <w:b/>
          <w:bCs/>
          <w:color w:val="0D0D0D"/>
          <w:szCs w:val="21"/>
          <w:lang w:bidi="ar"/>
        </w:rPr>
        <w:t xml:space="preserve">Correlation of orthologous gene expression between </w:t>
      </w:r>
      <w:r w:rsidRPr="00C60F85">
        <w:rPr>
          <w:rFonts w:ascii="Times New Roman" w:eastAsia="等线" w:hAnsi="Times New Roman" w:hint="eastAsia"/>
          <w:b/>
          <w:bCs/>
          <w:color w:val="0D0D0D"/>
          <w:szCs w:val="21"/>
          <w:lang w:bidi="ar"/>
        </w:rPr>
        <w:t>turtle, chicken</w:t>
      </w:r>
      <w:r w:rsidRPr="00C60F85">
        <w:rPr>
          <w:rFonts w:ascii="Times New Roman" w:eastAsia="等线" w:hAnsi="Times New Roman"/>
          <w:b/>
          <w:bCs/>
          <w:color w:val="0D0D0D"/>
          <w:szCs w:val="21"/>
          <w:lang w:bidi="ar"/>
        </w:rPr>
        <w:t xml:space="preserve"> and </w:t>
      </w:r>
      <w:r w:rsidRPr="00C60F85">
        <w:rPr>
          <w:rFonts w:ascii="Times New Roman" w:eastAsia="等线" w:hAnsi="Times New Roman" w:hint="eastAsia"/>
          <w:b/>
          <w:bCs/>
          <w:color w:val="0D0D0D"/>
          <w:szCs w:val="21"/>
          <w:lang w:bidi="ar"/>
        </w:rPr>
        <w:t>human</w:t>
      </w:r>
      <w:r w:rsidRPr="00C60F85">
        <w:rPr>
          <w:rFonts w:ascii="Times New Roman" w:eastAsia="等线" w:hAnsi="Times New Roman"/>
          <w:b/>
          <w:bCs/>
          <w:color w:val="0D0D0D"/>
          <w:szCs w:val="21"/>
          <w:lang w:bidi="ar"/>
        </w:rPr>
        <w:t xml:space="preserve"> cell types.</w:t>
      </w:r>
      <w:r w:rsidRPr="00C60F85">
        <w:rPr>
          <w:rFonts w:ascii="Times New Roman" w:eastAsia="等线" w:hAnsi="Times New Roman"/>
          <w:color w:val="0D0D0D"/>
          <w:szCs w:val="21"/>
          <w:lang w:bidi="ar"/>
        </w:rPr>
        <w:t xml:space="preserve"> AUROC scores were used to measure the similarity of cell types.</w:t>
      </w:r>
    </w:p>
    <w:p w14:paraId="290AC2B8" w14:textId="370ECF70" w:rsidR="00C60F85" w:rsidRDefault="00C60F85" w:rsidP="00C60F85">
      <w:pPr>
        <w:widowControl/>
        <w:jc w:val="left"/>
        <w:rPr>
          <w:rFonts w:ascii="Times New Roman" w:hAnsi="Times New Roman"/>
          <w:color w:val="0D0D0D"/>
          <w:lang w:bidi="ar"/>
        </w:rPr>
      </w:pPr>
      <w:r>
        <w:rPr>
          <w:rFonts w:ascii="Times New Roman" w:eastAsia="等线" w:hAnsi="Times New Roman"/>
          <w:noProof/>
          <w:color w:val="0D0D0D"/>
          <w:kern w:val="0"/>
          <w:sz w:val="24"/>
          <w:lang w:bidi="ar"/>
        </w:rPr>
        <w:lastRenderedPageBreak/>
        <w:drawing>
          <wp:inline distT="0" distB="0" distL="0" distR="0" wp14:anchorId="65CE1360" wp14:editId="63B02FF3">
            <wp:extent cx="5274310" cy="6576060"/>
            <wp:effectExtent l="0" t="0" r="2540" b="0"/>
            <wp:docPr id="91107983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7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F85">
        <w:rPr>
          <w:rFonts w:hint="eastAsia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lang w:bidi="ar"/>
        </w:rPr>
        <w:t>Supplementary Fig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 xml:space="preserve">.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7. 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 xml:space="preserve">Transcriptional similarity of cell types in chicken compared to human and turtle. </w:t>
      </w:r>
      <w:r w:rsidRPr="009F6E54">
        <w:rPr>
          <w:rFonts w:ascii="Times New Roman" w:hAnsi="Times New Roman"/>
          <w:color w:val="0D0D0D"/>
          <w:lang w:bidi="ar"/>
        </w:rPr>
        <w:t>Left: The proportion of orthologous genes expressed in both species and a particular species. Right: Transcriptional similarity of the same cell type.</w:t>
      </w:r>
      <w:r w:rsidRPr="009F6E54">
        <w:rPr>
          <w:rFonts w:ascii="Times New Roman" w:hAnsi="Times New Roman" w:hint="eastAsia"/>
          <w:color w:val="0D0D0D"/>
          <w:lang w:bidi="ar"/>
        </w:rPr>
        <w:t xml:space="preserve"> N</w:t>
      </w:r>
      <w:r w:rsidRPr="009F6E54">
        <w:rPr>
          <w:rFonts w:ascii="Times New Roman" w:hAnsi="Times New Roman"/>
          <w:color w:val="0D0D0D"/>
          <w:lang w:bidi="ar"/>
        </w:rPr>
        <w:t>s indicated no statistically significant correlations and dot indicated statistically significant correlations.</w:t>
      </w:r>
    </w:p>
    <w:p w14:paraId="1CDCC92A" w14:textId="79ED70CF" w:rsidR="00C60F85" w:rsidRPr="000E6D8F" w:rsidRDefault="00C60F85" w:rsidP="00C60F85">
      <w:pPr>
        <w:widowControl/>
        <w:jc w:val="left"/>
        <w:rPr>
          <w:rFonts w:ascii="Times New Roman" w:eastAsia="等线" w:hAnsi="Times New Roman"/>
          <w:color w:val="0D0D0D"/>
          <w:kern w:val="0"/>
          <w:sz w:val="24"/>
          <w:lang w:bidi="ar"/>
        </w:rPr>
      </w:pPr>
      <w:r>
        <w:rPr>
          <w:rFonts w:ascii="Times New Roman" w:eastAsia="等线" w:hAnsi="Times New Roman"/>
          <w:noProof/>
          <w:color w:val="0D0D0D"/>
          <w:kern w:val="0"/>
          <w:sz w:val="24"/>
          <w:lang w:bidi="ar"/>
        </w:rPr>
        <w:lastRenderedPageBreak/>
        <w:drawing>
          <wp:inline distT="0" distB="0" distL="0" distR="0" wp14:anchorId="41DF7197" wp14:editId="6B277494">
            <wp:extent cx="5266690" cy="6539865"/>
            <wp:effectExtent l="0" t="0" r="0" b="0"/>
            <wp:docPr id="135835869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653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F85">
        <w:rPr>
          <w:rFonts w:hint="eastAsia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lang w:bidi="ar"/>
        </w:rPr>
        <w:t>Supplementary Fig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>. 8. C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 xml:space="preserve">omparison of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BSDC and 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 xml:space="preserve">FDCs in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>chicken embryo and adult.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 xml:space="preserve"> </w:t>
      </w:r>
      <w:r w:rsidRPr="009F6E54">
        <w:rPr>
          <w:rFonts w:ascii="Times New Roman" w:eastAsia="等线" w:hAnsi="Times New Roman" w:hint="eastAsia"/>
          <w:b/>
          <w:bCs/>
          <w:color w:val="0D0D0D"/>
          <w:lang w:eastAsia="zh" w:bidi="ar"/>
        </w:rPr>
        <w:t>A,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>Spatial visualization of cell populations in the caecal tonsil of the adult chicken.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 xml:space="preserve"> </w:t>
      </w:r>
      <w:r w:rsidRPr="009F6E54">
        <w:rPr>
          <w:rFonts w:ascii="Times New Roman" w:eastAsia="等线" w:hAnsi="Times New Roman" w:hint="eastAsia"/>
          <w:b/>
          <w:bCs/>
          <w:color w:val="0D0D0D"/>
          <w:lang w:eastAsia="zh" w:bidi="ar"/>
        </w:rPr>
        <w:t xml:space="preserve">B, 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Transcriptional regulatory network of 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>BSDC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cells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in chicken. </w:t>
      </w:r>
      <w:r w:rsidRPr="009F6E54">
        <w:rPr>
          <w:rFonts w:ascii="Times New Roman" w:eastAsia="等线" w:hAnsi="Times New Roman" w:hint="eastAsia"/>
          <w:b/>
          <w:bCs/>
          <w:color w:val="0D0D0D"/>
          <w:lang w:eastAsia="zh" w:bidi="ar"/>
        </w:rPr>
        <w:t>C</w:t>
      </w:r>
      <w:r w:rsidRPr="009F6E54">
        <w:rPr>
          <w:rFonts w:ascii="Times New Roman" w:hAnsi="Times New Roman"/>
          <w:b/>
          <w:bCs/>
          <w:color w:val="0D0D0D"/>
          <w:lang w:bidi="ar"/>
        </w:rPr>
        <w:t>,</w:t>
      </w:r>
      <w:r w:rsidRPr="009F6E54">
        <w:rPr>
          <w:rFonts w:ascii="Times New Roman" w:hAnsi="Times New Roman"/>
          <w:color w:val="0D0D0D"/>
          <w:lang w:bidi="ar"/>
        </w:rPr>
        <w:t xml:space="preserve"> Gene ontology analysis of up-regulated genes in </w:t>
      </w:r>
      <w:r w:rsidRPr="009F6E54">
        <w:rPr>
          <w:rFonts w:ascii="Times New Roman" w:hAnsi="Times New Roman" w:hint="eastAsia"/>
          <w:color w:val="0D0D0D"/>
          <w:lang w:eastAsia="zh" w:bidi="ar"/>
        </w:rPr>
        <w:t>BSDC</w:t>
      </w:r>
      <w:r w:rsidRPr="009F6E54">
        <w:rPr>
          <w:rFonts w:ascii="Times New Roman" w:hAnsi="Times New Roman"/>
          <w:color w:val="0D0D0D"/>
          <w:lang w:bidi="ar"/>
        </w:rPr>
        <w:t xml:space="preserve"> cells.</w:t>
      </w:r>
      <w:r w:rsidRPr="009F6E54">
        <w:rPr>
          <w:rFonts w:ascii="Times New Roman" w:hAnsi="Times New Roman" w:hint="eastAsia"/>
          <w:color w:val="0D0D0D"/>
          <w:lang w:eastAsia="zh" w:bidi="ar"/>
        </w:rPr>
        <w:t xml:space="preserve"> </w:t>
      </w:r>
      <w:r w:rsidRPr="009F6E54">
        <w:rPr>
          <w:rFonts w:ascii="Times New Roman" w:hAnsi="Times New Roman" w:hint="eastAsia"/>
          <w:b/>
          <w:bCs/>
          <w:color w:val="0D0D0D"/>
          <w:lang w:eastAsia="zh" w:bidi="ar"/>
        </w:rPr>
        <w:t>D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,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Heatmap showing spatial proximity enrichment of cell-type pairs and cell-cell interactions in bursa of Fabricius in chicken embryo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. </w:t>
      </w:r>
      <w:r w:rsidRPr="009F6E54">
        <w:rPr>
          <w:rFonts w:ascii="Times New Roman" w:eastAsia="等线" w:hAnsi="Times New Roman" w:hint="eastAsia"/>
          <w:b/>
          <w:bCs/>
          <w:color w:val="0D0D0D"/>
          <w:lang w:eastAsia="zh" w:bidi="ar"/>
        </w:rPr>
        <w:t>E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,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Left: </w:t>
      </w:r>
      <w:r w:rsidRPr="009F6E54">
        <w:rPr>
          <w:rFonts w:ascii="Times New Roman" w:eastAsia="等线" w:hAnsi="Times New Roman"/>
          <w:color w:val="0D0D0D"/>
          <w:lang w:bidi="ar"/>
        </w:rPr>
        <w:t>UMAP visualization of all clusters coloured by major cell types.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Right: 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Distribution of 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 xml:space="preserve">chicken </w:t>
      </w:r>
      <w:r w:rsidRPr="009F6E54">
        <w:rPr>
          <w:rFonts w:ascii="Times New Roman" w:eastAsia="等线" w:hAnsi="Times New Roman"/>
          <w:color w:val="0D0D0D"/>
          <w:lang w:bidi="ar"/>
        </w:rPr>
        <w:t>mononuclear phagocyte from different age</w:t>
      </w:r>
      <w:r w:rsidRPr="009F6E54">
        <w:rPr>
          <w:rFonts w:ascii="Times New Roman" w:eastAsia="等线" w:hAnsi="Times New Roman" w:hint="eastAsia"/>
          <w:color w:val="0D0D0D"/>
          <w:lang w:bidi="ar"/>
        </w:rPr>
        <w:t>s</w:t>
      </w:r>
      <w:r w:rsidRPr="009F6E54">
        <w:rPr>
          <w:rFonts w:ascii="Times New Roman" w:eastAsia="等线" w:hAnsi="Times New Roman"/>
          <w:color w:val="0D0D0D"/>
          <w:lang w:bidi="ar"/>
        </w:rPr>
        <w:t>.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 xml:space="preserve">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>F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 xml:space="preserve">, </w:t>
      </w:r>
      <w:r w:rsidRPr="009F6E54">
        <w:rPr>
          <w:rFonts w:ascii="Times New Roman" w:eastAsia="等线" w:hAnsi="Times New Roman"/>
          <w:color w:val="0D0D0D"/>
          <w:lang w:bidi="ar"/>
        </w:rPr>
        <w:t>Gene set enrichment analysis results for differentially expressed genes in</w:t>
      </w:r>
      <w:r w:rsidRPr="009F6E54">
        <w:rPr>
          <w:color w:val="0D0D0D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embryonic 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 xml:space="preserve">BSDC 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and adult 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>FDC</w:t>
      </w:r>
      <w:r w:rsidRPr="009F6E54">
        <w:rPr>
          <w:rFonts w:ascii="Times New Roman" w:eastAsia="等线" w:hAnsi="Times New Roman"/>
          <w:color w:val="0D0D0D"/>
          <w:lang w:bidi="ar"/>
        </w:rPr>
        <w:t>.</w:t>
      </w:r>
      <w:r w:rsidRPr="009F6E54">
        <w:rPr>
          <w:rFonts w:ascii="Times New Roman" w:eastAsia="等线" w:hAnsi="Times New Roman" w:hint="eastAsia"/>
          <w:color w:val="0D0D0D"/>
          <w:lang w:eastAsia="zh" w:bidi="ar"/>
        </w:rPr>
        <w:t xml:space="preserve"> </w:t>
      </w:r>
    </w:p>
    <w:p w14:paraId="5D1E0C33" w14:textId="77777777" w:rsidR="00C60F85" w:rsidRDefault="00C60F85" w:rsidP="00C60F85">
      <w:pPr>
        <w:pStyle w:val="ae"/>
        <w:widowControl/>
        <w:rPr>
          <w:rFonts w:ascii="Times New Roman" w:eastAsia="等线" w:hAnsi="Times New Roman"/>
          <w:b/>
          <w:bCs/>
          <w:color w:val="0D0D0D"/>
          <w:lang w:bidi="ar"/>
        </w:rPr>
      </w:pPr>
    </w:p>
    <w:p w14:paraId="64C6E65A" w14:textId="77777777" w:rsidR="00C60F85" w:rsidRDefault="00C60F85" w:rsidP="00C60F85">
      <w:pPr>
        <w:pStyle w:val="ae"/>
        <w:widowControl/>
        <w:rPr>
          <w:rFonts w:ascii="Times New Roman" w:eastAsia="等线" w:hAnsi="Times New Roman"/>
          <w:b/>
          <w:bCs/>
          <w:color w:val="0D0D0D"/>
          <w:lang w:bidi="ar"/>
        </w:rPr>
      </w:pPr>
    </w:p>
    <w:p w14:paraId="3D800521" w14:textId="388CD704" w:rsidR="00C60F85" w:rsidRPr="009F6E54" w:rsidRDefault="00C60F85" w:rsidP="00C60F85">
      <w:pPr>
        <w:pStyle w:val="ae"/>
        <w:widowControl/>
        <w:rPr>
          <w:rFonts w:ascii="Times New Roman" w:eastAsia="等线" w:hAnsi="Times New Roman"/>
          <w:b/>
          <w:bCs/>
          <w:color w:val="0D0D0D"/>
          <w:lang w:bidi="ar"/>
        </w:rPr>
      </w:pPr>
      <w:r>
        <w:rPr>
          <w:rFonts w:ascii="Times New Roman" w:eastAsia="等线" w:hAnsi="Times New Roman"/>
          <w:b/>
          <w:bCs/>
          <w:noProof/>
          <w:color w:val="0D0D0D"/>
          <w:lang w:bidi="ar"/>
        </w:rPr>
        <w:drawing>
          <wp:inline distT="0" distB="0" distL="0" distR="0" wp14:anchorId="35D60DF0" wp14:editId="58846BC6">
            <wp:extent cx="5266690" cy="7644130"/>
            <wp:effectExtent l="0" t="0" r="0" b="0"/>
            <wp:docPr id="80996507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64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F85">
        <w:rPr>
          <w:rFonts w:hint="eastAsia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9.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Distribution of annotated mononuclear phagocyte populations and lymphoid populations across organs in turtle, chicken and human. </w:t>
      </w:r>
    </w:p>
    <w:p w14:paraId="7351952F" w14:textId="77777777" w:rsidR="00C60F85" w:rsidRDefault="00C60F85" w:rsidP="00C60F85">
      <w:pPr>
        <w:pStyle w:val="ae"/>
        <w:widowControl/>
        <w:rPr>
          <w:rFonts w:ascii="Times New Roman" w:eastAsia="等线" w:hAnsi="Times New Roman"/>
          <w:b/>
          <w:bCs/>
          <w:color w:val="0D0D0D"/>
          <w:lang w:bidi="ar"/>
        </w:rPr>
      </w:pPr>
      <w:r>
        <w:rPr>
          <w:rFonts w:ascii="Times New Roman" w:eastAsia="等线" w:hAnsi="Times New Roman"/>
          <w:b/>
          <w:bCs/>
          <w:noProof/>
          <w:color w:val="0D0D0D"/>
          <w:lang w:bidi="ar"/>
        </w:rPr>
        <w:lastRenderedPageBreak/>
        <w:drawing>
          <wp:inline distT="0" distB="0" distL="0" distR="0" wp14:anchorId="36F548B2" wp14:editId="40E62774">
            <wp:extent cx="5266690" cy="5003800"/>
            <wp:effectExtent l="0" t="0" r="0" b="6350"/>
            <wp:docPr id="72708949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00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50FE2" w14:textId="1A6828C9" w:rsidR="00C60F85" w:rsidRPr="00C60F85" w:rsidRDefault="00C60F85" w:rsidP="00C60F85">
      <w:pPr>
        <w:pStyle w:val="ae"/>
        <w:widowControl/>
        <w:rPr>
          <w:rFonts w:ascii="Times New Roman" w:eastAsia="等线" w:hAnsi="Times New Roman"/>
          <w:color w:val="0D0D0D"/>
          <w:sz w:val="21"/>
          <w:szCs w:val="21"/>
          <w:lang w:bidi="ar"/>
        </w:rPr>
      </w:pP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10.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Molecular architecture of FDCs in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b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irds and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m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ammals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. </w:t>
      </w:r>
      <w:r w:rsidRPr="00C60F85">
        <w:rPr>
          <w:rFonts w:ascii="Times New Roman" w:hAnsi="Times New Roman" w:hint="eastAsia"/>
          <w:b/>
          <w:bCs/>
          <w:color w:val="0D0D0D"/>
          <w:kern w:val="2"/>
          <w:sz w:val="21"/>
          <w:szCs w:val="21"/>
          <w:lang w:bidi="ar"/>
        </w:rPr>
        <w:t>A</w:t>
      </w:r>
      <w:r w:rsidRPr="00C60F85">
        <w:rPr>
          <w:rFonts w:ascii="Times New Roman" w:hAnsi="Times New Roman"/>
          <w:b/>
          <w:bCs/>
          <w:color w:val="0D0D0D"/>
          <w:kern w:val="2"/>
          <w:sz w:val="21"/>
          <w:szCs w:val="21"/>
          <w:lang w:bidi="ar"/>
        </w:rPr>
        <w:t>,</w:t>
      </w:r>
      <w:r w:rsidRPr="00C60F85">
        <w:rPr>
          <w:rFonts w:ascii="Times New Roman" w:hAnsi="Times New Roman"/>
          <w:color w:val="0D0D0D"/>
          <w:kern w:val="2"/>
          <w:sz w:val="21"/>
          <w:szCs w:val="21"/>
          <w:lang w:bidi="ar"/>
        </w:rPr>
        <w:t xml:space="preserve"> Top: Ridge plots showing the distribution of cell types (MPP, GMP, and </w:t>
      </w:r>
      <w:r w:rsidRPr="00C60F85">
        <w:rPr>
          <w:rFonts w:ascii="Times New Roman" w:hAnsi="Times New Roman" w:hint="eastAsia"/>
          <w:color w:val="0D0D0D"/>
          <w:kern w:val="2"/>
          <w:sz w:val="21"/>
          <w:szCs w:val="21"/>
          <w:lang w:eastAsia="zh" w:bidi="ar"/>
        </w:rPr>
        <w:t>FDCs</w:t>
      </w:r>
      <w:r w:rsidRPr="00C60F85">
        <w:rPr>
          <w:rFonts w:ascii="Times New Roman" w:hAnsi="Times New Roman"/>
          <w:color w:val="0D0D0D"/>
          <w:kern w:val="2"/>
          <w:sz w:val="21"/>
          <w:szCs w:val="21"/>
          <w:lang w:bidi="ar"/>
        </w:rPr>
        <w:t>) along the pseudotime axis. The x-axis represents pseudo-temporal ordering, while the y-axis represents the density of cells at each pseudotime point. Bottom: Heatmaps of differentially expressed genes</w:t>
      </w:r>
      <w:r w:rsidRPr="00C60F85">
        <w:rPr>
          <w:rFonts w:ascii="Times New Roman" w:hAnsi="Times New Roman" w:hint="eastAsia"/>
          <w:color w:val="0D0D0D"/>
          <w:kern w:val="2"/>
          <w:sz w:val="21"/>
          <w:szCs w:val="21"/>
          <w:lang w:bidi="ar"/>
        </w:rPr>
        <w:t xml:space="preserve"> </w:t>
      </w:r>
      <w:r w:rsidRPr="00C60F85">
        <w:rPr>
          <w:rFonts w:ascii="Times New Roman" w:hAnsi="Times New Roman"/>
          <w:color w:val="0D0D0D"/>
          <w:kern w:val="2"/>
          <w:sz w:val="21"/>
          <w:szCs w:val="21"/>
          <w:lang w:bidi="ar"/>
        </w:rPr>
        <w:t xml:space="preserve">along the trajectories of the </w:t>
      </w:r>
      <w:r w:rsidRPr="00C60F85">
        <w:rPr>
          <w:rFonts w:ascii="Times New Roman" w:hAnsi="Times New Roman" w:hint="eastAsia"/>
          <w:color w:val="0D0D0D"/>
          <w:kern w:val="2"/>
          <w:sz w:val="21"/>
          <w:szCs w:val="21"/>
          <w:lang w:eastAsia="zh" w:bidi="ar"/>
        </w:rPr>
        <w:t>FDCs</w:t>
      </w:r>
      <w:r w:rsidRPr="00C60F85">
        <w:rPr>
          <w:rFonts w:ascii="Times New Roman" w:hAnsi="Times New Roman"/>
          <w:color w:val="0D0D0D"/>
          <w:kern w:val="2"/>
          <w:sz w:val="21"/>
          <w:szCs w:val="21"/>
          <w:lang w:bidi="ar"/>
        </w:rPr>
        <w:t>. Dot plot for expression of marker genes of the identified mononuclear phagocyte populations in turtle, chicken and human.</w:t>
      </w:r>
      <w:r w:rsidRPr="00C60F85">
        <w:rPr>
          <w:rFonts w:ascii="Times New Roman" w:hAnsi="Times New Roman" w:hint="eastAsia"/>
          <w:color w:val="0D0D0D"/>
          <w:kern w:val="2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B,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Pairwise correlations of mononuclear phagocytes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in chicken and human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calculated from highly variable genes.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</w:t>
      </w:r>
      <w:r w:rsidRPr="00C60F85">
        <w:rPr>
          <w:rFonts w:ascii="Times New Roman" w:hAnsi="Times New Roman" w:hint="eastAsia"/>
          <w:b/>
          <w:bCs/>
          <w:color w:val="0D0D0D"/>
          <w:kern w:val="2"/>
          <w:sz w:val="21"/>
          <w:szCs w:val="21"/>
          <w:lang w:eastAsia="zh" w:bidi="ar"/>
        </w:rPr>
        <w:t>C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,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eastAsia="zh" w:bidi="ar"/>
        </w:rPr>
        <w:t xml:space="preserve">Top: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UMAP</w:t>
      </w:r>
      <w:r w:rsidRPr="00C60F85">
        <w:rPr>
          <w:rFonts w:ascii="Times New Roman" w:eastAsia="宋体" w:hAnsi="Times New Roman"/>
          <w:color w:val="0D0D0D"/>
          <w:sz w:val="21"/>
          <w:szCs w:val="21"/>
        </w:rPr>
        <w:t xml:space="preserve"> </w:t>
      </w:r>
      <w:r w:rsidRPr="00C60F85">
        <w:rPr>
          <w:rFonts w:ascii="Times New Roman" w:eastAsia="宋体" w:hAnsi="Times New Roman"/>
          <w:bCs/>
          <w:color w:val="0D0D0D"/>
          <w:sz w:val="21"/>
          <w:szCs w:val="21"/>
        </w:rPr>
        <w:t>visualization of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cell types</w:t>
      </w:r>
      <w:r w:rsidRPr="00C60F85">
        <w:rPr>
          <w:rFonts w:ascii="Times New Roman" w:eastAsia="宋体" w:hAnsi="Times New Roman"/>
          <w:bCs/>
          <w:color w:val="0D0D0D"/>
          <w:sz w:val="21"/>
          <w:szCs w:val="21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in duck spleen and bursa of Fabricius.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eastAsia="zh" w:bidi="ar"/>
        </w:rPr>
        <w:t xml:space="preserve"> </w:t>
      </w:r>
      <w:r w:rsidRPr="00C60F85">
        <w:rPr>
          <w:rFonts w:ascii="Times New Roman" w:hAnsi="Times New Roman"/>
          <w:color w:val="0D0D0D"/>
          <w:kern w:val="2"/>
          <w:sz w:val="21"/>
          <w:szCs w:val="21"/>
          <w:lang w:bidi="ar"/>
        </w:rPr>
        <w:t>Bottom: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Pairwise correlations of mononuclear phagocytes in duck and human, calculated from highly variable genes.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eastAsia="zh"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eastAsia="zh" w:bidi="ar"/>
        </w:rPr>
        <w:t>D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Dot plot of crucial genes for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eastAsia="zh" w:bidi="ar"/>
        </w:rPr>
        <w:t xml:space="preserve">chicken and human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FDC cell in duck cell types.</w:t>
      </w:r>
    </w:p>
    <w:p w14:paraId="57CF027A" w14:textId="77777777" w:rsidR="00C60F85" w:rsidRPr="009F6E54" w:rsidRDefault="00C60F85" w:rsidP="00C60F85">
      <w:pPr>
        <w:pStyle w:val="ae"/>
        <w:widowControl/>
        <w:rPr>
          <w:rFonts w:ascii="Times New Roman" w:hAnsi="Times New Roman"/>
          <w:color w:val="0D0D0D"/>
          <w:lang w:bidi="ar"/>
        </w:rPr>
      </w:pPr>
      <w:r>
        <w:rPr>
          <w:rFonts w:ascii="Times New Roman" w:hAnsi="Times New Roman"/>
          <w:noProof/>
          <w:color w:val="0D0D0D"/>
          <w:lang w:bidi="ar"/>
        </w:rPr>
        <w:lastRenderedPageBreak/>
        <w:drawing>
          <wp:inline distT="0" distB="0" distL="0" distR="0" wp14:anchorId="48E43624" wp14:editId="6BF8BFE2">
            <wp:extent cx="5266690" cy="6978650"/>
            <wp:effectExtent l="0" t="0" r="0" b="0"/>
            <wp:docPr id="85994755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697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EF70F" w14:textId="438189BA" w:rsidR="00C60F85" w:rsidRPr="00C60F85" w:rsidRDefault="00C60F85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sz w:val="21"/>
          <w:szCs w:val="21"/>
          <w:lang w:bidi="ar"/>
        </w:rPr>
      </w:pP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. 1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1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Comparative analysis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 of B cells across a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mniotes.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A,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Dot plot for expression of marker genes of the identified B cell populations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in chicken(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top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) and turtle(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bottom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).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eastAsia="zh" w:bidi="ar"/>
        </w:rPr>
        <w:t>B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, D,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UMAP plot after integration of scRNA-seq data from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B cells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of chicken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with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turtle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(B)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and human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(D)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C, E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percentage of cells from the original species-specific clusters (rows) in the integrated clusters (columns)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of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>B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and D. </w:t>
      </w:r>
    </w:p>
    <w:p w14:paraId="5C78D423" w14:textId="77777777" w:rsidR="00C60F85" w:rsidRPr="009F6E54" w:rsidRDefault="00C60F85" w:rsidP="00C60F85">
      <w:pPr>
        <w:rPr>
          <w:rFonts w:ascii="Times New Roman" w:eastAsia="等线" w:hAnsi="Times New Roman"/>
          <w:b/>
          <w:color w:val="0D0D0D"/>
          <w:sz w:val="24"/>
          <w:lang w:bidi="ar"/>
        </w:rPr>
      </w:pPr>
    </w:p>
    <w:p w14:paraId="1E170932" w14:textId="6B6F0198" w:rsidR="00C60F85" w:rsidRPr="00C60F85" w:rsidRDefault="00C60F85" w:rsidP="00C60F85">
      <w:pPr>
        <w:rPr>
          <w:rFonts w:ascii="Times New Roman" w:eastAsia="等线" w:hAnsi="Times New Roman"/>
          <w:b/>
          <w:color w:val="0D0D0D"/>
          <w:sz w:val="24"/>
          <w:lang w:bidi="ar"/>
        </w:rPr>
      </w:pPr>
      <w:r>
        <w:rPr>
          <w:rFonts w:ascii="Times New Roman" w:eastAsia="等线" w:hAnsi="Times New Roman"/>
          <w:b/>
          <w:noProof/>
          <w:color w:val="0D0D0D"/>
          <w:sz w:val="24"/>
          <w:lang w:bidi="ar"/>
        </w:rPr>
        <w:lastRenderedPageBreak/>
        <w:drawing>
          <wp:inline distT="0" distB="0" distL="0" distR="0" wp14:anchorId="288C63F9" wp14:editId="413D692D">
            <wp:extent cx="5266690" cy="5230495"/>
            <wp:effectExtent l="0" t="0" r="0" b="8255"/>
            <wp:docPr id="757665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3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F85">
        <w:rPr>
          <w:rFonts w:ascii="Times New Roman" w:eastAsia="等线" w:hAnsi="Times New Roman" w:hint="eastAsia"/>
          <w:b/>
          <w:bCs/>
          <w:color w:val="0D0D0D"/>
          <w:lang w:bidi="ar"/>
        </w:rPr>
        <w:t>Supplementary Fig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. 1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2. 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Comparison of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UMI and gene numbers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 between 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CTSG+ immune cells and other cells.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A, </w:t>
      </w:r>
      <w:r w:rsidRPr="009F6E54">
        <w:rPr>
          <w:rFonts w:ascii="Times New Roman" w:eastAsia="等线" w:hAnsi="Times New Roman"/>
          <w:color w:val="0D0D0D"/>
          <w:lang w:bidi="ar"/>
        </w:rPr>
        <w:t>UMAP visualization of all annotated cell types from the bursa of Fabricius, intestine, and spleen samples containing CTSG+ immune cells. Cells are color-coded according to cell types.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 </w:t>
      </w:r>
      <w:bookmarkStart w:id="8" w:name="OLE_LINK78"/>
      <w:r w:rsidRPr="009F6E54">
        <w:rPr>
          <w:rFonts w:ascii="Times New Roman" w:eastAsia="等线" w:hAnsi="Times New Roman"/>
          <w:b/>
          <w:bCs/>
          <w:color w:val="0D0D0D"/>
          <w:lang w:eastAsia="zh" w:bidi="ar"/>
        </w:rPr>
        <w:t>B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, </w:t>
      </w:r>
      <w:bookmarkEnd w:id="8"/>
      <w:r w:rsidRPr="009F6E54">
        <w:rPr>
          <w:rFonts w:ascii="Times New Roman" w:eastAsia="等线" w:hAnsi="Times New Roman"/>
          <w:color w:val="0D0D0D"/>
          <w:lang w:bidi="ar"/>
        </w:rPr>
        <w:t xml:space="preserve">Dot plot of </w:t>
      </w:r>
      <w:r w:rsidRPr="009F6E54">
        <w:rPr>
          <w:rFonts w:ascii="Times New Roman" w:eastAsia="等线" w:hAnsi="Times New Roman" w:hint="eastAsia"/>
          <w:color w:val="0D0D0D"/>
          <w:lang w:bidi="ar"/>
        </w:rPr>
        <w:t>marker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 genes of the identified cell 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types.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C, </w:t>
      </w:r>
      <w:r w:rsidRPr="009F6E54">
        <w:rPr>
          <w:rFonts w:ascii="Times New Roman" w:eastAsia="等线" w:hAnsi="Times New Roman"/>
          <w:color w:val="0D0D0D"/>
          <w:lang w:bidi="ar"/>
        </w:rPr>
        <w:t>UMAP plots of the integrated dataset showing CTSG+ immune cells from each sample highlighted in black.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D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, </w:t>
      </w:r>
      <w:r w:rsidRPr="009F6E54">
        <w:rPr>
          <w:rFonts w:ascii="Times New Roman" w:eastAsia="等线" w:hAnsi="Times New Roman"/>
          <w:color w:val="0D0D0D"/>
          <w:lang w:bidi="ar"/>
        </w:rPr>
        <w:t>The distribution of doublets inferred by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>DoubletFinder and Scrublet.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 w:hint="eastAsia"/>
          <w:b/>
          <w:bCs/>
          <w:color w:val="0D0D0D"/>
          <w:lang w:bidi="ar"/>
        </w:rPr>
        <w:t xml:space="preserve">E, </w:t>
      </w:r>
      <w:r w:rsidRPr="009F6E54">
        <w:rPr>
          <w:rFonts w:ascii="Times New Roman" w:eastAsia="等线" w:hAnsi="Times New Roman"/>
          <w:color w:val="0D0D0D"/>
          <w:lang w:bidi="ar"/>
        </w:rPr>
        <w:t>The proportion of doublets in each cell type.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b/>
          <w:bCs/>
          <w:color w:val="0D0D0D"/>
          <w:lang w:bidi="ar"/>
        </w:rPr>
        <w:t>F-G,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 xml:space="preserve">Violin plot indicating the number of UMI 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and genes </w:t>
      </w:r>
      <w:r w:rsidRPr="009F6E54">
        <w:rPr>
          <w:rFonts w:ascii="Times New Roman" w:eastAsia="等线" w:hAnsi="Times New Roman"/>
          <w:color w:val="0D0D0D"/>
          <w:lang w:bidi="ar"/>
        </w:rPr>
        <w:t>detected in each</w:t>
      </w:r>
      <w:r w:rsidRPr="009F6E54">
        <w:rPr>
          <w:rFonts w:ascii="Times New Roman" w:eastAsia="等线" w:hAnsi="Times New Roman" w:hint="eastAsia"/>
          <w:color w:val="0D0D0D"/>
          <w:lang w:bidi="ar"/>
        </w:rPr>
        <w:t xml:space="preserve"> </w:t>
      </w:r>
      <w:r w:rsidRPr="009F6E54">
        <w:rPr>
          <w:rFonts w:ascii="Times New Roman" w:eastAsia="等线" w:hAnsi="Times New Roman"/>
          <w:color w:val="0D0D0D"/>
          <w:lang w:bidi="ar"/>
        </w:rPr>
        <w:t>cell type</w:t>
      </w:r>
      <w:r w:rsidRPr="009F6E54">
        <w:rPr>
          <w:rFonts w:ascii="Times New Roman" w:eastAsia="等线" w:hAnsi="Times New Roman" w:hint="eastAsia"/>
          <w:color w:val="0D0D0D"/>
          <w:lang w:bidi="ar"/>
        </w:rPr>
        <w:t>.</w:t>
      </w:r>
    </w:p>
    <w:p w14:paraId="4D61B660" w14:textId="6530C251" w:rsidR="00C60F85" w:rsidRPr="009F6E54" w:rsidRDefault="00C60F85" w:rsidP="00C60F85">
      <w:pPr>
        <w:pStyle w:val="ae"/>
        <w:widowControl/>
        <w:rPr>
          <w:rFonts w:ascii="Times New Roman" w:eastAsia="等线" w:hAnsi="Times New Roman"/>
          <w:color w:val="0D0D0D"/>
          <w:lang w:bidi="ar"/>
        </w:rPr>
      </w:pPr>
      <w:r>
        <w:rPr>
          <w:rFonts w:ascii="Times New Roman" w:eastAsia="等线" w:hAnsi="Times New Roman" w:hint="eastAsia"/>
          <w:noProof/>
          <w:color w:val="0D0D0D"/>
          <w:lang w:bidi="ar"/>
        </w:rPr>
        <w:lastRenderedPageBreak/>
        <w:drawing>
          <wp:inline distT="0" distB="0" distL="0" distR="0" wp14:anchorId="45CA3EB2" wp14:editId="793A00CB">
            <wp:extent cx="5266690" cy="4959985"/>
            <wp:effectExtent l="0" t="0" r="0" b="0"/>
            <wp:docPr id="71547456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495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F85">
        <w:rPr>
          <w:rFonts w:hint="eastAsia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. 1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3.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ScRNA-seq profiling and spatial visualization of cell clusters in the spleen of the chicken embryo. A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UMAP visualization of cell populations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and d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ot plot for expression of marker genes of the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these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populations in the spleen.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B,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Hematoxylin and Eosin (H&amp;E) staining of the spleen, along with spatial visualization of the indicated cell types within the spleen.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C,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Heatmap showing spatial proximity of cell-type pairs in the spleen.</w:t>
      </w:r>
    </w:p>
    <w:p w14:paraId="389E4FC6" w14:textId="77777777" w:rsidR="00C60F85" w:rsidRPr="009F6E54" w:rsidRDefault="00C60F85" w:rsidP="00C60F85">
      <w:pPr>
        <w:rPr>
          <w:rFonts w:ascii="Times New Roman" w:eastAsia="等线" w:hAnsi="Times New Roman"/>
          <w:b/>
          <w:color w:val="0D0D0D"/>
          <w:sz w:val="24"/>
          <w:lang w:bidi="ar"/>
        </w:rPr>
      </w:pPr>
      <w:r>
        <w:rPr>
          <w:rFonts w:ascii="Times New Roman" w:eastAsia="等线" w:hAnsi="Times New Roman" w:hint="eastAsia"/>
          <w:b/>
          <w:noProof/>
          <w:color w:val="0D0D0D"/>
          <w:sz w:val="24"/>
          <w:lang w:bidi="ar"/>
        </w:rPr>
        <w:lastRenderedPageBreak/>
        <w:drawing>
          <wp:inline distT="0" distB="0" distL="0" distR="0" wp14:anchorId="35AB2E9F" wp14:editId="2BF88CB0">
            <wp:extent cx="5266690" cy="6210300"/>
            <wp:effectExtent l="0" t="0" r="0" b="0"/>
            <wp:docPr id="204974290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74309" w14:textId="312D018C" w:rsidR="00C60F85" w:rsidRPr="00C60F85" w:rsidRDefault="00C60F85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sz w:val="21"/>
          <w:szCs w:val="21"/>
          <w:lang w:bidi="ar"/>
        </w:rPr>
      </w:pPr>
      <w:bookmarkStart w:id="9" w:name="OLE_LINK77"/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. 1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4.</w:t>
      </w:r>
      <w:bookmarkEnd w:id="9"/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Comparison of gene expression in T cells and innate lymphoid cells among amniotes.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eastAsia="zh" w:bidi="ar"/>
        </w:rPr>
        <w:t>A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Top: h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ierarchical clustering of the average expression profiles of integrated clusters; branches were colored by species mixture. Bottom: percentage of cells from the original species-specific clusters (rows) in the integrated clusters (columns).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eastAsia="zh" w:bidi="ar"/>
        </w:rPr>
        <w:t>B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Expression of module eigengenes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of gene modules obtained from turtle, chicken and human T/NK/ILC cells with WGCNA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.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eastAsia="zh" w:bidi="ar"/>
        </w:rPr>
        <w:t>C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Illustration of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t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he union of chicken γδ T_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>2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and Th17 high expression gene networks. Nodes: genes; edges: high-ranking gene-gene correlations.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eastAsia="zh"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D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UMAP visualization of all clusters colored by cell types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in adult duck intestin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e.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E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Heatmap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showing the expression of effect genes in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cell types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in adult duck intestin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e.</w:t>
      </w:r>
    </w:p>
    <w:p w14:paraId="10837D86" w14:textId="77777777" w:rsidR="00C60F85" w:rsidRPr="009F6E54" w:rsidRDefault="00C60F85" w:rsidP="00C60F85">
      <w:pPr>
        <w:pStyle w:val="ae"/>
        <w:widowControl/>
        <w:spacing w:beforeAutospacing="0" w:afterAutospacing="0"/>
        <w:rPr>
          <w:rFonts w:ascii="Times New Roman" w:eastAsia="等线" w:hAnsi="Times New Roman"/>
          <w:color w:val="0D0D0D"/>
          <w:lang w:bidi="ar"/>
        </w:rPr>
      </w:pPr>
      <w:r>
        <w:rPr>
          <w:rFonts w:ascii="Times New Roman" w:eastAsia="等线" w:hAnsi="Times New Roman"/>
          <w:noProof/>
          <w:color w:val="0D0D0D"/>
          <w:lang w:bidi="ar"/>
        </w:rPr>
        <w:lastRenderedPageBreak/>
        <w:drawing>
          <wp:inline distT="0" distB="0" distL="0" distR="0" wp14:anchorId="3C518159" wp14:editId="39AC8F0C">
            <wp:extent cx="5274310" cy="7564120"/>
            <wp:effectExtent l="0" t="0" r="2540" b="0"/>
            <wp:docPr id="16670998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6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33B93" w14:textId="2462F53A" w:rsidR="00C60F85" w:rsidRPr="00C60F85" w:rsidRDefault="00C60F85" w:rsidP="00C60F85">
      <w:pPr>
        <w:pStyle w:val="ae"/>
        <w:rPr>
          <w:rFonts w:ascii="Times New Roman" w:hAnsi="Times New Roman"/>
          <w:color w:val="0D0D0D"/>
          <w:sz w:val="21"/>
          <w:szCs w:val="21"/>
        </w:rPr>
      </w:pP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Supplementary Fig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15.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Heterogeneity of γδ across developmental stages and tissues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.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A,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Similarities and differences in gene regulatory networks of γδ T_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>2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across embryo and adult chicken.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B,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Gene set enrichment analysis results for differentially expressed genes in embryonic and adult γδ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T_2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.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bidi="ar"/>
        </w:rPr>
        <w:t>C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 xml:space="preserve">,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UMAP visualization of the adult γδ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T_1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cells in chicken colored by tissues.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b/>
          <w:bCs/>
          <w:color w:val="0D0D0D"/>
          <w:sz w:val="21"/>
          <w:szCs w:val="21"/>
          <w:lang w:eastAsia="zh" w:bidi="ar"/>
        </w:rPr>
        <w:lastRenderedPageBreak/>
        <w:t>D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UMAP visualization of adult γδ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T_2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subtypes in chicken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(upper) and p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roportion of adult γδ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T_2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subtypes in each tissue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(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lower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>)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.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</w:t>
      </w:r>
      <w:r w:rsidRPr="00C60F85">
        <w:rPr>
          <w:rFonts w:ascii="Times New Roman" w:eastAsia="等线" w:hAnsi="Times New Roman" w:hint="eastAsia"/>
          <w:b/>
          <w:bCs/>
          <w:color w:val="0D0D0D"/>
          <w:sz w:val="21"/>
          <w:szCs w:val="21"/>
          <w:lang w:bidi="ar"/>
        </w:rPr>
        <w:t>E,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Dot plot for differentially expressed genes of γδ</w:t>
      </w:r>
      <w:r w:rsidRPr="00C60F85">
        <w:rPr>
          <w:rFonts w:ascii="Times New Roman" w:eastAsia="等线" w:hAnsi="Times New Roman"/>
          <w:color w:val="0D0D0D"/>
          <w:sz w:val="21"/>
          <w:szCs w:val="21"/>
          <w:lang w:eastAsia="zh" w:bidi="ar"/>
        </w:rPr>
        <w:t xml:space="preserve"> T_2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 xml:space="preserve"> subtypes in </w:t>
      </w:r>
      <w:r w:rsidRPr="00C60F85">
        <w:rPr>
          <w:rFonts w:ascii="Times New Roman" w:eastAsia="等线" w:hAnsi="Times New Roman" w:hint="eastAsia"/>
          <w:color w:val="0D0D0D"/>
          <w:sz w:val="21"/>
          <w:szCs w:val="21"/>
          <w:lang w:bidi="ar"/>
        </w:rPr>
        <w:t xml:space="preserve">adult </w:t>
      </w:r>
      <w:r w:rsidRPr="00C60F85">
        <w:rPr>
          <w:rFonts w:ascii="Times New Roman" w:eastAsia="等线" w:hAnsi="Times New Roman"/>
          <w:color w:val="0D0D0D"/>
          <w:sz w:val="21"/>
          <w:szCs w:val="21"/>
          <w:lang w:bidi="ar"/>
        </w:rPr>
        <w:t>chicken.</w:t>
      </w:r>
    </w:p>
    <w:p w14:paraId="09E4FD1D" w14:textId="77777777" w:rsidR="00D478E3" w:rsidRPr="00C60F85" w:rsidRDefault="00D478E3">
      <w:pPr>
        <w:rPr>
          <w:rFonts w:hint="eastAsia"/>
        </w:rPr>
      </w:pPr>
    </w:p>
    <w:sectPr w:rsidR="00D478E3" w:rsidRPr="00C60F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OT17d99a6a . B">
    <w:altName w:val="Times New Roman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185"/>
    <w:rsid w:val="00185BC8"/>
    <w:rsid w:val="001970F8"/>
    <w:rsid w:val="0054382D"/>
    <w:rsid w:val="005441C0"/>
    <w:rsid w:val="005C7F78"/>
    <w:rsid w:val="00A812C7"/>
    <w:rsid w:val="00B041DA"/>
    <w:rsid w:val="00BB70ED"/>
    <w:rsid w:val="00C60F85"/>
    <w:rsid w:val="00CB1021"/>
    <w:rsid w:val="00CD674A"/>
    <w:rsid w:val="00CE1185"/>
    <w:rsid w:val="00D478E3"/>
    <w:rsid w:val="00E70D67"/>
    <w:rsid w:val="00F6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10325"/>
  <w14:defaultImageDpi w14:val="32767"/>
  <w15:chartTrackingRefBased/>
  <w15:docId w15:val="{79AC85E2-D73D-4A3C-A8DA-4C3110657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BC8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E118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11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11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118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118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118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118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1185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1185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118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E11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E11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E118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E118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E118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E118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E118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E118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E118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E11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118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E11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1185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E11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1185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CE118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E11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E118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E1185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qFormat/>
    <w:rsid w:val="00C60F85"/>
    <w:pPr>
      <w:spacing w:beforeAutospacing="1" w:afterAutospacing="1"/>
      <w:jc w:val="left"/>
    </w:pPr>
    <w:rPr>
      <w:rFonts w:ascii="Arial" w:eastAsia="微软雅黑" w:hAnsi="Arial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s://jlsb.science-line.com/attachments/article/75/J%20Life%20Sci%20Biomed%209(5)%20144-150,%202019.pdf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C32C3-78D0-4D25-958A-15D075319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18</Pages>
  <Words>1212</Words>
  <Characters>6911</Characters>
  <Application>Microsoft Office Word</Application>
  <DocSecurity>0</DocSecurity>
  <Lines>57</Lines>
  <Paragraphs>16</Paragraphs>
  <ScaleCrop>false</ScaleCrop>
  <Company/>
  <LinksUpToDate>false</LinksUpToDate>
  <CharactersWithSpaces>8107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纪龙 任</dc:creator>
  <cp:keywords/>
  <dc:description/>
  <cp:lastModifiedBy>纪龙 任</cp:lastModifiedBy>
  <cp:revision>11</cp:revision>
  <dcterms:created xsi:type="dcterms:W3CDTF">2025-03-05T02:42:00Z</dcterms:created>
  <dcterms:modified xsi:type="dcterms:W3CDTF">2025-03-05T15:16:00Z</dcterms:modified>
</cp:coreProperties>
</file>