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EFF76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 w:val="0"/>
          <w:kern w:val="2"/>
          <w:sz w:val="21"/>
          <w:szCs w:val="21"/>
          <w:lang w:val="en-US" w:eastAsia="zh-CN" w:bidi="ar"/>
        </w:rPr>
        <w:t>Figure S1.</w:t>
      </w:r>
      <w:r>
        <w:rPr>
          <w:rFonts w:hint="eastAsia" w:ascii="等线" w:hAnsi="等线" w:eastAsia="等线" w:cs="Times New Roman"/>
          <w:b/>
          <w:bCs w:val="0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  <w:t>QQ Plot of GWAS Summary Statistics for Allergic Disorders</w:t>
      </w:r>
    </w:p>
    <w:p w14:paraId="01130104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5486400" cy="5486400"/>
            <wp:effectExtent l="0" t="0" r="0" b="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D51E6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745B2E8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40D7F7C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033C6B53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3D3191B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0ACE63DF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47E2DD4A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 w:val="0"/>
          <w:kern w:val="2"/>
          <w:sz w:val="21"/>
          <w:szCs w:val="21"/>
          <w:lang w:val="en-US" w:eastAsia="zh-CN" w:bidi="ar"/>
        </w:rPr>
        <w:t xml:space="preserve">Figure S2. </w:t>
      </w:r>
      <w:r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  <w:t>Manhattan Plot of GWAS Results for Allergic Disorders from MAGMA Analysis</w:t>
      </w:r>
    </w:p>
    <w:p w14:paraId="050BD79D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5474335" cy="2044700"/>
            <wp:effectExtent l="0" t="0" r="12065" b="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6D238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0C5984F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790D9A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6AAC8332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16A6C049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C0B4C8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31CC8705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431CC34D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3115355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297459E9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607DF39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258B754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1476D76D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A91B45A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BC62E86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 w:val="0"/>
          <w:kern w:val="2"/>
          <w:sz w:val="21"/>
          <w:szCs w:val="21"/>
          <w:lang w:val="en-US" w:eastAsia="zh-CN" w:bidi="ar"/>
        </w:rPr>
        <w:t>Figure S3.</w:t>
      </w:r>
      <w:r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  <w:t xml:space="preserve"> Pathway Enrichment Analysis Using Catalog Gene Enrichment from the MSigDB Database</w:t>
      </w:r>
    </w:p>
    <w:p w14:paraId="06AE1849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5480685" cy="4337685"/>
            <wp:effectExtent l="0" t="0" r="5715" b="5715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92F3A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0DAE25EA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479B2A34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7CE08064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5AE55491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636CF478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592302E0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</w:p>
    <w:p w14:paraId="1E79FCB1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</w:pPr>
      <w:bookmarkStart w:id="0" w:name="_GoBack"/>
      <w:bookmarkEnd w:id="0"/>
    </w:p>
    <w:p w14:paraId="646864F9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Cs/>
          <w:szCs w:val="21"/>
          <w:lang w:val="en-US"/>
        </w:rPr>
      </w:pPr>
      <w:r>
        <w:rPr>
          <w:rFonts w:hint="default" w:ascii="Times New Roman" w:hAnsi="Times New Roman" w:eastAsia="等线" w:cs="Times New Roman"/>
          <w:b/>
          <w:bCs w:val="0"/>
          <w:kern w:val="2"/>
          <w:sz w:val="21"/>
          <w:szCs w:val="21"/>
          <w:lang w:val="en-US" w:eastAsia="zh-CN" w:bidi="ar"/>
        </w:rPr>
        <w:t>Figure S4.</w:t>
      </w:r>
      <w:r>
        <w:rPr>
          <w:rFonts w:hint="default" w:ascii="Times New Roman" w:hAnsi="Times New Roman" w:eastAsia="等线" w:cs="Times New Roman"/>
          <w:bCs/>
          <w:kern w:val="2"/>
          <w:sz w:val="21"/>
          <w:szCs w:val="21"/>
          <w:lang w:val="en-US" w:eastAsia="zh-CN" w:bidi="ar"/>
        </w:rPr>
        <w:t xml:space="preserve"> Disease Enrichment Analysis from the MendelVar Database</w:t>
      </w:r>
    </w:p>
    <w:p w14:paraId="441D754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5130" cy="4752975"/>
            <wp:effectExtent l="0" t="0" r="1270" b="9525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11BBD"/>
    <w:rsid w:val="2851438B"/>
    <w:rsid w:val="2D007EFF"/>
    <w:rsid w:val="2DB5720A"/>
    <w:rsid w:val="5DD32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2025-02-26T07:25:41Z</dcterms:created>
  <dc:creator>73193</dc:creator>
  <cp:lastModifiedBy>安圆兹环乌之尔理恭</cp:lastModifiedBy>
  <dcterms:modified xsi:type="dcterms:W3CDTF">2025-02-26T07:27:25Z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eyJoZGlkIjoiZWM4NTVkN2EwM2Q2MDA2NWE2NjU3MTE1NjZiMGY0MjQiLCJ1c2VySWQiOiI1NTY3NzE4OTUifQ==</vt:lpwstr>
  </property>
  <property fmtid="{D5CDD505-2E9C-101B-9397-08002B2CF9AE}" pid="4" name="ICV">
    <vt:lpwstr>18D0B6E0C6C147B6B307CFCCB048B926_12</vt:lpwstr>
  </property>
</Properties>
</file>