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B7CC25" w14:textId="3D6C7187" w:rsidR="00235234" w:rsidRPr="008072F8" w:rsidRDefault="0059603A" w:rsidP="008072F8">
      <w:pPr>
        <w:pStyle w:val="Bijschrift"/>
        <w:keepNext/>
        <w:rPr>
          <w:rFonts w:cstheme="minorHAnsi"/>
          <w:color w:val="auto"/>
          <w:sz w:val="24"/>
          <w:szCs w:val="24"/>
        </w:rPr>
      </w:pPr>
      <w:bookmarkStart w:id="0" w:name="_Hlk31553613"/>
      <w:r>
        <w:rPr>
          <w:rFonts w:cstheme="minorHAnsi"/>
          <w:color w:val="auto"/>
          <w:sz w:val="24"/>
          <w:szCs w:val="24"/>
        </w:rPr>
        <w:t xml:space="preserve">Table 1. </w:t>
      </w:r>
      <w:r w:rsidR="00235234" w:rsidRPr="008072F8">
        <w:rPr>
          <w:rFonts w:cstheme="minorHAnsi"/>
          <w:color w:val="auto"/>
          <w:sz w:val="24"/>
          <w:szCs w:val="24"/>
        </w:rPr>
        <w:t>Study characteristics</w:t>
      </w:r>
    </w:p>
    <w:tbl>
      <w:tblPr>
        <w:tblStyle w:val="Tabelraster"/>
        <w:tblpPr w:leftFromText="141" w:rightFromText="141" w:vertAnchor="text" w:tblpX="-176" w:tblpY="1"/>
        <w:tblOverlap w:val="never"/>
        <w:tblW w:w="14034" w:type="dxa"/>
        <w:tblLayout w:type="fixed"/>
        <w:tblLook w:val="04A0" w:firstRow="1" w:lastRow="0" w:firstColumn="1" w:lastColumn="0" w:noHBand="0" w:noVBand="1"/>
      </w:tblPr>
      <w:tblGrid>
        <w:gridCol w:w="710"/>
        <w:gridCol w:w="1275"/>
        <w:gridCol w:w="4820"/>
        <w:gridCol w:w="1134"/>
        <w:gridCol w:w="2234"/>
        <w:gridCol w:w="3861"/>
      </w:tblGrid>
      <w:tr w:rsidR="00781810" w:rsidRPr="008072F8" w14:paraId="53198520" w14:textId="77777777" w:rsidTr="00B6472B">
        <w:trPr>
          <w:tblHeader/>
        </w:trPr>
        <w:tc>
          <w:tcPr>
            <w:tcW w:w="710" w:type="dxa"/>
          </w:tcPr>
          <w:p w14:paraId="2B5CF547" w14:textId="519D918C" w:rsidR="00781810" w:rsidRPr="008072F8" w:rsidRDefault="00781810" w:rsidP="008072F8">
            <w:pPr>
              <w:rPr>
                <w:rFonts w:cstheme="minorHAnsi"/>
                <w:b/>
                <w:sz w:val="20"/>
                <w:szCs w:val="20"/>
              </w:rPr>
            </w:pPr>
            <w:r w:rsidRPr="008072F8">
              <w:rPr>
                <w:rFonts w:cstheme="minorHAnsi"/>
                <w:b/>
                <w:sz w:val="20"/>
                <w:szCs w:val="20"/>
              </w:rPr>
              <w:t>Nr.</w:t>
            </w:r>
          </w:p>
        </w:tc>
        <w:tc>
          <w:tcPr>
            <w:tcW w:w="1275" w:type="dxa"/>
          </w:tcPr>
          <w:p w14:paraId="091F7419" w14:textId="60294C32" w:rsidR="00781810" w:rsidRPr="008072F8" w:rsidRDefault="00781810" w:rsidP="008072F8">
            <w:pPr>
              <w:rPr>
                <w:rFonts w:cstheme="minorHAnsi"/>
                <w:b/>
                <w:sz w:val="20"/>
                <w:szCs w:val="20"/>
              </w:rPr>
            </w:pPr>
            <w:r w:rsidRPr="008072F8">
              <w:rPr>
                <w:rFonts w:cstheme="minorHAnsi"/>
                <w:b/>
                <w:sz w:val="20"/>
                <w:szCs w:val="20"/>
              </w:rPr>
              <w:t>Study</w:t>
            </w:r>
          </w:p>
        </w:tc>
        <w:tc>
          <w:tcPr>
            <w:tcW w:w="4820" w:type="dxa"/>
          </w:tcPr>
          <w:p w14:paraId="16B58F98" w14:textId="77777777" w:rsidR="00781810" w:rsidRPr="008072F8" w:rsidRDefault="00781810" w:rsidP="008072F8">
            <w:pPr>
              <w:rPr>
                <w:rFonts w:cstheme="minorHAnsi"/>
                <w:b/>
                <w:sz w:val="20"/>
                <w:szCs w:val="20"/>
              </w:rPr>
            </w:pPr>
            <w:r w:rsidRPr="008072F8">
              <w:rPr>
                <w:rFonts w:cstheme="minorHAnsi"/>
                <w:b/>
                <w:sz w:val="20"/>
                <w:szCs w:val="20"/>
              </w:rPr>
              <w:t>Study purpose</w:t>
            </w:r>
          </w:p>
        </w:tc>
        <w:tc>
          <w:tcPr>
            <w:tcW w:w="1134" w:type="dxa"/>
          </w:tcPr>
          <w:p w14:paraId="4E5269A6" w14:textId="77777777" w:rsidR="00781810" w:rsidRPr="008072F8" w:rsidRDefault="00781810" w:rsidP="008072F8">
            <w:pPr>
              <w:rPr>
                <w:rFonts w:cstheme="minorHAnsi"/>
                <w:b/>
                <w:sz w:val="20"/>
                <w:szCs w:val="20"/>
              </w:rPr>
            </w:pPr>
            <w:r w:rsidRPr="008072F8">
              <w:rPr>
                <w:rFonts w:cstheme="minorHAnsi"/>
                <w:b/>
                <w:sz w:val="20"/>
                <w:szCs w:val="20"/>
              </w:rPr>
              <w:t>Design</w:t>
            </w:r>
          </w:p>
        </w:tc>
        <w:tc>
          <w:tcPr>
            <w:tcW w:w="2234" w:type="dxa"/>
          </w:tcPr>
          <w:p w14:paraId="4AABDE52" w14:textId="77777777" w:rsidR="00781810" w:rsidRPr="008072F8" w:rsidRDefault="00781810" w:rsidP="008072F8">
            <w:pPr>
              <w:rPr>
                <w:rFonts w:cstheme="minorHAnsi"/>
                <w:b/>
                <w:sz w:val="20"/>
                <w:szCs w:val="20"/>
              </w:rPr>
            </w:pPr>
            <w:r w:rsidRPr="008072F8">
              <w:rPr>
                <w:rFonts w:cstheme="minorHAnsi"/>
                <w:b/>
                <w:sz w:val="20"/>
                <w:szCs w:val="20"/>
              </w:rPr>
              <w:t>Methods</w:t>
            </w:r>
          </w:p>
        </w:tc>
        <w:tc>
          <w:tcPr>
            <w:tcW w:w="3861" w:type="dxa"/>
          </w:tcPr>
          <w:p w14:paraId="3E7CC189" w14:textId="77777777" w:rsidR="00781810" w:rsidRPr="008072F8" w:rsidRDefault="00781810" w:rsidP="008072F8">
            <w:pPr>
              <w:rPr>
                <w:rFonts w:cstheme="minorHAnsi"/>
                <w:b/>
                <w:sz w:val="20"/>
                <w:szCs w:val="20"/>
              </w:rPr>
            </w:pPr>
            <w:r w:rsidRPr="008072F8">
              <w:rPr>
                <w:rFonts w:cstheme="minorHAnsi"/>
                <w:b/>
                <w:sz w:val="20"/>
                <w:szCs w:val="20"/>
              </w:rPr>
              <w:t>Sample /setting</w:t>
            </w:r>
          </w:p>
        </w:tc>
      </w:tr>
      <w:tr w:rsidR="00781810" w:rsidRPr="008072F8" w14:paraId="6B4872EA" w14:textId="77777777" w:rsidTr="00B6472B">
        <w:tc>
          <w:tcPr>
            <w:tcW w:w="710" w:type="dxa"/>
          </w:tcPr>
          <w:p w14:paraId="6660E6CC" w14:textId="0DEB2719"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{"citationItems":[{"id":"ITEM-1","itemData":{"DOI":"10.1007/s005200100290","ISSN":"0941-4355","PMID":"11862506","abstract":"Clinical audits suggest that prognosis is often not discussed with cancer patients, and cancer patients often over- or underestimate their prognosis. Doctors wish to convey information honestly and sensitively, but are often unsure how best to achieve this. An evidence base and guidelines in this area are lacking. This study aimed to obtain patient and health professional views on optimal ways of presenting prognosis to patients with metastatic breast cancer. Qualitative methods were used to generate participant views and experiences. Seventeen patients and 13 health professionals working in cancer care participated in structured interviews, which were audio-taped and transcribed. Sampling was discontinued when informational redundancy was achieved. The transcribed interviews were content analysed by a trained assessor using the constant-comparative method. Seven primary themes were identified, including: communication within a caring, trusting, long-term relationship; open and repeated negotiations for patient preferences for information; clear, straightforward presentation of prognosis where desired; strategies to ensure patient understanding; encouragement of hope and a sense of control; consistency of communication within the multi-disciplinary team; communication with other members of the family. Communication about prognosis in a metastatic setting requires considerable resources from both patients and doctors. Nevertheless, a number of useful strategies were identified. A quantitative study obtaining feedback from a large and representative sample of patients with metastatic cancer is now in progress, to confirm patient preferences for the communication styles identified in this qualitative study.","author":[{"dropping-particle":"","family":"Butow","given":"P.","non-dropping-particle":"","parse-names":false,"suffix":""},{"dropping-particle":"","family":"Dowsett","given":"S.","non-dropping-particle":"","parse-names":false,"suffix":""},{"dropping-particle":"","family":"Hagerty","given":"R.","non-dropping-particle":"","parse-names":false,"suffix":""},{"dropping-particle":"","family":"Tattersall","given":"M.","non-dropping-particle":"","parse-names":false,"suffix":""}],"container-title":"Supportive Care in Cancer","id":"ITEM-1","issue":"2","issued":{"date-parts":[["2002","3","9"]]},"page":"161-168","title":"Communicating prognosis to patients with metastatic disease: what do they really want to know?","type":"article-journal","volume":"10"},"uris":["http://www.mendeley.com/documents/?uuid=b4f3d11b-efe8-41f4-83c8-eb1c9f3b958c"]}],"mendeley":{"formattedCitation":"[1]","plainTextFormattedCitation":"[1]","previouslyFormattedCitation":"(1)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w:t>
            </w:r>
            <w:r w:rsidRPr="008072F8">
              <w:rPr>
                <w:rFonts w:cstheme="minorHAnsi"/>
                <w:sz w:val="20"/>
                <w:szCs w:val="20"/>
              </w:rPr>
              <w:fldChar w:fldCharType="end"/>
            </w:r>
          </w:p>
        </w:tc>
        <w:tc>
          <w:tcPr>
            <w:tcW w:w="1275" w:type="dxa"/>
          </w:tcPr>
          <w:p w14:paraId="15150D18" w14:textId="283A79D7" w:rsidR="00781810" w:rsidRPr="008072F8" w:rsidRDefault="00781810" w:rsidP="008072F8">
            <w:pPr>
              <w:rPr>
                <w:rFonts w:cstheme="minorHAnsi"/>
                <w:sz w:val="20"/>
                <w:szCs w:val="20"/>
              </w:rPr>
            </w:pPr>
            <w:proofErr w:type="spellStart"/>
            <w:r w:rsidRPr="008072F8">
              <w:rPr>
                <w:rFonts w:cstheme="minorHAnsi"/>
                <w:sz w:val="20"/>
                <w:szCs w:val="20"/>
              </w:rPr>
              <w:t>Butow</w:t>
            </w:r>
            <w:proofErr w:type="spellEnd"/>
            <w:r w:rsidRPr="008072F8">
              <w:rPr>
                <w:rFonts w:cstheme="minorHAnsi"/>
                <w:sz w:val="20"/>
                <w:szCs w:val="20"/>
              </w:rPr>
              <w:t xml:space="preserve"> 2002</w:t>
            </w:r>
          </w:p>
        </w:tc>
        <w:tc>
          <w:tcPr>
            <w:tcW w:w="4820" w:type="dxa"/>
          </w:tcPr>
          <w:p w14:paraId="63A41DD8" w14:textId="0D73915A" w:rsidR="00781810" w:rsidRPr="008072F8" w:rsidRDefault="00781810" w:rsidP="008072F8">
            <w:pPr>
              <w:rPr>
                <w:rFonts w:cstheme="minorHAnsi"/>
                <w:sz w:val="20"/>
                <w:szCs w:val="20"/>
              </w:rPr>
            </w:pPr>
            <w:r w:rsidRPr="008072F8">
              <w:rPr>
                <w:rFonts w:cstheme="minorHAnsi"/>
                <w:sz w:val="20"/>
                <w:szCs w:val="20"/>
              </w:rPr>
              <w:t>To obtain patient and health professional views on optimal ways of presenting prognosis to patients with metastatic cancer.</w:t>
            </w:r>
          </w:p>
        </w:tc>
        <w:tc>
          <w:tcPr>
            <w:tcW w:w="1134" w:type="dxa"/>
          </w:tcPr>
          <w:p w14:paraId="2A19D64A"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3C3EA129" w14:textId="77777777" w:rsidR="00781810" w:rsidRPr="008072F8" w:rsidRDefault="00781810" w:rsidP="008072F8">
            <w:pPr>
              <w:rPr>
                <w:rFonts w:cstheme="minorHAnsi"/>
                <w:sz w:val="20"/>
                <w:szCs w:val="20"/>
              </w:rPr>
            </w:pPr>
            <w:r w:rsidRPr="008072F8">
              <w:rPr>
                <w:rFonts w:cstheme="minorHAnsi"/>
                <w:sz w:val="20"/>
                <w:szCs w:val="20"/>
              </w:rPr>
              <w:t xml:space="preserve">Semi-structured interviews with detailed probes. </w:t>
            </w:r>
          </w:p>
        </w:tc>
        <w:tc>
          <w:tcPr>
            <w:tcW w:w="3861" w:type="dxa"/>
          </w:tcPr>
          <w:p w14:paraId="49B97849"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17; women with metastatic breast cancer. Australia</w:t>
            </w:r>
          </w:p>
        </w:tc>
      </w:tr>
      <w:tr w:rsidR="00781810" w:rsidRPr="008072F8" w14:paraId="27261CBC" w14:textId="77777777" w:rsidTr="00B6472B">
        <w:tc>
          <w:tcPr>
            <w:tcW w:w="710" w:type="dxa"/>
          </w:tcPr>
          <w:p w14:paraId="76B237C9" w14:textId="5F099A20"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{"citationItems":[{"id":"ITEM-1","itemData":{"DOI":"10.1007/s00520-005-0789-4","ISBN":"0941-4355","ISSN":"0941-4355","PMID":"15761699","abstract":"Goals of work: There is uncertainty regarding the preferred content and phrasing of information when discussing life expectancy with terminally ill cancer patients and their carers. The objective of this study was to explore the various stakeholders' perceptions about these issues. Subjects and methods: We conducted focus groups and individual interviews with 19 patients with advanced cancer and 24 carers from three different palliative care (PC) services in Sydney and 22 PC health professionals (HPs) from ten different sites in Australia. The focus groups and individual interviews were audiotaped and fully transcribed. Further focus groups and/or individual interviews were conducted until no additional topics were raised. Participants' narratives were analysed using qualitative methodology. Main results: Participants' suggestions regarding the content of prognostic discussions included: explaining uncertainty and limitations, explaining the process involved with making survival predictions, and avoiding being too exact. Those patients and carers who wanted to be given a time frame mostly wanted to know how long the average person with their condition would live and/or be given a rough range. HPs had various views regarding ways to phrase life expectancy: days versus weeks versus months, likelihood of the patients being alive for certain events, a rough quantitative range and probabilities (e.g. 10% and 50% survival). However, most HPs said they would rarely if ever give statistical information to patients. Conclusions: This paper provides some potential strategies, words and phrases which may inform discussions about life expectancy. Further research is needed to determine the generalizability of these findings. Springer-Verlag 2005.","author":[{"dropping-particle":"","family":"Clayton","given":"Josephine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 N","non-dropping-particle":"","parse-names":false,"suffix":""}],"container-title":"Supportive Care in Cancer","id":"ITEM-1","issue":"9","issued":{"date-parts":[["2005","9","11"]]},"page":"733-742","title":"Discussing life expectancy with terminally ill cancer patients and their carers: a qualitative study","type":"article-journal","volume":"13"},"uris":["http://www.mendeley.com/documents/?uuid=fad46b8f-0837-44a2-83f9-a1a87b07ac75"]},{"id":"ITEM-2","itemData":{"DOI":"10.1002/cncr.21011","ISBN":"0008-543X (Print)\\n0008-543X (Linking)","ISSN":"0008-543X","PMID":"15789360","abstract":"BACKGROUND: It is challenging for clinicians to foster coping and allow hope when discussing prognosis and end-of-life (EOL) issues with terminally ill cancer patients and their caregivers. To the authors' knowledge, little research evidence is currently available to guide clinical practice.\\n\\nMETHODS: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methodology.\\n\\nRESULTS: All participant groups believed there were ways of fostering coping and nurturing hope when discussing prognosis and EOL issues. Themes identified from the transcripts regarding ways of helping patients with a limited life expectancy to cope were: 1) emphasize what can be done (namely: a) control of physical symptoms; b) emotional support, care, and dignity; and c) practical support), 2) explore realistic goals, and 3) discuss day-to-day living. Two additional themes were identified regarding ways of fostering hope: the balance between truth telling and nurturing hope, and the spectrum of hope. All these themes were raised by the patients, caregivers, and HPs. However, there were some differences of opinion within the three participant groups.\\n\\nCONCLUSIONS: The results of the current study demonstrated that most participants believed there were ways of fostering coping and maintaining hope and that HPs have a role in facilitating this with terminally ill cancer patients and their caregivers.","author":[{"dropping-particle":"","family":"Clayton","given":"Josephine M.","non-dropping-particle":"","parse-names":false,"suffix":""},{"dropping-particle":"","family":"Butow","given":"Phyllis N.","non-dropping-particle":"","parse-names":false,"suffix":""},{"dropping-particle":"","family":"Arnold","given":"Robert M.","non-dropping-particle":"","parse-names":false,"suffix":""},{"dropping-particle":"","family":"Tattersall","given":"Martin H.N. N","non-dropping-particle":"","parse-names":false,"suffix":""}],"container-title":"Cancer","id":"ITEM-2","issue":"9","issued":{"date-parts":[["2005","5","1"]]},"page":"1965-1975","title":"Fostering coping and nurturing hope when discussing the future with terminally ill cancer patients and their caregivers","type":"article-journal","volume":"103"},"uris":["http://www.mendeley.com/documents/?uuid=c8c532ae-0d51-45eb-96e5-dbaca84c49f5"]},{"id":"ITEM-3","itemData":{"DOI":"10.1016/j.jpainsymman.2005.02.014","ISBN":"0885-3924","ISSN":"08853924","PMID":"16125028","abstract":"The aim of this study was to explore by whom, how, and when discussions about prognosis and end-of-life issues should be initiated with terminally ill patients, and the context in which these issues can be optimally discussed. Focus groups and individual interviews were conducted with 19 palliative care (PC) patients, 24 carers, and 22 PC health professionals (HPs). Participants had disparate views regarding by whom and when such discussions should be initiated, although a similar range of perspectives was expressed by all participant groups. Four main approaches were identified: wait for the patient/carer to raise the topic; HPs to offer all PC patients and their carers the opportunity to discuss the future (preferred by the majority of participants); HPs to initiate the discussion when the patient/family need to know; or HPs to initiate the discussion when the patient/family seem ready. Four themes emerged regarding the optimal context of the discussion: importance of the relationship with HP, clarifying the patient/carers' understanding and how much detail they want to know, negotiating who should be present during the discussion, and who should deliver the information. Initiating prognostic discussions with terminally ill patients requires considerable skill and sensitivity. Communication skills training for HPs may be required to optimize such discussions. © 2005 U.S. Cancer Pain Relief Committee. Published by Elsevier Inc. All rights reserved.","author":[{"dropping-particle":"","family":"Clayton","given":"Josephine M.","non-dropping-particle":"","parse-names":false,"suffix":""},{"dropping-particle":"","family":"Butow","given":"Phyllis N.","non-dropping-particle":"","parse-names":false,"suffix":""},{"dropping-particle":"","family":"Tattersall","given":"Martin H.N.","non-dropping-particle":"","parse-names":false,"suffix":""}],"container-title":"Journal of Pain and Symptom Management","id":"ITEM-3","issue":"2","issued":{"date-parts":[["2005","8"]]},"page":"132-144","title":"When and How to Initiate Discussion About Prognosis and End-of-Life Issues with Terminally Ill Patients","type":"article-journal","volume":"30"},"uris":["http://www.mendeley.com/documents/?uuid=c6c0cb8c-39a0-4e9b-af06-57ad17e49a22"]},{"id":"ITEM-4","itemData":{"DOI":"10.1002/cncr.21010","ISSN":"0008-543X","abstract":"BACKGROUND: The difficulty of negotiating the concerns of family members while also respecting the needs of the patient adds complexity to the task of discussing prognosis and end-of-life (EOL) issues with terminally ill cancer patients. The informational needs of caregivers may be different from those of the patients themselves with regard to these topics. However, to the authors' knowledge, this issue has received relatively little research attention. METHODS: The authors conducted focus groups and individual interviews with 19 patients with far advanced cancer and 24 caregivers from 3 palliative care (PC) services in Sydney and 22 PC health professionals (HPs) from around Australia. The focus groups and individual interviews were audiotaped and fully transcribed. Additional focus groups or individual interviews were conducted until no additional topics were raised. The participants' narratives were analyzed using qualitative methodology. RESULTS: The participants had varying views regarding whether patients and caregivers should be told different information concerning prognosis and EOL issues. Three themes were identified from the transcripts regarding meeting the informational needs of both the patients and caregivers: 1) the importance of consistency and openness, 2) the specific information needed to care for the patient, and 3) the value of having separate discussions with the patient and caregiver. A desire to restrict the patient's access to information by the caregiver or vice versa was reported by the HPs to be one of the most challenging issues when discussing prognosis and EOL issues. Three themes were identified with regard to this issue: 1) autonomy versus protection, 2) negotiating family dynamics, and 3) difficulty using interpreters. CONCLUSIONS: The results of the current study emphasized the importance of considering the distinct informational needs of caregivers, as well as those of the patient, when discussing prognosis and EOL issues.","author":[{"dropping-particle":"","family":"Clayton","given":"Josephine M.","non-dropping-particle":"","parse-names":false,"suffix":""},{"dropping-particle":"","family":"Butow","given":"Phyllis N.","non-dropping-particle":"","parse-names":false,"suffix":""},{"dropping-particle":"","family":"Tattersall","given":"Martin H N","non-dropping-particle":"","parse-names":false,"suffix":""}],"container-title":"Cancer","id":"ITEM-4","issue":"9","issued":{"date-parts":[["2005","5","1"]]},"page":"1957-1964","title":"The needs of terminally ill cancer patients versus those of caregivers for information regarding prognosis and end-of-life issues","type":"article-journal","volume":"103"},"uris":["http://www.mendeley.com/documents/?uuid=93e8b47e-1a50-4a1f-b092-4d8907b09eb9"]}],"mendeley":{"formattedCitation":"[2–5]","plainTextFormattedCitation":"[2–5]","previouslyFormattedCitation":"(2–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[2–5]</w:t>
            </w:r>
            <w:r w:rsidRPr="008072F8">
              <w:rPr>
                <w:rFonts w:cstheme="minorHAnsi"/>
                <w:sz w:val="20"/>
                <w:szCs w:val="20"/>
              </w:rPr>
              <w:fldChar w:fldCharType="end"/>
            </w:r>
          </w:p>
        </w:tc>
        <w:tc>
          <w:tcPr>
            <w:tcW w:w="1275" w:type="dxa"/>
          </w:tcPr>
          <w:p w14:paraId="556D7883" w14:textId="2E831B11" w:rsidR="00781810" w:rsidRPr="008072F8" w:rsidRDefault="00781810" w:rsidP="008072F8">
            <w:pPr>
              <w:rPr>
                <w:rFonts w:cstheme="minorHAnsi"/>
                <w:sz w:val="20"/>
                <w:szCs w:val="20"/>
              </w:rPr>
            </w:pPr>
            <w:r w:rsidRPr="008072F8">
              <w:rPr>
                <w:rFonts w:cstheme="minorHAnsi"/>
                <w:sz w:val="20"/>
                <w:szCs w:val="20"/>
              </w:rPr>
              <w:t>Clayton 2005 †</w:t>
            </w:r>
          </w:p>
        </w:tc>
        <w:tc>
          <w:tcPr>
            <w:tcW w:w="4820" w:type="dxa"/>
          </w:tcPr>
          <w:p w14:paraId="63B51D05" w14:textId="77777777" w:rsidR="00781810" w:rsidRPr="008072F8" w:rsidRDefault="00781810" w:rsidP="008072F8">
            <w:pPr>
              <w:rPr>
                <w:rFonts w:cstheme="minorHAnsi"/>
                <w:sz w:val="20"/>
                <w:szCs w:val="20"/>
              </w:rPr>
            </w:pPr>
            <w:r w:rsidRPr="008072F8">
              <w:rPr>
                <w:rFonts w:cstheme="minorHAnsi"/>
                <w:sz w:val="20"/>
                <w:szCs w:val="20"/>
              </w:rPr>
              <w:t>To examine the views of terminally ill patients, caregivers, and PC HPs on fostering coping and hope, preferred content of information for discussion of life expectancy and by whom, how, and when the discussion should be conducted.</w:t>
            </w:r>
          </w:p>
        </w:tc>
        <w:tc>
          <w:tcPr>
            <w:tcW w:w="1134" w:type="dxa"/>
          </w:tcPr>
          <w:p w14:paraId="36272414"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69FF640" w14:textId="77777777" w:rsidR="00781810" w:rsidRPr="008072F8" w:rsidRDefault="00781810" w:rsidP="008072F8">
            <w:pPr>
              <w:rPr>
                <w:rFonts w:cstheme="minorHAnsi"/>
                <w:sz w:val="20"/>
                <w:szCs w:val="20"/>
              </w:rPr>
            </w:pPr>
            <w:r w:rsidRPr="008072F8">
              <w:rPr>
                <w:rFonts w:cstheme="minorHAnsi"/>
                <w:sz w:val="20"/>
                <w:szCs w:val="20"/>
              </w:rPr>
              <w:t>Focus groups and individual interviews with patients unable to attend the focus groups.</w:t>
            </w:r>
          </w:p>
        </w:tc>
        <w:tc>
          <w:tcPr>
            <w:tcW w:w="3861" w:type="dxa"/>
          </w:tcPr>
          <w:p w14:paraId="11B6A6B5" w14:textId="77777777"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19; palliative care patients (advanced cancer). Australia.</w:t>
            </w:r>
          </w:p>
        </w:tc>
      </w:tr>
      <w:tr w:rsidR="00781810" w:rsidRPr="008072F8" w14:paraId="6BA27DF1" w14:textId="77777777" w:rsidTr="00B6472B">
        <w:tc>
          <w:tcPr>
            <w:tcW w:w="710" w:type="dxa"/>
          </w:tcPr>
          <w:p w14:paraId="2B0D6F0C" w14:textId="75D34FE3"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{"citationItems":[{"id":"ITEM-1","itemData":{"DOI":"10.1089/jpm.2015.0038","ISBN":"1096-6218","ISSN":"1096-6218","PMID":"26288098","abstract":"BACKGROUND A primary barrier to physician disclosure of terminal prognosis is concern that patients will lose hope. Inpatient palliative care (IPC) teams are especially posed to mediate this barrier, but little is known about patient perceptions and experience of IPC. OBJECTIVE This study aimed to elicit seriously ill patients' perspective and experience of an IPC consultation, and to explore patient attitudes toward information derived from the consultation. METHODS An exploratory, qualitative study was conducted at a large nonprofit community hospital in the Los Angeles area. An established IPC team conducted individualized consults with patients and families within 24 hours of referral. Eligible participants were English-speaking adults, aged 18 or over, who had received an IPC consultation within the previous week during their hospitalization. Purposive recruitment of patients was conducted by the IPC social worker. Interviews were conducted at bedside using a semistructured interview protocol employing open-ended questions. RESULTS Twelve seriously ill patients were interviewed. Four themes were identified from the interview transcripts: (1) holistic care approach, (2) knowledge/information gained, (3) hope and enlightenment, and (4) patient readiness. CONCLUSIONS Results suggest that disclosure of a terminal prognosis does not mean loss of patient hope. Instead, hope was redefined on a goal other than cure. Presenting patients with information and increasing their knowledge about care options and resources may facilitate patients in identifying meaningful goals that are better aligned with their prognosis.","author":[{"dropping-particle":"","family":"Coulourides Kogan","given":"Alexis","non-dropping-particle":"","parse-names":false,"suffix":""},{"dropping-particle":"","family":"Penido","given":"Marcia","non-dropping-particle":"","parse-names":false,"suffix":""},{"dropping-particle":"","family":"Enguidanos","given":"Susan","non-dropping-particle":"","parse-names":false,"suffix":""}],"container-title":"Journal of Palliative Medicine","id":"ITEM-1","issue":"12","issued":{"date-parts":[["2015","12"]]},"page":"1019-1025","title":"Does Disclosure of Terminal Prognosis Mean Losing Hope? Insights from Exploring Patient Perspectives on Their Experience of Palliative Care Consultations","type":"article-journal","volume":"18"},"uris":["http://www.mendeley.com/documents/?uuid=6724ad81-190a-46f5-b864-280e8540cf20"]}],"mendeley":{"formattedCitation":"[6]","plainTextFormattedCitation":"[6]","previouslyFormattedCitation":"(6)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[6]</w:t>
            </w:r>
            <w:r w:rsidRPr="008072F8">
              <w:rPr>
                <w:rFonts w:cstheme="minorHAnsi"/>
                <w:sz w:val="20"/>
                <w:szCs w:val="20"/>
              </w:rPr>
              <w:fldChar w:fldCharType="end"/>
            </w:r>
          </w:p>
        </w:tc>
        <w:tc>
          <w:tcPr>
            <w:tcW w:w="1275" w:type="dxa"/>
          </w:tcPr>
          <w:p w14:paraId="7C292DDD" w14:textId="2E130757" w:rsidR="00781810" w:rsidRPr="008072F8" w:rsidRDefault="00781810" w:rsidP="008072F8">
            <w:pPr>
              <w:rPr>
                <w:rFonts w:cstheme="minorHAnsi"/>
                <w:sz w:val="20"/>
                <w:szCs w:val="20"/>
              </w:rPr>
            </w:pPr>
            <w:proofErr w:type="spellStart"/>
            <w:r w:rsidRPr="008072F8">
              <w:rPr>
                <w:rFonts w:cstheme="minorHAnsi"/>
                <w:sz w:val="20"/>
                <w:szCs w:val="20"/>
              </w:rPr>
              <w:t>Coulourides</w:t>
            </w:r>
            <w:proofErr w:type="spellEnd"/>
            <w:r w:rsidRPr="008072F8">
              <w:rPr>
                <w:rFonts w:cstheme="minorHAnsi"/>
                <w:sz w:val="20"/>
                <w:szCs w:val="20"/>
              </w:rPr>
              <w:t xml:space="preserve"> Kogan 2015</w:t>
            </w:r>
          </w:p>
        </w:tc>
        <w:tc>
          <w:tcPr>
            <w:tcW w:w="4820" w:type="dxa"/>
          </w:tcPr>
          <w:p w14:paraId="52D161C2" w14:textId="16C5D8C5" w:rsidR="00781810" w:rsidRPr="008072F8" w:rsidRDefault="00781810" w:rsidP="008072F8">
            <w:pPr>
              <w:rPr>
                <w:rFonts w:cstheme="minorHAnsi"/>
                <w:sz w:val="20"/>
                <w:szCs w:val="20"/>
              </w:rPr>
            </w:pPr>
            <w:r w:rsidRPr="008072F8">
              <w:rPr>
                <w:rFonts w:cstheme="minorHAnsi"/>
                <w:sz w:val="20"/>
                <w:szCs w:val="20"/>
              </w:rPr>
              <w:t>To explore seriously ill patients perspective and experience of an IPC consultation, and to explore patient attitudes toward the information derived from the consultation.</w:t>
            </w:r>
          </w:p>
        </w:tc>
        <w:tc>
          <w:tcPr>
            <w:tcW w:w="1134" w:type="dxa"/>
          </w:tcPr>
          <w:p w14:paraId="45A02DA9"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2D049299" w14:textId="77777777" w:rsidR="00781810" w:rsidRPr="008072F8" w:rsidRDefault="00781810" w:rsidP="008072F8">
            <w:pPr>
              <w:rPr>
                <w:rFonts w:cstheme="minorHAnsi"/>
                <w:sz w:val="20"/>
                <w:szCs w:val="20"/>
              </w:rPr>
            </w:pPr>
            <w:r w:rsidRPr="008072F8">
              <w:rPr>
                <w:rFonts w:cstheme="minorHAnsi"/>
                <w:sz w:val="20"/>
                <w:szCs w:val="20"/>
              </w:rPr>
              <w:t>Semi-structured interviews the week after IPC (Initial Palliative Care) consultation.</w:t>
            </w:r>
          </w:p>
        </w:tc>
        <w:tc>
          <w:tcPr>
            <w:tcW w:w="3861" w:type="dxa"/>
          </w:tcPr>
          <w:p w14:paraId="2378C822" w14:textId="77777777" w:rsidR="00781810" w:rsidRPr="008072F8" w:rsidRDefault="00781810" w:rsidP="008072F8">
            <w:pPr>
              <w:rPr>
                <w:rFonts w:cstheme="minorHAnsi"/>
                <w:sz w:val="20"/>
                <w:szCs w:val="20"/>
              </w:rPr>
            </w:pPr>
            <w:r w:rsidRPr="008072F8">
              <w:rPr>
                <w:rFonts w:cstheme="minorHAnsi"/>
                <w:sz w:val="20"/>
                <w:szCs w:val="20"/>
              </w:rPr>
              <w:t>N=11; terminally ill patients in palliative care. USA</w:t>
            </w:r>
          </w:p>
        </w:tc>
      </w:tr>
      <w:tr w:rsidR="00781810" w:rsidRPr="008072F8" w14:paraId="3885A40A" w14:textId="77777777" w:rsidTr="00B6472B">
        <w:tc>
          <w:tcPr>
            <w:tcW w:w="710" w:type="dxa"/>
          </w:tcPr>
          <w:p w14:paraId="212BBD82" w14:textId="614AF16D"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{"citationItems":[{"id":"ITEM-1","itemData":{"DOI":"10.1089/jpm.2007.0209","ISSN":"1096-6218","abstract":"ABSTRACT Background: Physicians often report that they are reluctant to discuss prognosis for life-threatening illnesses with patients and family out of concern for destroying their hope, yet there is little empirical research describing how patients and family incorporate their needs for hope with desires for prognostic information. Objective: We conducted a qualitative study to examine the perspectives of patients, family, physicians, and nurses on the simultaneous need for supporting hope and discussing prognosis. Methods: We conducted in-depth longitudinal qualitative interviews with patients with either advanced cancer or severe chronic obstructive pulmonary disease (COPD), along with their family, physicians, and nurses. We used principles of grounded theory to analyze the transcripts and evaluated a conceptual model with four diagrams depicting different types of approaches to hope and prognostic information. Results: We interviewed 55 patients, 36 family members, 31 physicians, and 25 nurses representing 220 hours of interviews. Asking patients directly 'how much information' they wanted was, by itself, not useful for identifying information needs, but in-depth questioning identified variability in patients' and family members' desires for explicit prognostic information. All but 2 patients endorsed at least one of the diagrams concerning the interaction of hope and prognostic information and some patients described moving from one diagram to another over the course of their illness. Respondents also described two different approaches to communication about prognosis based on the diagram selected: two of the four diagrams suggested a direct approach and the other two suggested a cautious, indirect approach. Conclusions: This study found important variability in the ways different patients with life-limiting illnesses approach the interaction of wanting support for hope and prognostic information from their clinicians. The four-diagram approach may help clinicians understand individual patients and families, but further research is needed to determine the utility of these diagrams for improving communication about end-of-life care.","author":[{"dropping-particle":"","family":"Curtis","given":"J. Randall","non-dropping-particle":"","parse-names":false,"suffix":""},{"dropping-particle":"","family":"Engelberg","given":"Ruth","non-dropping-particle":"","parse-names":false,"suffix":""},{"dropping-particle":"","family":"Young","given":"Jessica P.","non-dropping-particle":"","parse-names":false,"suffix":""},{"dropping-particle":"","family":"Vig","given":"Lisa K.","non-dropping-particle":"","parse-names":false,"suffix":""},{"dropping-particle":"","family":"Reinke","given":"Lynn F.","non-dropping-particle":"","parse-names":false,"suffix":""},{"dropping-particle":"","family":"Wenrich","given":"Marjorie D.","non-dropping-particle":"","parse-names":false,"suffix":""},{"dropping-particle":"","family":"McGrath","given":"Barbara","non-dropping-particle":"","parse-names":false,"suffix":""},{"dropping-particle":"","family":"McCown","given":"Ellen","non-dropping-particle":"","parse-names":false,"suffix":""},{"dropping-particle":"","family":"Back","given":"Anthony L.","non-dropping-particle":"","parse-names":false,"suffix":""}],"container-title":"Journal of Palliative Medicine","id":"ITEM-1","issue":"4","issued":{"date-parts":[["2008","5"]]},"page":"610-620","title":"An Approach to Understanding the Interaction of Hope and Desire for Explicit Prognostic Information among Individuals with Severe Chronic Obstructive Pulmonary Disease or Advanced Cancer","type":"article-journal","volume":"11"},"uris":["http://www.mendeley.com/documents/?uuid=2beaaede-1f07-40d8-967a-635dd53a94e2"]}],"mendeley":{"formattedCitation":"[7]","plainTextFormattedCitation":"[7]","previouslyFormattedCitation":"(7)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[7]</w:t>
            </w:r>
            <w:r w:rsidRPr="008072F8">
              <w:rPr>
                <w:rFonts w:cstheme="minorHAnsi"/>
                <w:sz w:val="20"/>
                <w:szCs w:val="20"/>
              </w:rPr>
              <w:fldChar w:fldCharType="end"/>
            </w:r>
          </w:p>
        </w:tc>
        <w:tc>
          <w:tcPr>
            <w:tcW w:w="1275" w:type="dxa"/>
          </w:tcPr>
          <w:p w14:paraId="53C66C3A" w14:textId="3D69DC0D" w:rsidR="00781810" w:rsidRPr="008072F8" w:rsidRDefault="00781810" w:rsidP="008072F8">
            <w:pPr>
              <w:rPr>
                <w:rFonts w:cstheme="minorHAnsi"/>
                <w:sz w:val="20"/>
                <w:szCs w:val="20"/>
              </w:rPr>
            </w:pPr>
            <w:r w:rsidRPr="008072F8">
              <w:rPr>
                <w:rFonts w:cstheme="minorHAnsi"/>
                <w:sz w:val="20"/>
                <w:szCs w:val="20"/>
              </w:rPr>
              <w:t>Curtis 2008</w:t>
            </w:r>
          </w:p>
        </w:tc>
        <w:tc>
          <w:tcPr>
            <w:tcW w:w="4820" w:type="dxa"/>
          </w:tcPr>
          <w:p w14:paraId="7E32D9A3" w14:textId="77777777" w:rsidR="00781810" w:rsidRPr="008072F8" w:rsidRDefault="00781810" w:rsidP="008072F8">
            <w:pPr>
              <w:rPr>
                <w:rFonts w:cstheme="minorHAnsi"/>
                <w:sz w:val="20"/>
                <w:szCs w:val="20"/>
              </w:rPr>
            </w:pPr>
            <w:r w:rsidRPr="008072F8">
              <w:rPr>
                <w:rFonts w:cstheme="minorHAnsi"/>
                <w:sz w:val="20"/>
                <w:szCs w:val="20"/>
              </w:rPr>
              <w:t>To study the interactions between the desire to have hope supported and need to receive explicit prognostic information amongst patients, family and HCP.</w:t>
            </w:r>
          </w:p>
        </w:tc>
        <w:tc>
          <w:tcPr>
            <w:tcW w:w="1134" w:type="dxa"/>
          </w:tcPr>
          <w:p w14:paraId="7FD449FB"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0E27277C" w14:textId="77777777"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0F2278EC"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55; Patients with advanced cancer (30) and severe COPD (24), or both (1). USA</w:t>
            </w:r>
          </w:p>
        </w:tc>
      </w:tr>
      <w:tr w:rsidR="00781810" w:rsidRPr="008072F8" w14:paraId="3FD40192" w14:textId="77777777" w:rsidTr="00B6472B">
        <w:tc>
          <w:tcPr>
            <w:tcW w:w="710" w:type="dxa"/>
          </w:tcPr>
          <w:p w14:paraId="1A0212B9" w14:textId="062DF2BC"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{"citationItems":[{"id":"ITEM-1","itemData":{"DOI":"10.1186/1472-684X-9-19","ISBN":"1472-684X","ISSN":"1472-684X","PMID":"20831777","abstract":"BACKGROUND: Palliative cancer care aims to improve quality of life and ultimately quality of dying, while prolonging life is not an objective anymore when death nears. The question is, however, whether these perspectives on palliative care are congruent with the perspectives of immigrant families with a Turkish or Moroccan background. METHODS: A qualitative design was used as we were looking for the personal views of 'very ill' cancer patients with a Turkish or Moroccan background, their family members and their Dutch care providers. We interviewed 83 people, involved in 33 cases to obtain information about their views, values and norms on 'good care'. RESULTS: The main concerns about 'good care' expressed by Turkish and Moroccan families were: maximum treatment and curative care until the end of their lives, never having hope taken away, devoted care by their families, avoiding shameful situations, dying with a clear mind and being buried in their own country. Their views conflict, to some extent, with the dominant principles in palliative care, for example, the emphasis on quality of life and advanced care planning, which includes discussing diagnosis and prognosis with the patient. CONCLUSIONS: Patients and their families with a Turkish or Moroccan background often have different ideas about 'good care' than their Dutch care providers. As many of them are aiming at cure until the end of life, they find 'good palliative care' a contradiction in terms.","author":[{"dropping-particle":"","family":"Graaff","given":"Fuusje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der","parse-names":false,"suffix":""}],"container-title":"BMC Palliative Care","id":"ITEM-1","issue":"1","issued":{"date-parts":[["2010","12","10"]]},"page":"19","title":"'Palliative care': a contradiction in terms? A qualitative study of cancer patients with a Turkish or Moroccan background, their relatives and care providers","type":"article-journal","volume":"9"},"uris":["http://www.mendeley.com/documents/?uuid=9feab50a-147a-4858-b92e-02150d466fca"]},{"id":"ITEM-2","itemData":{"DOI":"10.1111/j.1365-2702.2012.04289.x","ISBN":"0962-1067\\r1365-2702","ISSN":"09621067","PMID":"23083389","abstract":"AIMS AND OBJECTIVES: To gain insight into the factors that influence communication between health professionals and Turkish and Moroccan immigrants in the palliative phase of cancer. BACKGROUND: In palliative care, communication is crucial. The question, however, is whether Dutch healthcare providers, on the one hand, and Turkish and Moroccan patients and their family members, on the other, agree on what is constituted by good communication. DESIGN: A descriptive qualitative method is used. METHODS: Data of semi-structured interviews with 83 persons (six patients, 30 relatives and 47 professional care providers) were analysed to determine perceptual communication differences about care and treatment during the palliative phase of 33 cases. RESULTS: As many patients with a Turkish or Moroccan background speak little Dutch, conversations often take place in triads, which makes it difficult for the actors to understand and resolve communication problems arising from diverging perceptions of 'good communication'. CONCLUSION: Miscommunication around palliative care cannot solely be explained by the different cultural backgrounds of patients and their care providers. The multilingual communication triangle of patient - family - care provider often also complicates the bridging of differences in care perceptions. RELEVANCE TO CLINICAL PRACTICE: Professional care providers should develop adequate strategies to handle triads, explore their own conventions and those of patients and relatives.","author":[{"dropping-particle":"","family":"Graaff","given":"Fuusje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der","parse-names":false,"suffix":""}],"container-title":"Journal of Clinical Nursing","id":"ITEM-2","issue":"21-22","issued":{"date-parts":[["2012","11"]]},"page":"3143-3152","title":"Talking in triads: communication with Turkish and Moroccan immigrants in the palliative phase of cancer","type":"article-journal","volume":"21"},"uris":["http://www.mendeley.com/documents/?uuid=cccef7c0-fcc3-4614-a15d-8c6e13b8125e"]},{"id":"ITEM-3","itemData":{"DOI":"10.1080/13557858.2011.645152","ISBN":"1355-7858","ISSN":"1355-7858","PMID":"22229704","abstract":"OBJECTIVE: The aim of this study is to explore how communication and decision-making in palliative care among Turkish and Moroccan patients is influenced by different styles of care management between Turkish and Moroccan families and Dutch professional care providers. Problems as well as solutions for these problems are highlighted.\\n\\nDESIGN: A qualitative design was used, totally interviewing 83 people (6 patients, 30 relatives and 47 care providers) covering 33 cases of incurable cancer patients receiving palliative care. Data were analysed thematically and contextually.\\n\\nRESULTS: The analysis reveals that problems in decision-making are partly related to differences in ethnic-cultural views on 'good care' at the end of life: Dutch palliative care providers prefer to focus on quality of life rather than on prolonging life, while Turkish and Moroccan families tend to insist on cure. Another barrier is caused by conflicting views on the role of the 'care management group': Dutch care providers see the patient as their primary discussion partner, while in Turkish and Moroccan families, relatives play a major part in the communication and decision-making. Moreover, the family's insistence on cure often leads to the inclusion of additional care providers in communication, thus complicating joint decision-making.\\n\\nCONCLUSION: Care providers need to understand that for Turkish and Moroccan patients, decision-making is seldom a matter of one-to-one communication. Next to acknowledging these patients' different cultural backgrounds, they must also recognise that the families of these patients often function as care management groups, with an 'equal' say in communication and decision-making. In addition, professionals should optimise communication within their own professional care management group.","author":[{"dropping-particle":"","family":"Graaff","given":"Fuusje M.","non-dropping-particle":"de","parse-names":false,"suffix":""},{"dropping-particle":"","family":"Francke","given":"Anneke L.","non-dropping-particle":"","parse-names":false,"suffix":""},{"dropping-particle":"","family":"Muijsenbergh","given":"Maria E.T.C.","non-dropping-particle":"van den","parse-names":false,"suffix":""},{"dropping-particle":"","family":"Geest","given":"Sjaak","non-dropping-particle":"van der","parse-names":false,"suffix":""}],"container-title":"Ethnicity &amp; Health","id":"ITEM-3","issue":"4","issued":{"date-parts":[["2012","8"]]},"page":"363-384","title":"Understanding and improving communication and decision-making in palliative care for Turkish and Moroccan immigrants: a multiperspective study","type":"article-journal","volume":"17"},"uris":["http://www.mendeley.com/documents/?uuid=3e3210c7-2249-4adc-bce5-0cefa7234334"]}],"mendeley":{"formattedCitation":"[8–10]","plainTextFormattedCitation":"[8–10]","previouslyFormattedCitation":"(8–10)"},"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[8–10]</w:t>
            </w:r>
            <w:r w:rsidRPr="008072F8">
              <w:rPr>
                <w:rFonts w:cstheme="minorHAnsi"/>
                <w:sz w:val="20"/>
                <w:szCs w:val="20"/>
              </w:rPr>
              <w:fldChar w:fldCharType="end"/>
            </w:r>
          </w:p>
        </w:tc>
        <w:tc>
          <w:tcPr>
            <w:tcW w:w="1275" w:type="dxa"/>
          </w:tcPr>
          <w:p w14:paraId="07DB4456" w14:textId="2611F573" w:rsidR="00781810" w:rsidRPr="008072F8" w:rsidRDefault="00781810" w:rsidP="008072F8">
            <w:pPr>
              <w:rPr>
                <w:rFonts w:cstheme="minorHAnsi"/>
                <w:sz w:val="20"/>
                <w:szCs w:val="20"/>
              </w:rPr>
            </w:pPr>
            <w:r w:rsidRPr="008072F8">
              <w:rPr>
                <w:rFonts w:cstheme="minorHAnsi"/>
                <w:sz w:val="20"/>
                <w:szCs w:val="20"/>
              </w:rPr>
              <w:t>De Graaff 2010-2012 ††</w:t>
            </w:r>
          </w:p>
        </w:tc>
        <w:tc>
          <w:tcPr>
            <w:tcW w:w="4820" w:type="dxa"/>
          </w:tcPr>
          <w:p w14:paraId="01D94CD2" w14:textId="3F19B9F6" w:rsidR="00781810" w:rsidRPr="008072F8" w:rsidRDefault="00781810" w:rsidP="008072F8">
            <w:pPr>
              <w:rPr>
                <w:rFonts w:cstheme="minorHAnsi"/>
                <w:sz w:val="20"/>
                <w:szCs w:val="20"/>
              </w:rPr>
            </w:pPr>
            <w:r w:rsidRPr="008072F8">
              <w:rPr>
                <w:rFonts w:cstheme="minorHAnsi"/>
                <w:sz w:val="20"/>
                <w:szCs w:val="20"/>
              </w:rPr>
              <w:t>To explore how Dutch professional care providers deal with Turkish and Moroccan immigrants ideas on palliative care, what influences communication and decision-making, and the influence of different styles of care management.</w:t>
            </w:r>
          </w:p>
        </w:tc>
        <w:tc>
          <w:tcPr>
            <w:tcW w:w="1134" w:type="dxa"/>
          </w:tcPr>
          <w:p w14:paraId="0864C2E6" w14:textId="029E3E7D"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C95A449" w14:textId="0BCFF7D0"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33CC4DDE" w14:textId="12D4B366"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36; Turkish or Moroccan patients with incurable cancer (6) and relatives (30). The Netherlands</w:t>
            </w:r>
          </w:p>
        </w:tc>
      </w:tr>
      <w:tr w:rsidR="00781810" w:rsidRPr="008072F8" w14:paraId="39BACA60" w14:textId="77777777" w:rsidTr="00B6472B">
        <w:tc>
          <w:tcPr>
            <w:tcW w:w="710" w:type="dxa"/>
          </w:tcPr>
          <w:p w14:paraId="5BBF729D" w14:textId="58D3543D"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{"citationItems":[{"id":"ITEM-1","itemData":{"DOI":"10.1017/S1478951511000046","ISSN":"1478-9515","abstract":"OBJECTIVE: The aim of this study was to explore the experiences and preferences of terminally ill cancer patients regarding truth telling in the communication of poor prognoses.\\n\\nMETHOD: We recorded and transcribed interviews with 45 patients who knew their cancer was terminal, and analyzed their responses hermeneutically.\\n\\nRESULTS: Patients identified three different modes of truth: (1) the absolute objective truth that they are dying; (2) the partial truth about their condition including some facts but not all of the details; and (3) the desired truth, originating in the patient's own beliefs about a healthy or better life. Coping strategies were related to patients' preferred mode of truth: (1) facing the truth in order to take action; (2) facing some parts of the truth in order to maintain hope; and (3) hovering between facing and avoiding the truth. In their struggle for existential survival, patients used different coping strategies, changing from one to another depending upon the circumstances.\\n\\nSIGNIFICANCE OF RESULTS: Varying use of different coping strategies impacts on patient preferences concerning communication about bad news with their doctors. Truth-telling entails more than merely providing information related to the forthcoming death. It also concerns how physicians or other healthcare staff can support the patient's existential survival by fine-tuning the communication of \"truth\" according to the individuals' preferences.","author":[{"dropping-particle":"","family":"Friedrichsen","given":"Maria","non-dropping-particle":"","parse-names":false,"suffix":""},{"dropping-particle":"","family":"Lindholm","given":"Ann","non-dropping-particle":"","parse-names":false,"suffix":""},{"dropping-particle":"","family":"Milberg","given":"Anna","non-dropping-particle":"","parse-names":false,"suffix":""}],"container-title":"Palliative and Supportive Care","id":"ITEM-1","issue":"2","issued":{"date-parts":[["2011","6","4"]]},"page":"173-180","title":"Experiences of truth disclosure in terminally ill cancer patients in palliative home care","type":"article-journal","volume":"9"},"uris":["http://www.mendeley.com/documents/?uuid=a598bbff-6b24-45ec-b750-f8b6c5ba51aa"]}],"mendeley":{"formattedCitation":"[11]","plainTextFormattedCitation":"[11]","previouslyFormattedCitation":"(11)"},"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[11]</w:t>
            </w:r>
            <w:r w:rsidRPr="008072F8">
              <w:rPr>
                <w:rFonts w:cstheme="minorHAnsi"/>
                <w:sz w:val="20"/>
                <w:szCs w:val="20"/>
              </w:rPr>
              <w:fldChar w:fldCharType="end"/>
            </w:r>
          </w:p>
        </w:tc>
        <w:tc>
          <w:tcPr>
            <w:tcW w:w="1275" w:type="dxa"/>
          </w:tcPr>
          <w:p w14:paraId="74800672" w14:textId="5C9503CB" w:rsidR="00781810" w:rsidRPr="008072F8" w:rsidRDefault="00781810" w:rsidP="008072F8">
            <w:pPr>
              <w:rPr>
                <w:rFonts w:cstheme="minorHAnsi"/>
                <w:sz w:val="20"/>
                <w:szCs w:val="20"/>
              </w:rPr>
            </w:pPr>
            <w:r w:rsidRPr="008072F8">
              <w:rPr>
                <w:rFonts w:cstheme="minorHAnsi"/>
                <w:sz w:val="20"/>
                <w:szCs w:val="20"/>
              </w:rPr>
              <w:t>Friedrichsen 2011</w:t>
            </w:r>
          </w:p>
        </w:tc>
        <w:tc>
          <w:tcPr>
            <w:tcW w:w="4820" w:type="dxa"/>
          </w:tcPr>
          <w:p w14:paraId="6E842891" w14:textId="25D66339" w:rsidR="00781810" w:rsidRPr="008072F8" w:rsidRDefault="00781810" w:rsidP="008072F8">
            <w:pPr>
              <w:rPr>
                <w:rFonts w:cstheme="minorHAnsi"/>
                <w:sz w:val="20"/>
                <w:szCs w:val="20"/>
              </w:rPr>
            </w:pPr>
            <w:r w:rsidRPr="008072F8">
              <w:rPr>
                <w:rFonts w:cstheme="minorHAnsi"/>
                <w:sz w:val="20"/>
                <w:szCs w:val="20"/>
              </w:rPr>
              <w:t>To explore the experiences and preferences of terminally ill cancer patients regarding truth telling in the communication of poor prognoses.</w:t>
            </w:r>
          </w:p>
        </w:tc>
        <w:tc>
          <w:tcPr>
            <w:tcW w:w="1134" w:type="dxa"/>
          </w:tcPr>
          <w:p w14:paraId="5F1524C1" w14:textId="2CA95421"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492FF779" w14:textId="770D4855"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5035C45B" w14:textId="539CD69F"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45; terminally ill cancer patients in palliative care. Sweden</w:t>
            </w:r>
          </w:p>
        </w:tc>
      </w:tr>
      <w:tr w:rsidR="00781810" w:rsidRPr="008072F8" w14:paraId="56C9D870" w14:textId="77777777" w:rsidTr="00B6472B">
        <w:tc>
          <w:tcPr>
            <w:tcW w:w="710" w:type="dxa"/>
          </w:tcPr>
          <w:p w14:paraId="4D369880" w14:textId="5FD4DAA0"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{"citationItems":[{"id":"ITEM-1","itemData":{"DOI":"10.1200/JCO.2005.11.138","ISBN":"0732-183X (Print) 0732-183X (Linking)","ISSN":"0732-183X","PMID":"15718326","abstract":"PURPOSE: To identify preferences for the process of prognostic discussion among patients with incurable metastatic cancer and variables associated with those preferences. PATIENTS AND METHODS: One hundred twenty-six (58%) of 218 patients invited onto the study participated. Eligible patients were the consecutive metastatic cancer patients of 30 oncologists, who were diagnosed within 6 weeks to 6 months before recruitment, over 18 years of age, and without known mental illness. Patients completed a postal survey measuring patient preferences for the manner of delivery of prognostic information, including how doctors might instill hope. RESULTS: Ninety-eight percent of patients wanted their doctor to be realistic, provide an opportunity to ask questions, and acknowledge them as an individual when discussing prognosis. Doctor behaviors rated the most hope giving included offering the most up to date treatment (90%), appearing to know all there is to know about the patient's cancer (87%), and saying that pain will be controlled (87%). The majority of patients indicated that the doctor appearing to be nervous or uncomfortable (91%), giving the prognosis to the family first (87%), or using euphemisms (82%) would not facilitate hope. Factor analysis revealed six general styles and three hope factors; the most strongly endorsed styles were realism and individualized care and the expert/positive/collaborative approach. A range of demographic, psychological, and disease factors were associated with preferred general and hope-giving styles, including anxiety, information-seeking behavior, expected survival, and age. CONCLUSION: The majority of patients preferred a realistic and individualized approach from the cancer specialist and detailed information when discussing prognosis.","author":[{"dropping-particle":"","family":"Hagerty","given":"Rebecca G.","non-dropping-particle":"","parse-names":false,"suffix":""},{"dropping-particle":"","family":"Butow","given":"Phyllis N.","non-dropping-particle":"","parse-names":false,"suffix":""},{"dropping-particle":"","family":"Ellis","given":"Peter M.","non-dropping-particle":"","parse-names":false,"suffix":""},{"dropping-particle":"","family":"Lobb","given":"Elizabeth A.","non-dropping-particle":"","parse-names":false,"suffix":""},{"dropping-particle":"","family":"Pendlebury","given":"Susan C.","non-dropping-particle":"","parse-names":false,"suffix":""},{"dropping-particle":"","family":"Leighl","given":"Natasha","non-dropping-particle":"","parse-names":false,"suffix":""},{"dropping-particle":"","family":"Leod","given":"Craig","non-dropping-particle":"Mac","parse-names":false,"suffix":""},{"dropping-particle":"","family":"Tattersall","given":"Martin H.N.","non-dropping-particle":"","parse-names":false,"suffix":""}],"container-title":"Journal of Clinical Oncology","id":"ITEM-1","issue":"6","issued":{"date-parts":[["2005","2","20"]]},"page":"1278-1288","title":"Communicating With Realism and Hope: Incurable Cancer Patients' Views on the Disclosure of Prognosis","type":"article-journal","volume":"23"},"uris":["http://www.mendeley.com/documents/?uuid=54b7f049-9aa9-477f-9beb-6faa4e1428b6"]}],"mendeley":{"formattedCitation":"[12]","plainTextFormattedCitation":"[12]","previouslyFormattedCitation":"(12)"},"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[12]</w:t>
            </w:r>
            <w:r w:rsidRPr="008072F8">
              <w:rPr>
                <w:rFonts w:cstheme="minorHAnsi"/>
                <w:sz w:val="20"/>
                <w:szCs w:val="20"/>
              </w:rPr>
              <w:fldChar w:fldCharType="end"/>
            </w:r>
          </w:p>
        </w:tc>
        <w:tc>
          <w:tcPr>
            <w:tcW w:w="1275" w:type="dxa"/>
          </w:tcPr>
          <w:p w14:paraId="279073E4" w14:textId="5A9CD224" w:rsidR="00781810" w:rsidRPr="008072F8" w:rsidRDefault="00781810" w:rsidP="008072F8">
            <w:pPr>
              <w:rPr>
                <w:rFonts w:cstheme="minorHAnsi"/>
                <w:sz w:val="20"/>
                <w:szCs w:val="20"/>
              </w:rPr>
            </w:pPr>
            <w:r w:rsidRPr="008072F8">
              <w:rPr>
                <w:rFonts w:cstheme="minorHAnsi"/>
                <w:sz w:val="20"/>
                <w:szCs w:val="20"/>
              </w:rPr>
              <w:t>Hagerty 2005</w:t>
            </w:r>
          </w:p>
        </w:tc>
        <w:tc>
          <w:tcPr>
            <w:tcW w:w="4820" w:type="dxa"/>
          </w:tcPr>
          <w:p w14:paraId="6BBAC572" w14:textId="77777777" w:rsidR="00781810" w:rsidRPr="008072F8" w:rsidRDefault="00781810" w:rsidP="008072F8">
            <w:pPr>
              <w:rPr>
                <w:rFonts w:cstheme="minorHAnsi"/>
                <w:sz w:val="20"/>
                <w:szCs w:val="20"/>
              </w:rPr>
            </w:pPr>
            <w:r w:rsidRPr="008072F8">
              <w:rPr>
                <w:rFonts w:cstheme="minorHAnsi"/>
                <w:sz w:val="20"/>
                <w:szCs w:val="20"/>
              </w:rPr>
              <w:t>To identify preferences for the process of prognostic discussion among patients with incurable metastatic cancer.</w:t>
            </w:r>
          </w:p>
        </w:tc>
        <w:tc>
          <w:tcPr>
            <w:tcW w:w="1134" w:type="dxa"/>
          </w:tcPr>
          <w:p w14:paraId="77359B86" w14:textId="77777777" w:rsidR="00781810" w:rsidRPr="008072F8" w:rsidRDefault="00781810" w:rsidP="008072F8">
            <w:pPr>
              <w:rPr>
                <w:rFonts w:cstheme="minorHAnsi"/>
                <w:sz w:val="20"/>
                <w:szCs w:val="20"/>
              </w:rPr>
            </w:pPr>
            <w:r w:rsidRPr="008072F8">
              <w:rPr>
                <w:rFonts w:cstheme="minorHAnsi"/>
                <w:sz w:val="20"/>
                <w:szCs w:val="20"/>
              </w:rPr>
              <w:t>Observational study.</w:t>
            </w:r>
          </w:p>
        </w:tc>
        <w:tc>
          <w:tcPr>
            <w:tcW w:w="2234" w:type="dxa"/>
          </w:tcPr>
          <w:p w14:paraId="5E9C6049" w14:textId="77777777" w:rsidR="00781810" w:rsidRPr="008072F8" w:rsidRDefault="00781810" w:rsidP="008072F8">
            <w:pPr>
              <w:rPr>
                <w:rFonts w:cstheme="minorHAnsi"/>
                <w:sz w:val="20"/>
                <w:szCs w:val="20"/>
              </w:rPr>
            </w:pPr>
            <w:r w:rsidRPr="008072F8">
              <w:rPr>
                <w:rFonts w:cstheme="minorHAnsi"/>
                <w:sz w:val="20"/>
                <w:szCs w:val="20"/>
              </w:rPr>
              <w:t>Postal survey measuring patient preferences for manner of delivery of prognostic information, including how doctors might instill hope.</w:t>
            </w:r>
          </w:p>
        </w:tc>
        <w:tc>
          <w:tcPr>
            <w:tcW w:w="3861" w:type="dxa"/>
          </w:tcPr>
          <w:p w14:paraId="3026AD0F" w14:textId="77777777" w:rsidR="00781810" w:rsidRPr="008072F8" w:rsidRDefault="00781810" w:rsidP="008072F8">
            <w:pPr>
              <w:rPr>
                <w:rFonts w:cstheme="minorHAnsi"/>
                <w:i/>
                <w:sz w:val="20"/>
                <w:szCs w:val="20"/>
              </w:rPr>
            </w:pPr>
            <w:r w:rsidRPr="008072F8">
              <w:rPr>
                <w:rFonts w:cstheme="minorHAnsi"/>
                <w:i/>
                <w:sz w:val="20"/>
                <w:szCs w:val="20"/>
              </w:rPr>
              <w:t>N</w:t>
            </w:r>
            <w:r w:rsidRPr="008072F8">
              <w:rPr>
                <w:rFonts w:cstheme="minorHAnsi"/>
                <w:sz w:val="20"/>
                <w:szCs w:val="20"/>
              </w:rPr>
              <w:t xml:space="preserve"> = 126; patients with metastatic cancer. Australia</w:t>
            </w:r>
          </w:p>
        </w:tc>
      </w:tr>
      <w:tr w:rsidR="00781810" w:rsidRPr="008072F8" w14:paraId="46FA6F88" w14:textId="77777777" w:rsidTr="00B6472B">
        <w:tc>
          <w:tcPr>
            <w:tcW w:w="710" w:type="dxa"/>
          </w:tcPr>
          <w:p w14:paraId="104695A6" w14:textId="06C799D1"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{"citationItems":[{"id":"ITEM-1","itemData":{"DOI":"10.1136/bmj.38103.423576.55","ISBN":"1756-1833","ISSN":"0959-8138","PMID":"15151964","abstract":"OBJECTIVE: To obtain feedback from patients receiving palliative care and their relatives from various ethnic backgrounds about their experiences of the disclosure process and their satisfaction with information sharing during the illness. DESIGN: A qualitative study with semistructured single interviews. SETTING: Perth, Western Australia, and Winnipeg, Manitoba, Canada. PARTICIPANTS: 72 participants registered with palliative care: 21 patient-family dyads in Perth and 14 dyads and 2 patients in Winnipeg. RESULTS: Participants described their experiences in great detail. The analysis indicates that in information sharing the process is as important as the content. The timing, management, and delivery of information and perceived attitude of practitioners were critical to the process. This applied to information interactions at all stages of the illness. Main content areas mentioned related to prognosis and hope. Hope can be conveyed in different ways. Secondary information from various sources is accessed and synthesised with the primary information. All patients, regardless of origin, wanted information about their illness and wanted it fully shared with relatives. Almost all patients requested prognostic information, and all family members respected their wishes. Information was perceived as important for patient-family communication. Information needs of patient and family changed and diverged as illness progressed, and communication between them became less verbally explicit. CONCLUSIONS: Information delivery for patients needs to be individualised with particular attention to process at all stages of illness. Patients and families use secondary sources of information to complement and verify information given by health carers.","author":[{"dropping-particle":"","family":"Kirk","given":"Peter","non-dropping-particle":"","parse-names":false,"suffix":""},{"dropping-particle":"","family":"Kirk","given":"Ingrid","non-dropping-particle":"","parse-names":false,"suffix":""},{"dropping-particle":"","family":"Kristjanson","given":"Linda J.","non-dropping-particle":"","parse-names":false,"suffix":""}],"container-title":"BMJ","id":"ITEM-1","issue":"7452","issued":{"date-parts":[["2004","6","5"]]},"page":"1343","title":"What do patients receiving palliative care for cancer and their families want to be told? A Canadian and Australian qualitative study","type":"article-journal","volume":"328"},"uris":["http://www.mendeley.com/documents/?uuid=538b2da9-7165-4638-9ac2-f4a172282e71"]}],"mendeley":{"formattedCitation":"[13]","plainTextFormattedCitation":"[13]","previouslyFormattedCitation":"(13)"},"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[13]</w:t>
            </w:r>
            <w:r w:rsidRPr="008072F8">
              <w:rPr>
                <w:rFonts w:cstheme="minorHAnsi"/>
                <w:sz w:val="20"/>
                <w:szCs w:val="20"/>
              </w:rPr>
              <w:fldChar w:fldCharType="end"/>
            </w:r>
          </w:p>
        </w:tc>
        <w:tc>
          <w:tcPr>
            <w:tcW w:w="1275" w:type="dxa"/>
          </w:tcPr>
          <w:p w14:paraId="2125D902" w14:textId="42855625" w:rsidR="00781810" w:rsidRPr="008072F8" w:rsidRDefault="00781810" w:rsidP="008072F8">
            <w:pPr>
              <w:rPr>
                <w:rFonts w:cstheme="minorHAnsi"/>
                <w:sz w:val="20"/>
                <w:szCs w:val="20"/>
              </w:rPr>
            </w:pPr>
            <w:r w:rsidRPr="008072F8">
              <w:rPr>
                <w:rFonts w:cstheme="minorHAnsi"/>
                <w:sz w:val="20"/>
                <w:szCs w:val="20"/>
              </w:rPr>
              <w:t>Kirk 2004</w:t>
            </w:r>
          </w:p>
        </w:tc>
        <w:tc>
          <w:tcPr>
            <w:tcW w:w="4820" w:type="dxa"/>
          </w:tcPr>
          <w:p w14:paraId="4402E4B6" w14:textId="77777777" w:rsidR="00781810" w:rsidRPr="008072F8" w:rsidRDefault="00781810" w:rsidP="008072F8">
            <w:pPr>
              <w:rPr>
                <w:rFonts w:cstheme="minorHAnsi"/>
                <w:sz w:val="20"/>
                <w:szCs w:val="20"/>
              </w:rPr>
            </w:pPr>
            <w:r w:rsidRPr="008072F8">
              <w:rPr>
                <w:rFonts w:cstheme="minorHAnsi"/>
                <w:sz w:val="20"/>
                <w:szCs w:val="20"/>
              </w:rPr>
              <w:t>To elicit views of patients in palliative care and their family members regarding their experiences of information disclosure about the illness.</w:t>
            </w:r>
          </w:p>
        </w:tc>
        <w:tc>
          <w:tcPr>
            <w:tcW w:w="1134" w:type="dxa"/>
          </w:tcPr>
          <w:p w14:paraId="3E0D02CB" w14:textId="77777777"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1430F612" w14:textId="24B34497" w:rsidR="00781810" w:rsidRPr="008072F8" w:rsidRDefault="00781810" w:rsidP="008072F8">
            <w:pPr>
              <w:rPr>
                <w:rFonts w:cstheme="minorHAnsi"/>
                <w:i/>
                <w:sz w:val="20"/>
                <w:szCs w:val="20"/>
              </w:rPr>
            </w:pPr>
            <w:r w:rsidRPr="008072F8">
              <w:rPr>
                <w:rFonts w:cstheme="minorHAnsi"/>
                <w:sz w:val="20"/>
                <w:szCs w:val="20"/>
              </w:rPr>
              <w:t xml:space="preserve">Semi structured interviews of participants’ </w:t>
            </w:r>
            <w:r w:rsidRPr="008072F8">
              <w:rPr>
                <w:rFonts w:cstheme="minorHAnsi"/>
                <w:sz w:val="20"/>
                <w:szCs w:val="20"/>
              </w:rPr>
              <w:lastRenderedPageBreak/>
              <w:t>perceptions of their experiences of disclosure about the illness.</w:t>
            </w:r>
          </w:p>
        </w:tc>
        <w:tc>
          <w:tcPr>
            <w:tcW w:w="3861" w:type="dxa"/>
          </w:tcPr>
          <w:p w14:paraId="355CDF97" w14:textId="77777777" w:rsidR="00781810" w:rsidRPr="008072F8" w:rsidRDefault="00781810" w:rsidP="008072F8">
            <w:pPr>
              <w:rPr>
                <w:rFonts w:cstheme="minorHAnsi"/>
                <w:i/>
                <w:sz w:val="20"/>
                <w:szCs w:val="20"/>
              </w:rPr>
            </w:pPr>
            <w:r w:rsidRPr="008072F8">
              <w:rPr>
                <w:rFonts w:cstheme="minorHAnsi"/>
                <w:i/>
                <w:sz w:val="20"/>
                <w:szCs w:val="20"/>
              </w:rPr>
              <w:lastRenderedPageBreak/>
              <w:t xml:space="preserve">N </w:t>
            </w:r>
            <w:r w:rsidRPr="008072F8">
              <w:rPr>
                <w:rFonts w:cstheme="minorHAnsi"/>
                <w:sz w:val="20"/>
                <w:szCs w:val="20"/>
              </w:rPr>
              <w:t>= 37; patients in palliative cancer care in Australia (</w:t>
            </w:r>
            <w:r w:rsidRPr="008072F8">
              <w:rPr>
                <w:rFonts w:cstheme="minorHAnsi"/>
                <w:i/>
                <w:sz w:val="20"/>
                <w:szCs w:val="20"/>
              </w:rPr>
              <w:t xml:space="preserve">N </w:t>
            </w:r>
            <w:r w:rsidRPr="008072F8">
              <w:rPr>
                <w:rFonts w:cstheme="minorHAnsi"/>
                <w:sz w:val="20"/>
                <w:szCs w:val="20"/>
              </w:rPr>
              <w:t>= 21) and Canada (</w:t>
            </w:r>
            <w:r w:rsidRPr="008072F8">
              <w:rPr>
                <w:rFonts w:cstheme="minorHAnsi"/>
                <w:i/>
                <w:sz w:val="20"/>
                <w:szCs w:val="20"/>
              </w:rPr>
              <w:t>N</w:t>
            </w:r>
            <w:r w:rsidRPr="008072F8">
              <w:rPr>
                <w:rFonts w:cstheme="minorHAnsi"/>
                <w:sz w:val="20"/>
                <w:szCs w:val="20"/>
              </w:rPr>
              <w:t xml:space="preserve"> = 16).</w:t>
            </w:r>
          </w:p>
        </w:tc>
      </w:tr>
      <w:tr w:rsidR="00341F4E" w:rsidRPr="008072F8" w14:paraId="51FCB2E2" w14:textId="77777777" w:rsidTr="00B6472B">
        <w:tc>
          <w:tcPr>
            <w:tcW w:w="710" w:type="dxa"/>
          </w:tcPr>
          <w:p w14:paraId="1E3B22BC" w14:textId="421F9ABF" w:rsidR="00341F4E"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{"citationItems":[{"id":"ITEM-1","itemData":{"DOI":"10.1002/pon.1923","ISBN":"1099-1611 (Electronic)\\r1057-9249 (Linking)","ISSN":"10579249","PMID":"21351187","abstract":"OBJECTIVES: Migrant patients comprise a significant proportion of Western oncologists' clientele. Although previous research has found that barriers exist in the communication between ethnically diverse patients and health professionals, little is known about their personal preferences for communication and information, or the concordance of views held between patients and family members.\\n\\nMETHODS: Seventy-three patients (31 Anglo-Australians, and 20 Chinese, 11 Arabic and 11 Greek migrants) and 65 relatives (25 Anglo-Australians, and 23 Chinese, 11 Arabic and 7 Greek migrants) were recruited through nine Sydney oncology clinics. Following prognostic consultations, participants were interviewed in their preferred language about their experiences and ideals regarding information and communication with oncologists. Interviews were audio-taped, translated and transcribed, and then thematically analysed using N-Vivo software.\\n\\nRESULTS: Consistency was found in patient preferences, regardless of ethnicity, in that almost all patients preferred prognostic information to be delivered in a caring and personalised manner from an authoritative oncologist. Contrary to previous research, migrant patients often expressed a desire for prognostic disclosure. Discordance was found between migrant patients and their families. These families displayed traditional non-Western preferences of non-disclosure of prognosis and wanted to actively influence consultations by meeting with oncologists separately beforehand and directing the oncologists on what and how information should be conveyed to patients.\\n\\nCONCLUSIONS: Many of the communication issues facing patients in the metastatic cancer setting are shared amongst Anglo-Australian and migrant patients alike. Understanding the dynamics within migrant families is also an important component in providing culturally sensitive communication. Future directions for research are provided.","author":[{"dropping-particle":"","family":"Mitchison","given":"D.","non-dropping-particle":"","parse-names":false,"suffix":""},{"dropping-particle":"","family":"Butow","given":"P.","non-dropping-particle":"","parse-names":false,"suffix":""},{"dropping-particle":"","family":"Sze","given":"M.","non-dropping-particle":"","parse-names":false,"suffix":""},{"dropping-particle":"","family":"Aldridge","given":"L.","non-dropping-particle":"","parse-names":false,"suffix":""},{"dropping-particle":"","family":"Hui","given":"R.","non-dropping-particle":"","parse-names":false,"suffix":""},{"dropping-particle":"","family":"Vardy","given":"J.","non-dropping-particle":"","parse-names":false,"suffix":""},{"dropping-particle":"","family":"Eisenbruch","given":"M.","non-dropping-particle":"","parse-names":false,"suffix":""},{"dropping-particle":"","family":"Iedema","given":"R.","non-dropping-particle":"","parse-names":false,"suffix":""},{"dropping-particle":"","family":"Goldstein","given":"D.","non-dropping-particle":"","parse-names":false,"suffix":""}],"container-title":"Psycho-Oncology","id":"ITEM-1","issue":"5","issued":{"date-parts":[["2012","5"]]},"page":"496-504","title":"Prognostic communication preferences of migrant patients and their relatives","type":"article-journal","volume":"21"},"uris":["http://www.mendeley.com/documents/?uuid=1f460e04-97cd-4bbe-be07-f3b3f70206b1"]}],"mendeley":{"formattedCitation":"[14]","plainTextFormattedCitation":"[14]","previouslyFormattedCitation":"(14)"},"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[14]</w:t>
            </w:r>
            <w:r w:rsidRPr="008072F8">
              <w:rPr>
                <w:rFonts w:cstheme="minorHAnsi"/>
                <w:sz w:val="20"/>
                <w:szCs w:val="20"/>
              </w:rPr>
              <w:fldChar w:fldCharType="end"/>
            </w:r>
          </w:p>
        </w:tc>
        <w:tc>
          <w:tcPr>
            <w:tcW w:w="1275" w:type="dxa"/>
          </w:tcPr>
          <w:p w14:paraId="5DB04AEE" w14:textId="43BD0D16" w:rsidR="00341F4E" w:rsidRPr="008072F8" w:rsidRDefault="00341F4E" w:rsidP="008072F8">
            <w:pPr>
              <w:rPr>
                <w:rFonts w:cstheme="minorHAnsi"/>
                <w:sz w:val="20"/>
                <w:szCs w:val="20"/>
              </w:rPr>
            </w:pPr>
            <w:proofErr w:type="spellStart"/>
            <w:r w:rsidRPr="008072F8">
              <w:rPr>
                <w:rFonts w:cstheme="minorHAnsi"/>
                <w:sz w:val="20"/>
                <w:szCs w:val="20"/>
              </w:rPr>
              <w:t>Mitchison</w:t>
            </w:r>
            <w:proofErr w:type="spellEnd"/>
            <w:r w:rsidRPr="008072F8">
              <w:rPr>
                <w:rFonts w:cstheme="minorHAnsi"/>
                <w:sz w:val="20"/>
                <w:szCs w:val="20"/>
              </w:rPr>
              <w:t xml:space="preserve"> 2012</w:t>
            </w:r>
          </w:p>
        </w:tc>
        <w:tc>
          <w:tcPr>
            <w:tcW w:w="4820" w:type="dxa"/>
          </w:tcPr>
          <w:p w14:paraId="4F3774FC" w14:textId="5B90C351" w:rsidR="00341F4E" w:rsidRPr="008072F8" w:rsidRDefault="00341F4E" w:rsidP="008072F8">
            <w:pPr>
              <w:rPr>
                <w:rFonts w:cstheme="minorHAnsi"/>
                <w:sz w:val="20"/>
                <w:szCs w:val="20"/>
              </w:rPr>
            </w:pPr>
            <w:r w:rsidRPr="008072F8">
              <w:rPr>
                <w:rFonts w:cstheme="minorHAnsi"/>
                <w:sz w:val="20"/>
                <w:szCs w:val="20"/>
              </w:rPr>
              <w:t xml:space="preserve">To explore </w:t>
            </w:r>
            <w:r w:rsidR="00B6472B" w:rsidRPr="008072F8">
              <w:rPr>
                <w:rFonts w:cstheme="minorHAnsi"/>
                <w:sz w:val="20"/>
                <w:szCs w:val="20"/>
              </w:rPr>
              <w:t xml:space="preserve">personal experiences of </w:t>
            </w:r>
            <w:r w:rsidR="004F3549" w:rsidRPr="008072F8">
              <w:rPr>
                <w:rFonts w:cstheme="minorHAnsi"/>
                <w:sz w:val="20"/>
                <w:szCs w:val="20"/>
              </w:rPr>
              <w:t xml:space="preserve">and preferences for prognostic communication in </w:t>
            </w:r>
            <w:r w:rsidR="00B6472B" w:rsidRPr="008072F8">
              <w:rPr>
                <w:rFonts w:cstheme="minorHAnsi"/>
                <w:sz w:val="20"/>
                <w:szCs w:val="20"/>
              </w:rPr>
              <w:t>migrant and</w:t>
            </w:r>
            <w:r w:rsidR="004F3549" w:rsidRPr="008072F8">
              <w:rPr>
                <w:rFonts w:cstheme="minorHAnsi"/>
                <w:sz w:val="20"/>
                <w:szCs w:val="20"/>
              </w:rPr>
              <w:t xml:space="preserve"> Anglo-Australian</w:t>
            </w:r>
            <w:r w:rsidR="00B6472B" w:rsidRPr="008072F8">
              <w:rPr>
                <w:rFonts w:cstheme="minorHAnsi"/>
                <w:sz w:val="20"/>
                <w:szCs w:val="20"/>
              </w:rPr>
              <w:t xml:space="preserve"> patients.</w:t>
            </w:r>
          </w:p>
        </w:tc>
        <w:tc>
          <w:tcPr>
            <w:tcW w:w="1134" w:type="dxa"/>
          </w:tcPr>
          <w:p w14:paraId="1D8FD04D" w14:textId="75918D23" w:rsidR="00341F4E" w:rsidRPr="008072F8" w:rsidRDefault="00B6472B" w:rsidP="008072F8">
            <w:pPr>
              <w:rPr>
                <w:rFonts w:cstheme="minorHAnsi"/>
                <w:sz w:val="20"/>
                <w:szCs w:val="20"/>
              </w:rPr>
            </w:pPr>
            <w:r w:rsidRPr="008072F8">
              <w:rPr>
                <w:rFonts w:cstheme="minorHAnsi"/>
                <w:sz w:val="20"/>
                <w:szCs w:val="20"/>
              </w:rPr>
              <w:t>Qualitative study</w:t>
            </w:r>
          </w:p>
        </w:tc>
        <w:tc>
          <w:tcPr>
            <w:tcW w:w="2234" w:type="dxa"/>
          </w:tcPr>
          <w:p w14:paraId="3136CAE7" w14:textId="3BB7BCD8" w:rsidR="00341F4E" w:rsidRPr="008072F8" w:rsidRDefault="00B6472B" w:rsidP="008072F8">
            <w:pPr>
              <w:rPr>
                <w:rFonts w:cstheme="minorHAnsi"/>
                <w:sz w:val="20"/>
                <w:szCs w:val="20"/>
              </w:rPr>
            </w:pPr>
            <w:r w:rsidRPr="008072F8">
              <w:rPr>
                <w:rFonts w:cstheme="minorHAnsi"/>
                <w:sz w:val="20"/>
                <w:szCs w:val="20"/>
              </w:rPr>
              <w:t>Structured interviews.</w:t>
            </w:r>
          </w:p>
        </w:tc>
        <w:tc>
          <w:tcPr>
            <w:tcW w:w="3861" w:type="dxa"/>
          </w:tcPr>
          <w:p w14:paraId="1E12CAD9" w14:textId="5A472AE9" w:rsidR="00341F4E" w:rsidRPr="008072F8" w:rsidRDefault="00B6472B" w:rsidP="008072F8">
            <w:pPr>
              <w:rPr>
                <w:rFonts w:cstheme="minorHAnsi"/>
                <w:iCs/>
                <w:sz w:val="20"/>
                <w:szCs w:val="20"/>
              </w:rPr>
            </w:pPr>
            <w:r w:rsidRPr="008072F8">
              <w:rPr>
                <w:rFonts w:cstheme="minorHAnsi"/>
                <w:i/>
                <w:sz w:val="20"/>
                <w:szCs w:val="20"/>
              </w:rPr>
              <w:t xml:space="preserve">N </w:t>
            </w:r>
            <w:r w:rsidRPr="008072F8">
              <w:rPr>
                <w:rFonts w:cstheme="minorHAnsi"/>
                <w:iCs/>
                <w:sz w:val="20"/>
                <w:szCs w:val="20"/>
              </w:rPr>
              <w:t>= 31; Anglo-Australian patients with metastatic cancer and 25 family members; responses of immigrant groups were not included. Australia</w:t>
            </w:r>
          </w:p>
        </w:tc>
      </w:tr>
      <w:tr w:rsidR="00781810" w:rsidRPr="008072F8" w14:paraId="22E77CE3" w14:textId="77777777" w:rsidTr="00B6472B">
        <w:tc>
          <w:tcPr>
            <w:tcW w:w="710" w:type="dxa"/>
          </w:tcPr>
          <w:p w14:paraId="187FA04F" w14:textId="6F2F50D2"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{"citationItems":[{"id":"ITEM-1","itemData":{"DOI":"10.1017/S1478951516000833","ISBN":"1478951516","ISSN":"1478-9515","abstract":"© 2016 Cambridge University Press. Objective: Maintaining false hope may result in prolonged curative aggressive treatments until the very last stage of life. In this study, we sought to explore how people think that realistic and hopeful information should best be combined in physician-patient communications at the end of life. Method: During a period of 15 days, participants of five online focus groups (OFGs) could log in onto a closed discussion site and offer responses to several topics. A variety of people participated: Patients, older people, relatives, and healthcare professionals with and without a Muslim background. Participants with a Muslim background constituted a separate group, because previous research indicated that they might have distinct views on good end-of-life care and communication. Transcripts were analyzed following the principles of thematic analysis. Results: Participants from all focus groups preferred that physicians provide realistic information in an empathic way, stating that the patient would never be left on his own and that withholding curative treatment was not equal to withholding care, explicitly asking how the patient could be helped during the time remaining, and involving other professionals in the care process and communications. As such, physicians could support patients' transition from hope for a cure to hope for a good death. Muslims specified the way they wished to receive realistic information: First from a relative, and not by using the term incurable illness, but rather by informing the patient that they had no remaining curative treatments available. Significance of results: Realism and hope are not necessarily mutually exclusive and can be combined when providing realistic information in a delicate and culturally sensitive way. This study provides suggestions on how physicians can do so. Communication skills training as well as anchoring knowledge of the diversity of cultural and religious views into physicians' education could improve end-of-life communication.","author":[{"dropping-particle":"","family":"Oosterveld-Vlug","given":"Mariska G.","non-dropping-particle":"","parse-names":false,"suffix":""},{"dropping-particle":"","family":"Francke","given":"Anneke L.","non-dropping-particle":"","parse-names":false,"suffix":""},{"dropping-particle":"","family":"Pasman","given":"H. Roeline W.","non-dropping-particle":"","parse-names":false,"suffix":""},{"dropping-particle":"","family":"Onwuteaka-Philipsen","given":"Bregje D.","non-dropping-particle":"","parse-names":false,"suffix":""}],"container-title":"Palliative and Supportive Care","id":"ITEM-1","issue":"3","issued":{"date-parts":[["2017","6","7"]]},"page":"359-368","title":"How should realism and hope be combined in physician–patient communication at the end of life? An online focus-group study among participants with and without a Muslim background","type":"article-journal","volume":"15"},"uris":["http://www.mendeley.com/documents/?uuid=9b0330e4-a3be-4754-90bf-66a3e6c175f6"]}],"mendeley":{"formattedCitation":"[15]","plainTextFormattedCitation":"[15]","previouslyFormattedCitation":"(15)"},"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[15]</w:t>
            </w:r>
            <w:r w:rsidRPr="008072F8">
              <w:rPr>
                <w:rFonts w:cstheme="minorHAnsi"/>
                <w:sz w:val="20"/>
                <w:szCs w:val="20"/>
              </w:rPr>
              <w:fldChar w:fldCharType="end"/>
            </w:r>
          </w:p>
        </w:tc>
        <w:tc>
          <w:tcPr>
            <w:tcW w:w="1275" w:type="dxa"/>
          </w:tcPr>
          <w:p w14:paraId="01287874" w14:textId="7EE7AA5D" w:rsidR="00781810" w:rsidRPr="008072F8" w:rsidRDefault="00781810" w:rsidP="008072F8">
            <w:pPr>
              <w:rPr>
                <w:rFonts w:cstheme="minorHAnsi"/>
                <w:sz w:val="20"/>
                <w:szCs w:val="20"/>
              </w:rPr>
            </w:pPr>
            <w:proofErr w:type="spellStart"/>
            <w:r w:rsidRPr="008072F8">
              <w:rPr>
                <w:rFonts w:cstheme="minorHAnsi"/>
                <w:sz w:val="20"/>
                <w:szCs w:val="20"/>
              </w:rPr>
              <w:t>Oosterveld-Vlug</w:t>
            </w:r>
            <w:proofErr w:type="spellEnd"/>
            <w:r w:rsidRPr="008072F8">
              <w:rPr>
                <w:rFonts w:cstheme="minorHAnsi"/>
                <w:sz w:val="20"/>
                <w:szCs w:val="20"/>
              </w:rPr>
              <w:t xml:space="preserve"> 2017</w:t>
            </w:r>
          </w:p>
        </w:tc>
        <w:tc>
          <w:tcPr>
            <w:tcW w:w="4820" w:type="dxa"/>
          </w:tcPr>
          <w:p w14:paraId="08A1B351" w14:textId="701DEB5A" w:rsidR="00781810" w:rsidRPr="008072F8" w:rsidRDefault="00781810" w:rsidP="008072F8">
            <w:pPr>
              <w:rPr>
                <w:rFonts w:cstheme="minorHAnsi"/>
                <w:sz w:val="20"/>
                <w:szCs w:val="20"/>
              </w:rPr>
            </w:pPr>
            <w:r w:rsidRPr="008072F8">
              <w:rPr>
                <w:rFonts w:cstheme="minorHAnsi"/>
                <w:sz w:val="20"/>
                <w:szCs w:val="20"/>
              </w:rPr>
              <w:t>To explore how Dutch patients and relatives with and without a Muslim background think that realistic and hopeful information should be combined in physician–patient communication at the end of life.</w:t>
            </w:r>
          </w:p>
        </w:tc>
        <w:tc>
          <w:tcPr>
            <w:tcW w:w="1134" w:type="dxa"/>
          </w:tcPr>
          <w:p w14:paraId="3E68CE3E" w14:textId="5FCEDD0D"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55BCFF1F" w14:textId="1E032DD7" w:rsidR="00781810" w:rsidRPr="008072F8" w:rsidRDefault="00781810" w:rsidP="008072F8">
            <w:pPr>
              <w:rPr>
                <w:rFonts w:cstheme="minorHAnsi"/>
                <w:sz w:val="20"/>
                <w:szCs w:val="20"/>
              </w:rPr>
            </w:pPr>
            <w:r w:rsidRPr="008072F8">
              <w:rPr>
                <w:rFonts w:cstheme="minorHAnsi"/>
                <w:sz w:val="20"/>
                <w:szCs w:val="20"/>
              </w:rPr>
              <w:t>Online focus group.</w:t>
            </w:r>
          </w:p>
        </w:tc>
        <w:tc>
          <w:tcPr>
            <w:tcW w:w="3861" w:type="dxa"/>
          </w:tcPr>
          <w:p w14:paraId="4E941B48" w14:textId="79BEA25F"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9; patients and relatives with a Muslim background. The Netherlands.</w:t>
            </w:r>
          </w:p>
        </w:tc>
      </w:tr>
      <w:tr w:rsidR="00781810" w:rsidRPr="008072F8" w14:paraId="119F79EE" w14:textId="77777777" w:rsidTr="00B6472B">
        <w:tc>
          <w:tcPr>
            <w:tcW w:w="710" w:type="dxa"/>
          </w:tcPr>
          <w:p w14:paraId="6C5B5731" w14:textId="62896302" w:rsidR="00781810" w:rsidRPr="008072F8" w:rsidRDefault="00DB0345" w:rsidP="008072F8">
            <w:pPr>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{"citationItems":[{"id":"ITEM-1","itemData":{"DOI":"10.1136/bmjopen-2018-023463","ISSN":"2044-6055","abstract":"Objectives Patients with colorectal cancer undergoing palliative treatment receive extensive treatment-related information throughout their disease trajectory. We aimed to explore the experiences of patients with incurable colorectal cancer while in palliative care and their reflections on the information provided by physicians and nurses. Our main focus was the patients' thoughts about how information about disease status and life expectancy was communicated, from the first time that they were informed about the incurable nature of their disease through to postsurgery palliative treatment. Settings Patients with colorectal cancer receiving palliative chemotherapy. Research design We used a qualitative approach, and the data were analysed by qualitative content analysis. Participants 20 patients (34-75 years of age) were included in the study; 12 received first-line chemotherapy and 8 received second-line chemotherapy. Eleven patients were treated by oncologists, and nine were treated by junior physicians. Results Data-driven empirical analysis identified three themes: (1) inadequate information during the initial phase of the disease trajectory; (2) hope and information further into the disease trajectory and (3) personal, professional and organisational factors that influenced information and communication throughout the disease trajectory. Conclusion The participants' experience of being told for the first time that they had an incurable disease was perceived as inadequate, while postsurgery palliative chemotherapy, physicians and nurses offered hope. The participants preferred customised information about their treatment and likely future prospects and physicians and nurses who took a holistic and compassionate approach focusing on their lifeworld. To be a sensitive, holistic and compassionate physician or nurse requires knowledge and confidence. To achieve this requires training and guidance at universities and in hospitals.Copyright © Author(s) (or their employer(s)) 2019. Re-use permitted under CC BY-NC. No commercial re-use. See rights and permissions. Published by BMJ.","author":[{"dropping-particle":"","family":"Rohde","given":"Gudrun","non-dropping-particle":"","parse-names":false,"suffix":""},{"dropping-particle":"","family":"Söderhamn","given":"Ulrika","non-dropping-particle":"","parse-names":false,"suffix":""},{"dropping-particle":"","family":"Vistad","given":"Ingvild","non-dropping-particle":"","parse-names":false,"suffix":""}],"container-title":"BMJ Open","id":"ITEM-1","issue":"3","issued":{"date-parts":[["2019","3","7"]]},"page":"e023463","title":"Reflections on communication of disease prognosis and life expectancy by patients with colorectal cancer undergoing palliative care: a qualitative study","type":"article-journal","volume":"9"},"uris":["http://www.mendeley.com/documents/?uuid=1637a71c-5e6f-443d-9725-35d35b4600de"]}],"mendeley":{"formattedCitation":"[16]","plainTextFormattedCitation":"[16]","previouslyFormattedCitation":"(16)"},"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[16]</w:t>
            </w:r>
            <w:r w:rsidRPr="008072F8">
              <w:rPr>
                <w:rFonts w:cstheme="minorHAnsi"/>
                <w:sz w:val="20"/>
                <w:szCs w:val="20"/>
              </w:rPr>
              <w:fldChar w:fldCharType="end"/>
            </w:r>
          </w:p>
        </w:tc>
        <w:tc>
          <w:tcPr>
            <w:tcW w:w="1275" w:type="dxa"/>
          </w:tcPr>
          <w:p w14:paraId="267950B8" w14:textId="7335A72D" w:rsidR="00781810" w:rsidRPr="008072F8" w:rsidRDefault="00781810" w:rsidP="008072F8">
            <w:pPr>
              <w:rPr>
                <w:rFonts w:cstheme="minorHAnsi"/>
                <w:sz w:val="20"/>
                <w:szCs w:val="20"/>
              </w:rPr>
            </w:pPr>
            <w:r w:rsidRPr="008072F8">
              <w:rPr>
                <w:rFonts w:cstheme="minorHAnsi"/>
                <w:sz w:val="20"/>
                <w:szCs w:val="20"/>
              </w:rPr>
              <w:t>Rohde 2019</w:t>
            </w:r>
          </w:p>
        </w:tc>
        <w:tc>
          <w:tcPr>
            <w:tcW w:w="4820" w:type="dxa"/>
          </w:tcPr>
          <w:p w14:paraId="171A715F" w14:textId="74710B4D" w:rsidR="00781810" w:rsidRPr="008072F8" w:rsidRDefault="00781810" w:rsidP="008072F8">
            <w:pPr>
              <w:rPr>
                <w:rFonts w:cstheme="minorHAnsi"/>
                <w:sz w:val="20"/>
                <w:szCs w:val="20"/>
              </w:rPr>
            </w:pPr>
            <w:r w:rsidRPr="008072F8">
              <w:rPr>
                <w:rFonts w:cstheme="minorHAnsi"/>
                <w:sz w:val="20"/>
                <w:szCs w:val="20"/>
              </w:rPr>
              <w:t>To explore experiences of patients with incurable colorectal cancer while in palliative care and their reflections on the information provided, specifically disease, prognosis and life expectancy.</w:t>
            </w:r>
          </w:p>
        </w:tc>
        <w:tc>
          <w:tcPr>
            <w:tcW w:w="1134" w:type="dxa"/>
          </w:tcPr>
          <w:p w14:paraId="6C7C0AC6" w14:textId="2FCB84FB" w:rsidR="00781810" w:rsidRPr="008072F8" w:rsidRDefault="00781810" w:rsidP="008072F8">
            <w:pPr>
              <w:rPr>
                <w:rFonts w:cstheme="minorHAnsi"/>
                <w:sz w:val="20"/>
                <w:szCs w:val="20"/>
              </w:rPr>
            </w:pPr>
            <w:r w:rsidRPr="008072F8">
              <w:rPr>
                <w:rFonts w:cstheme="minorHAnsi"/>
                <w:sz w:val="20"/>
                <w:szCs w:val="20"/>
              </w:rPr>
              <w:t>Qualitative study.</w:t>
            </w:r>
          </w:p>
        </w:tc>
        <w:tc>
          <w:tcPr>
            <w:tcW w:w="2234" w:type="dxa"/>
          </w:tcPr>
          <w:p w14:paraId="6DB62FC9" w14:textId="2DB95C57" w:rsidR="00781810" w:rsidRPr="008072F8" w:rsidRDefault="00781810" w:rsidP="008072F8">
            <w:pPr>
              <w:rPr>
                <w:rFonts w:cstheme="minorHAnsi"/>
                <w:sz w:val="20"/>
                <w:szCs w:val="20"/>
              </w:rPr>
            </w:pPr>
            <w:r w:rsidRPr="008072F8">
              <w:rPr>
                <w:rFonts w:cstheme="minorHAnsi"/>
                <w:sz w:val="20"/>
                <w:szCs w:val="20"/>
              </w:rPr>
              <w:t>Semi-structured interviews.</w:t>
            </w:r>
          </w:p>
        </w:tc>
        <w:tc>
          <w:tcPr>
            <w:tcW w:w="3861" w:type="dxa"/>
          </w:tcPr>
          <w:p w14:paraId="01541468" w14:textId="3B183033" w:rsidR="00781810" w:rsidRPr="008072F8" w:rsidRDefault="00781810" w:rsidP="008072F8">
            <w:pPr>
              <w:rPr>
                <w:rFonts w:cstheme="minorHAnsi"/>
                <w:i/>
                <w:sz w:val="20"/>
                <w:szCs w:val="20"/>
              </w:rPr>
            </w:pPr>
            <w:r w:rsidRPr="008072F8">
              <w:rPr>
                <w:rFonts w:cstheme="minorHAnsi"/>
                <w:i/>
                <w:sz w:val="20"/>
                <w:szCs w:val="20"/>
              </w:rPr>
              <w:t xml:space="preserve">N </w:t>
            </w:r>
            <w:r w:rsidRPr="008072F8">
              <w:rPr>
                <w:rFonts w:cstheme="minorHAnsi"/>
                <w:sz w:val="20"/>
                <w:szCs w:val="20"/>
              </w:rPr>
              <w:t>= 20; patients with colorectal cancer receiving palliative chemotherapy. Norway</w:t>
            </w:r>
          </w:p>
        </w:tc>
      </w:tr>
      <w:tr w:rsidR="00781810" w:rsidRPr="008072F8" w14:paraId="203D0D49" w14:textId="77777777" w:rsidTr="00B6472B">
        <w:tc>
          <w:tcPr>
            <w:tcW w:w="710" w:type="dxa"/>
          </w:tcPr>
          <w:p w14:paraId="5E572E71" w14:textId="6C11E6A0" w:rsidR="00781810" w:rsidRPr="008072F8" w:rsidRDefault="00DB0345" w:rsidP="008072F8">
            <w:pPr>
              <w:autoSpaceDE w:val="0"/>
              <w:autoSpaceDN w:val="0"/>
              <w:adjustRightInd w:val="0"/>
              <w:rPr>
                <w:rFonts w:cstheme="minorHAnsi"/>
                <w:sz w:val="20"/>
                <w:szCs w:val="20"/>
              </w:rPr>
            </w:pPr>
            <w:r w:rsidRPr="008072F8">
              <w:rPr>
                <w:rFonts w:cstheme="minorHAnsi"/>
                <w:sz w:val="20"/>
                <w:szCs w:val="20"/>
              </w:rPr>
              <w:fldChar w:fldCharType="begin" w:fldLock="1"/>
            </w:r>
            <w:r w:rsidR="00BE510E" w:rsidRPr="008072F8">
              <w:rPr>
                <w:rFonts w:cstheme="minorHAnsi"/>
                <w:sz w:val="20"/>
                <w:szCs w:val="20"/>
              </w:rPr>
              <w:instrText>ADDIN CSL_CITATION {"citationItems":[{"id":"ITEM-1","itemData":{"DOI":"10.1016/j.pec.2011.08.009","ISBN":"07383991 (ISSN)","ISSN":"07383991","PMID":"21920693","abstract":"Objective: To explore patients' perspectives across two cultures (Australia and USA) regarding communication about prognosis and end-of-life care issues and to consider the ways in which these discussions can be optimised. Methods: Fifteen Australian and 11 US patients completed individual semi-structured qualitative interviews. A further 8 US patients participated in a focus group. Interviews and focus group recordings were transcribed verbatim and interpreted using thematic text analysis with an inductive, data-driven approach. Results: Global themes identified included readiness for and outcomes of discussions of prognosis and end-of-life issues. Contributing to readiness were sub themes including patients' adjustment to and acceptance of their condition (together with seven factors promoting this), doctor and patient communication skills, mutual understandings and therapeutic relationship elements. Outcomes included sub themes of achievement of control and ability to move on. A model of the relationships between these factors, emergent cross cultural differences, and how factors may help to optimise these discussions are presented. Conclusion: Identified optimising factors illustrate Australian and US patients' perspectives regarding how prognosis and end-of-life issues can be discussed with minimised negative impact. Practice implications: Recognition of factors promoting adjustment, acceptance and readiness and use of the communication skills and therapeutic relationship elements identified may assist in optimising discussions and help patients plan care, achieve more control of their situation and enjoy an optimal quality-of-life. © 2011 Elsevier Ireland Ltd.","author":[{"dropping-particle":"","family":"Walczak","given":"Adam","non-dropping-particle":"","parse-names":false,"suffix":""},{"dropping-particle":"","family":"Butow","given":"Phyllis N.","non-dropping-particle":"","parse-names":false,"suffix":""},{"dropping-particle":"","family":"Davidson","given":"Patricia M.","non-dropping-particle":"","parse-names":false,"suffix":""},{"dropping-particle":"","family":"Bellemore","given":"Frances A.","non-dropping-particle":"","parse-names":false,"suffix":""},{"dropping-particle":"","family":"Tattersall","given":"Martin H.N.","non-dropping-particle":"","parse-names":false,"suffix":""},{"dropping-particle":"","family":"Clayton","given":"Josephine M.","non-dropping-particle":"","parse-names":false,"suffix":""},{"dropping-particle":"","family":"Young","given":"Jane","non-dropping-particle":"","parse-names":false,"suffix":""},{"dropping-particle":"","family":"Mazer","given":"Benjamin","non-dropping-particle":"","parse-names":false,"suffix":""},{"dropping-particle":"","family":"Ladwig","given":"Susan","non-dropping-particle":"","parse-names":false,"suffix":""},{"dropping-particle":"","family":"Epstein","given":"Ronald M.","non-dropping-particle":"","parse-names":false,"suffix":""}],"container-title":"Patient Education and Counseling","id":"ITEM-1","issue":"3","issued":{"date-parts":[["2013","3"]]},"page":"307-314","title":"Patient perspectives regarding communication about prognosis and end-of-life issues: How can it be optimised?","type":"article-journal","volume":"90"},"uris":["http://www.mendeley.com/documents/?uuid=f0e410d3-94e3-4ecc-baba-1a4af34df297"]}],"mendeley":{"formattedCitation":"[17]","plainTextFormattedCitation":"[17]","previouslyFormattedCitation":"(17)"},"properties":{"noteIndex":0},"schema":"https://github.com/citation-style-language/schema/raw/master/csl-citation.json"}</w:instrText>
            </w:r>
            <w:r w:rsidRPr="008072F8">
              <w:rPr>
                <w:rFonts w:cstheme="minorHAnsi"/>
                <w:sz w:val="20"/>
                <w:szCs w:val="20"/>
              </w:rPr>
              <w:fldChar w:fldCharType="separate"/>
            </w:r>
            <w:r w:rsidR="00BE510E" w:rsidRPr="008072F8">
              <w:rPr>
                <w:rFonts w:cstheme="minorHAnsi"/>
                <w:noProof/>
                <w:sz w:val="20"/>
                <w:szCs w:val="20"/>
              </w:rPr>
              <w:t>[17]</w:t>
            </w:r>
            <w:r w:rsidRPr="008072F8">
              <w:rPr>
                <w:rFonts w:cstheme="minorHAnsi"/>
                <w:sz w:val="20"/>
                <w:szCs w:val="20"/>
              </w:rPr>
              <w:fldChar w:fldCharType="end"/>
            </w:r>
          </w:p>
        </w:tc>
        <w:tc>
          <w:tcPr>
            <w:tcW w:w="1275" w:type="dxa"/>
          </w:tcPr>
          <w:p w14:paraId="46409452" w14:textId="072CD795" w:rsidR="00781810" w:rsidRPr="008072F8" w:rsidRDefault="00781810" w:rsidP="008072F8">
            <w:pPr>
              <w:autoSpaceDE w:val="0"/>
              <w:autoSpaceDN w:val="0"/>
              <w:adjustRightInd w:val="0"/>
              <w:rPr>
                <w:rFonts w:cstheme="minorHAnsi"/>
                <w:sz w:val="20"/>
                <w:szCs w:val="20"/>
              </w:rPr>
            </w:pPr>
            <w:r w:rsidRPr="008072F8">
              <w:rPr>
                <w:rFonts w:cstheme="minorHAnsi"/>
                <w:sz w:val="20"/>
                <w:szCs w:val="20"/>
              </w:rPr>
              <w:t>Walczak 2013</w:t>
            </w:r>
          </w:p>
        </w:tc>
        <w:tc>
          <w:tcPr>
            <w:tcW w:w="4820" w:type="dxa"/>
          </w:tcPr>
          <w:p w14:paraId="3686F9FD" w14:textId="3E2D6297" w:rsidR="00781810" w:rsidRPr="008072F8" w:rsidRDefault="00781810" w:rsidP="008072F8">
            <w:pPr>
              <w:rPr>
                <w:rFonts w:cstheme="minorHAnsi"/>
                <w:sz w:val="20"/>
                <w:szCs w:val="20"/>
              </w:rPr>
            </w:pPr>
            <w:r w:rsidRPr="008072F8">
              <w:rPr>
                <w:rFonts w:cstheme="minorHAnsi"/>
                <w:sz w:val="20"/>
                <w:szCs w:val="20"/>
              </w:rPr>
              <w:t>To explore patients perspectives across two cultures (Australia and USA) regarding optimal communication about prognosis and end-of-life care issues.</w:t>
            </w:r>
          </w:p>
        </w:tc>
        <w:tc>
          <w:tcPr>
            <w:tcW w:w="1134" w:type="dxa"/>
          </w:tcPr>
          <w:p w14:paraId="73311D79" w14:textId="77777777" w:rsidR="00781810" w:rsidRPr="008072F8" w:rsidRDefault="00781810" w:rsidP="008072F8">
            <w:pPr>
              <w:rPr>
                <w:rFonts w:cstheme="minorHAnsi"/>
                <w:i/>
                <w:sz w:val="20"/>
                <w:szCs w:val="20"/>
              </w:rPr>
            </w:pPr>
            <w:r w:rsidRPr="008072F8">
              <w:rPr>
                <w:rFonts w:cstheme="minorHAnsi"/>
                <w:sz w:val="20"/>
                <w:szCs w:val="20"/>
              </w:rPr>
              <w:t>Qualitative study.</w:t>
            </w:r>
          </w:p>
        </w:tc>
        <w:tc>
          <w:tcPr>
            <w:tcW w:w="2234" w:type="dxa"/>
          </w:tcPr>
          <w:p w14:paraId="3E449E7F" w14:textId="77777777" w:rsidR="00781810" w:rsidRPr="008072F8" w:rsidRDefault="00781810" w:rsidP="008072F8">
            <w:pPr>
              <w:rPr>
                <w:rFonts w:cstheme="minorHAnsi"/>
                <w:i/>
                <w:sz w:val="20"/>
                <w:szCs w:val="20"/>
              </w:rPr>
            </w:pPr>
            <w:r w:rsidRPr="008072F8">
              <w:rPr>
                <w:rFonts w:cstheme="minorHAnsi"/>
                <w:sz w:val="20"/>
                <w:szCs w:val="20"/>
              </w:rPr>
              <w:t>Semi-structured individual interviews and focus group.</w:t>
            </w:r>
          </w:p>
        </w:tc>
        <w:tc>
          <w:tcPr>
            <w:tcW w:w="3861" w:type="dxa"/>
          </w:tcPr>
          <w:p w14:paraId="69814B92" w14:textId="77777777" w:rsidR="00781810" w:rsidRPr="008072F8" w:rsidRDefault="00781810" w:rsidP="008072F8">
            <w:pPr>
              <w:rPr>
                <w:rFonts w:cstheme="minorHAnsi"/>
                <w:sz w:val="20"/>
                <w:szCs w:val="20"/>
              </w:rPr>
            </w:pPr>
            <w:r w:rsidRPr="008072F8">
              <w:rPr>
                <w:rFonts w:cstheme="minorHAnsi"/>
                <w:i/>
                <w:sz w:val="20"/>
                <w:szCs w:val="20"/>
              </w:rPr>
              <w:t xml:space="preserve">N </w:t>
            </w:r>
            <w:r w:rsidRPr="008072F8">
              <w:rPr>
                <w:rFonts w:cstheme="minorHAnsi"/>
                <w:sz w:val="20"/>
                <w:szCs w:val="20"/>
              </w:rPr>
              <w:t>= 34; patients with advanced, incurable cancer. Australia (</w:t>
            </w:r>
            <w:r w:rsidRPr="008072F8">
              <w:rPr>
                <w:rFonts w:cstheme="minorHAnsi"/>
                <w:i/>
                <w:sz w:val="20"/>
                <w:szCs w:val="20"/>
              </w:rPr>
              <w:t xml:space="preserve">N </w:t>
            </w:r>
            <w:r w:rsidRPr="008072F8">
              <w:rPr>
                <w:rFonts w:cstheme="minorHAnsi"/>
                <w:sz w:val="20"/>
                <w:szCs w:val="20"/>
              </w:rPr>
              <w:t>= 15) and USA (</w:t>
            </w:r>
            <w:r w:rsidRPr="008072F8">
              <w:rPr>
                <w:rFonts w:cstheme="minorHAnsi"/>
                <w:i/>
                <w:sz w:val="20"/>
                <w:szCs w:val="20"/>
              </w:rPr>
              <w:t xml:space="preserve">N </w:t>
            </w:r>
            <w:r w:rsidRPr="008072F8">
              <w:rPr>
                <w:rFonts w:cstheme="minorHAnsi"/>
                <w:sz w:val="20"/>
                <w:szCs w:val="20"/>
              </w:rPr>
              <w:t xml:space="preserve"> = 19)</w:t>
            </w:r>
          </w:p>
        </w:tc>
      </w:tr>
    </w:tbl>
    <w:p w14:paraId="64EA460D" w14:textId="3B4D49C8" w:rsidR="008D02B8" w:rsidRPr="008072F8" w:rsidRDefault="00235234" w:rsidP="008072F8">
      <w:pPr>
        <w:pStyle w:val="Bijschrift"/>
        <w:rPr>
          <w:rFonts w:cstheme="minorHAnsi"/>
          <w:color w:val="auto"/>
          <w:sz w:val="20"/>
          <w:szCs w:val="20"/>
        </w:rPr>
      </w:pPr>
      <w:r w:rsidRPr="008072F8">
        <w:rPr>
          <w:rFonts w:cstheme="minorHAnsi"/>
          <w:color w:val="auto"/>
          <w:sz w:val="20"/>
          <w:szCs w:val="20"/>
        </w:rPr>
        <w:t>† Th</w:t>
      </w:r>
      <w:r w:rsidR="00D45BB3" w:rsidRPr="008072F8">
        <w:rPr>
          <w:rFonts w:cstheme="minorHAnsi"/>
          <w:color w:val="auto"/>
          <w:sz w:val="20"/>
          <w:szCs w:val="20"/>
        </w:rPr>
        <w:t xml:space="preserve">e results of </w:t>
      </w:r>
      <w:r w:rsidR="007A3424" w:rsidRPr="008072F8">
        <w:rPr>
          <w:rFonts w:cstheme="minorHAnsi"/>
          <w:color w:val="auto"/>
          <w:sz w:val="20"/>
          <w:szCs w:val="20"/>
        </w:rPr>
        <w:t xml:space="preserve">this study </w:t>
      </w:r>
      <w:r w:rsidR="00D45BB3" w:rsidRPr="008072F8">
        <w:rPr>
          <w:rFonts w:cstheme="minorHAnsi"/>
          <w:color w:val="auto"/>
          <w:sz w:val="20"/>
          <w:szCs w:val="20"/>
        </w:rPr>
        <w:t xml:space="preserve">were split over </w:t>
      </w:r>
      <w:r w:rsidR="006D6D41" w:rsidRPr="008072F8">
        <w:rPr>
          <w:rFonts w:cstheme="minorHAnsi"/>
          <w:color w:val="auto"/>
          <w:sz w:val="20"/>
          <w:szCs w:val="20"/>
        </w:rPr>
        <w:t>four</w:t>
      </w:r>
      <w:r w:rsidRPr="008072F8">
        <w:rPr>
          <w:rFonts w:cstheme="minorHAnsi"/>
          <w:color w:val="auto"/>
          <w:sz w:val="20"/>
          <w:szCs w:val="20"/>
        </w:rPr>
        <w:t xml:space="preserve"> separate articles.</w:t>
      </w:r>
      <w:r w:rsidR="00D01A9C" w:rsidRPr="008072F8">
        <w:rPr>
          <w:rFonts w:cstheme="minorHAnsi"/>
          <w:color w:val="auto"/>
          <w:sz w:val="20"/>
          <w:szCs w:val="20"/>
        </w:rPr>
        <w:t xml:space="preserve"> </w:t>
      </w:r>
    </w:p>
    <w:p w14:paraId="79FAC786" w14:textId="75746A46" w:rsidR="00113E33" w:rsidRPr="008072F8" w:rsidRDefault="008D02B8" w:rsidP="003F5E4C">
      <w:pPr>
        <w:pStyle w:val="Bijschrift"/>
        <w:rPr>
          <w:rFonts w:cstheme="minorHAnsi"/>
          <w:b w:val="0"/>
          <w:sz w:val="24"/>
          <w:szCs w:val="24"/>
        </w:rPr>
      </w:pPr>
      <w:r w:rsidRPr="008072F8">
        <w:rPr>
          <w:rFonts w:cstheme="minorHAnsi"/>
          <w:color w:val="auto"/>
          <w:sz w:val="20"/>
          <w:szCs w:val="20"/>
        </w:rPr>
        <w:t xml:space="preserve">†† </w:t>
      </w:r>
      <w:r w:rsidR="00D01A9C" w:rsidRPr="008072F8">
        <w:rPr>
          <w:rFonts w:cstheme="minorHAnsi"/>
          <w:color w:val="auto"/>
          <w:sz w:val="20"/>
          <w:szCs w:val="20"/>
        </w:rPr>
        <w:t xml:space="preserve">The results of </w:t>
      </w:r>
      <w:r w:rsidR="007A3424" w:rsidRPr="008072F8">
        <w:rPr>
          <w:rFonts w:cstheme="minorHAnsi"/>
          <w:color w:val="auto"/>
          <w:sz w:val="20"/>
          <w:szCs w:val="20"/>
        </w:rPr>
        <w:t>this study</w:t>
      </w:r>
      <w:r w:rsidR="00D01A9C" w:rsidRPr="008072F8">
        <w:rPr>
          <w:rFonts w:cstheme="minorHAnsi"/>
          <w:color w:val="auto"/>
          <w:sz w:val="20"/>
          <w:szCs w:val="20"/>
        </w:rPr>
        <w:t xml:space="preserve"> were spli</w:t>
      </w:r>
      <w:r w:rsidR="007A3424" w:rsidRPr="008072F8">
        <w:rPr>
          <w:rFonts w:cstheme="minorHAnsi"/>
          <w:color w:val="auto"/>
          <w:sz w:val="20"/>
          <w:szCs w:val="20"/>
        </w:rPr>
        <w:t>t over three separate articles.</w:t>
      </w:r>
      <w:bookmarkEnd w:id="0"/>
    </w:p>
    <w:sectPr w:rsidR="00113E33" w:rsidRPr="008072F8" w:rsidSect="006B1CBA">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318C2" w14:textId="77777777" w:rsidR="0062353E" w:rsidRDefault="0062353E" w:rsidP="003056B4">
      <w:pPr>
        <w:spacing w:after="0" w:line="240" w:lineRule="auto"/>
      </w:pPr>
      <w:r>
        <w:separator/>
      </w:r>
    </w:p>
  </w:endnote>
  <w:endnote w:type="continuationSeparator" w:id="0">
    <w:p w14:paraId="2D5A0DC1" w14:textId="77777777" w:rsidR="0062353E" w:rsidRDefault="0062353E" w:rsidP="0030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4158982"/>
      <w:docPartObj>
        <w:docPartGallery w:val="Page Numbers (Bottom of Page)"/>
        <w:docPartUnique/>
      </w:docPartObj>
    </w:sdtPr>
    <w:sdtEndPr/>
    <w:sdtContent>
      <w:p w14:paraId="766E48F1" w14:textId="1837FF7D" w:rsidR="0062353E" w:rsidRDefault="0062353E">
        <w:pPr>
          <w:pStyle w:val="Voettekst"/>
          <w:jc w:val="right"/>
        </w:pPr>
        <w:r>
          <w:fldChar w:fldCharType="begin"/>
        </w:r>
        <w:r>
          <w:instrText>PAGE   \* MERGEFORMAT</w:instrText>
        </w:r>
        <w:r>
          <w:fldChar w:fldCharType="separate"/>
        </w:r>
        <w:r w:rsidR="001C22E8" w:rsidRPr="001C22E8">
          <w:rPr>
            <w:noProof/>
            <w:lang w:val="nl-NL"/>
          </w:rPr>
          <w:t>1</w:t>
        </w:r>
        <w:r>
          <w:fldChar w:fldCharType="end"/>
        </w:r>
      </w:p>
    </w:sdtContent>
  </w:sdt>
  <w:p w14:paraId="2111872A" w14:textId="387B2B9A" w:rsidR="0062353E" w:rsidRDefault="0062353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9B2FE" w14:textId="77777777" w:rsidR="0062353E" w:rsidRDefault="0062353E" w:rsidP="003056B4">
      <w:pPr>
        <w:spacing w:after="0" w:line="240" w:lineRule="auto"/>
      </w:pPr>
      <w:r>
        <w:separator/>
      </w:r>
    </w:p>
  </w:footnote>
  <w:footnote w:type="continuationSeparator" w:id="0">
    <w:p w14:paraId="6AE1B962" w14:textId="77777777" w:rsidR="0062353E" w:rsidRDefault="0062353E" w:rsidP="00305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03039"/>
    <w:multiLevelType w:val="hybridMultilevel"/>
    <w:tmpl w:val="73227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4CB62BA"/>
    <w:multiLevelType w:val="hybridMultilevel"/>
    <w:tmpl w:val="1C5414A4"/>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577CD"/>
    <w:multiLevelType w:val="hybridMultilevel"/>
    <w:tmpl w:val="5AB2B74C"/>
    <w:lvl w:ilvl="0" w:tplc="A14C90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6F72C6"/>
    <w:multiLevelType w:val="hybridMultilevel"/>
    <w:tmpl w:val="5B6E06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1061C74"/>
    <w:multiLevelType w:val="hybridMultilevel"/>
    <w:tmpl w:val="D90A042E"/>
    <w:lvl w:ilvl="0" w:tplc="1D88577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33A93"/>
    <w:multiLevelType w:val="hybridMultilevel"/>
    <w:tmpl w:val="4B5A428E"/>
    <w:lvl w:ilvl="0" w:tplc="0413000F">
      <w:start w:val="1"/>
      <w:numFmt w:val="decimal"/>
      <w:lvlText w:val="%1."/>
      <w:lvlJc w:val="left"/>
      <w:pPr>
        <w:ind w:left="0" w:hanging="360"/>
      </w:pPr>
      <w:rPr>
        <w:rFonts w:hint="default"/>
      </w:rPr>
    </w:lvl>
    <w:lvl w:ilvl="1" w:tplc="04130019">
      <w:start w:val="1"/>
      <w:numFmt w:val="lowerLetter"/>
      <w:lvlText w:val="%2."/>
      <w:lvlJc w:val="left"/>
      <w:pPr>
        <w:ind w:left="720" w:hanging="360"/>
      </w:pPr>
    </w:lvl>
    <w:lvl w:ilvl="2" w:tplc="0413001B" w:tentative="1">
      <w:start w:val="1"/>
      <w:numFmt w:val="lowerRoman"/>
      <w:lvlText w:val="%3."/>
      <w:lvlJc w:val="right"/>
      <w:pPr>
        <w:ind w:left="1440" w:hanging="180"/>
      </w:pPr>
    </w:lvl>
    <w:lvl w:ilvl="3" w:tplc="0413000F" w:tentative="1">
      <w:start w:val="1"/>
      <w:numFmt w:val="decimal"/>
      <w:lvlText w:val="%4."/>
      <w:lvlJc w:val="left"/>
      <w:pPr>
        <w:ind w:left="2160" w:hanging="360"/>
      </w:pPr>
    </w:lvl>
    <w:lvl w:ilvl="4" w:tplc="04130019" w:tentative="1">
      <w:start w:val="1"/>
      <w:numFmt w:val="lowerLetter"/>
      <w:lvlText w:val="%5."/>
      <w:lvlJc w:val="left"/>
      <w:pPr>
        <w:ind w:left="2880" w:hanging="360"/>
      </w:pPr>
    </w:lvl>
    <w:lvl w:ilvl="5" w:tplc="0413001B" w:tentative="1">
      <w:start w:val="1"/>
      <w:numFmt w:val="lowerRoman"/>
      <w:lvlText w:val="%6."/>
      <w:lvlJc w:val="right"/>
      <w:pPr>
        <w:ind w:left="3600" w:hanging="180"/>
      </w:pPr>
    </w:lvl>
    <w:lvl w:ilvl="6" w:tplc="0413000F" w:tentative="1">
      <w:start w:val="1"/>
      <w:numFmt w:val="decimal"/>
      <w:lvlText w:val="%7."/>
      <w:lvlJc w:val="left"/>
      <w:pPr>
        <w:ind w:left="4320" w:hanging="360"/>
      </w:pPr>
    </w:lvl>
    <w:lvl w:ilvl="7" w:tplc="04130019" w:tentative="1">
      <w:start w:val="1"/>
      <w:numFmt w:val="lowerLetter"/>
      <w:lvlText w:val="%8."/>
      <w:lvlJc w:val="left"/>
      <w:pPr>
        <w:ind w:left="5040" w:hanging="360"/>
      </w:pPr>
    </w:lvl>
    <w:lvl w:ilvl="8" w:tplc="0413001B" w:tentative="1">
      <w:start w:val="1"/>
      <w:numFmt w:val="lowerRoman"/>
      <w:lvlText w:val="%9."/>
      <w:lvlJc w:val="right"/>
      <w:pPr>
        <w:ind w:left="5760" w:hanging="180"/>
      </w:pPr>
    </w:lvl>
  </w:abstractNum>
  <w:abstractNum w:abstractNumId="6" w15:restartNumberingAfterBreak="0">
    <w:nsid w:val="3E7547D6"/>
    <w:multiLevelType w:val="hybridMultilevel"/>
    <w:tmpl w:val="47866182"/>
    <w:lvl w:ilvl="0" w:tplc="20302F7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82273"/>
    <w:multiLevelType w:val="multilevel"/>
    <w:tmpl w:val="A09C1A2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721676DF"/>
    <w:multiLevelType w:val="hybridMultilevel"/>
    <w:tmpl w:val="4D0A0586"/>
    <w:lvl w:ilvl="0" w:tplc="E7D8F11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4D67978"/>
    <w:multiLevelType w:val="hybridMultilevel"/>
    <w:tmpl w:val="A8148C04"/>
    <w:lvl w:ilvl="0" w:tplc="0413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641CC0"/>
    <w:multiLevelType w:val="hybridMultilevel"/>
    <w:tmpl w:val="432C59A8"/>
    <w:lvl w:ilvl="0" w:tplc="9B3276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
  </w:num>
  <w:num w:numId="4">
    <w:abstractNumId w:val="2"/>
  </w:num>
  <w:num w:numId="5">
    <w:abstractNumId w:val="6"/>
  </w:num>
  <w:num w:numId="6">
    <w:abstractNumId w:val="7"/>
  </w:num>
  <w:num w:numId="7">
    <w:abstractNumId w:val="9"/>
  </w:num>
  <w:num w:numId="8">
    <w:abstractNumId w:val="8"/>
  </w:num>
  <w:num w:numId="9">
    <w:abstractNumId w:val="0"/>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483"/>
    <w:rsid w:val="000047EA"/>
    <w:rsid w:val="00005F3F"/>
    <w:rsid w:val="00033F5F"/>
    <w:rsid w:val="00065D6A"/>
    <w:rsid w:val="00072BA7"/>
    <w:rsid w:val="00092956"/>
    <w:rsid w:val="000B78D3"/>
    <w:rsid w:val="000E26C0"/>
    <w:rsid w:val="00100119"/>
    <w:rsid w:val="0011211E"/>
    <w:rsid w:val="00113E33"/>
    <w:rsid w:val="001175B6"/>
    <w:rsid w:val="00124E17"/>
    <w:rsid w:val="00142AF5"/>
    <w:rsid w:val="001455B8"/>
    <w:rsid w:val="001B018E"/>
    <w:rsid w:val="001C22E8"/>
    <w:rsid w:val="001C2D3C"/>
    <w:rsid w:val="001F0F41"/>
    <w:rsid w:val="001F77DC"/>
    <w:rsid w:val="00202897"/>
    <w:rsid w:val="00207C1B"/>
    <w:rsid w:val="002322AB"/>
    <w:rsid w:val="00235234"/>
    <w:rsid w:val="00266A58"/>
    <w:rsid w:val="0028175A"/>
    <w:rsid w:val="002B33F7"/>
    <w:rsid w:val="002B7E23"/>
    <w:rsid w:val="002C2C48"/>
    <w:rsid w:val="002D49D8"/>
    <w:rsid w:val="003056B4"/>
    <w:rsid w:val="0031159E"/>
    <w:rsid w:val="00327409"/>
    <w:rsid w:val="00330718"/>
    <w:rsid w:val="00337A1C"/>
    <w:rsid w:val="00341F4E"/>
    <w:rsid w:val="00382A3C"/>
    <w:rsid w:val="00392156"/>
    <w:rsid w:val="003A44A2"/>
    <w:rsid w:val="003D2B15"/>
    <w:rsid w:val="003D74BE"/>
    <w:rsid w:val="003F57EC"/>
    <w:rsid w:val="003F5E4C"/>
    <w:rsid w:val="00426293"/>
    <w:rsid w:val="00430600"/>
    <w:rsid w:val="004353A4"/>
    <w:rsid w:val="004553AC"/>
    <w:rsid w:val="00461B94"/>
    <w:rsid w:val="00481D83"/>
    <w:rsid w:val="004A67A9"/>
    <w:rsid w:val="004B3795"/>
    <w:rsid w:val="004C6F92"/>
    <w:rsid w:val="004D1156"/>
    <w:rsid w:val="004D6907"/>
    <w:rsid w:val="004F3549"/>
    <w:rsid w:val="004F743C"/>
    <w:rsid w:val="004F7CBD"/>
    <w:rsid w:val="00517644"/>
    <w:rsid w:val="00551E90"/>
    <w:rsid w:val="00552BD7"/>
    <w:rsid w:val="00567F98"/>
    <w:rsid w:val="005773F8"/>
    <w:rsid w:val="0059603A"/>
    <w:rsid w:val="0059792D"/>
    <w:rsid w:val="00597CC5"/>
    <w:rsid w:val="005A4829"/>
    <w:rsid w:val="005C4919"/>
    <w:rsid w:val="005F226E"/>
    <w:rsid w:val="005F6313"/>
    <w:rsid w:val="006007DE"/>
    <w:rsid w:val="0062353E"/>
    <w:rsid w:val="00624B6D"/>
    <w:rsid w:val="00641763"/>
    <w:rsid w:val="00650115"/>
    <w:rsid w:val="00651168"/>
    <w:rsid w:val="006645CE"/>
    <w:rsid w:val="006808CB"/>
    <w:rsid w:val="00695D84"/>
    <w:rsid w:val="006A0BCB"/>
    <w:rsid w:val="006A4DBD"/>
    <w:rsid w:val="006B1CBA"/>
    <w:rsid w:val="006B2F2C"/>
    <w:rsid w:val="006C073E"/>
    <w:rsid w:val="006C2F71"/>
    <w:rsid w:val="006D2F75"/>
    <w:rsid w:val="006D6D41"/>
    <w:rsid w:val="006F1F2D"/>
    <w:rsid w:val="00703E63"/>
    <w:rsid w:val="00704319"/>
    <w:rsid w:val="00707535"/>
    <w:rsid w:val="0073270B"/>
    <w:rsid w:val="00736120"/>
    <w:rsid w:val="007430C8"/>
    <w:rsid w:val="007543EC"/>
    <w:rsid w:val="00761C56"/>
    <w:rsid w:val="007635EB"/>
    <w:rsid w:val="0077278A"/>
    <w:rsid w:val="007754D6"/>
    <w:rsid w:val="00781810"/>
    <w:rsid w:val="007855BE"/>
    <w:rsid w:val="00787FCD"/>
    <w:rsid w:val="007A3424"/>
    <w:rsid w:val="007B0F1D"/>
    <w:rsid w:val="007C3FB0"/>
    <w:rsid w:val="007C7E65"/>
    <w:rsid w:val="007D559B"/>
    <w:rsid w:val="007D5FA5"/>
    <w:rsid w:val="007E297D"/>
    <w:rsid w:val="007E6B3D"/>
    <w:rsid w:val="00806FA1"/>
    <w:rsid w:val="008072F8"/>
    <w:rsid w:val="008355D5"/>
    <w:rsid w:val="008372A9"/>
    <w:rsid w:val="008425EE"/>
    <w:rsid w:val="008778EE"/>
    <w:rsid w:val="00881431"/>
    <w:rsid w:val="00882E52"/>
    <w:rsid w:val="00893D24"/>
    <w:rsid w:val="008A50E3"/>
    <w:rsid w:val="008A74BA"/>
    <w:rsid w:val="008B2EF8"/>
    <w:rsid w:val="008C17D1"/>
    <w:rsid w:val="008D02B8"/>
    <w:rsid w:val="008E57B7"/>
    <w:rsid w:val="008E6266"/>
    <w:rsid w:val="008E6FAF"/>
    <w:rsid w:val="00900D8B"/>
    <w:rsid w:val="0091234F"/>
    <w:rsid w:val="00921254"/>
    <w:rsid w:val="009256D4"/>
    <w:rsid w:val="00927CA4"/>
    <w:rsid w:val="00940DDA"/>
    <w:rsid w:val="0094260C"/>
    <w:rsid w:val="00975F1B"/>
    <w:rsid w:val="00991F2E"/>
    <w:rsid w:val="00992F96"/>
    <w:rsid w:val="009A4472"/>
    <w:rsid w:val="009A6752"/>
    <w:rsid w:val="009D5B35"/>
    <w:rsid w:val="00A564DD"/>
    <w:rsid w:val="00A834CE"/>
    <w:rsid w:val="00A875EF"/>
    <w:rsid w:val="00A87D1D"/>
    <w:rsid w:val="00A91E69"/>
    <w:rsid w:val="00A9322D"/>
    <w:rsid w:val="00AA027F"/>
    <w:rsid w:val="00AA4D6C"/>
    <w:rsid w:val="00AB1A00"/>
    <w:rsid w:val="00AD11D5"/>
    <w:rsid w:val="00AD63D4"/>
    <w:rsid w:val="00B07CB7"/>
    <w:rsid w:val="00B12716"/>
    <w:rsid w:val="00B312C4"/>
    <w:rsid w:val="00B46A28"/>
    <w:rsid w:val="00B6472B"/>
    <w:rsid w:val="00B75292"/>
    <w:rsid w:val="00B9191C"/>
    <w:rsid w:val="00BA70D6"/>
    <w:rsid w:val="00BA7A2D"/>
    <w:rsid w:val="00BD0219"/>
    <w:rsid w:val="00BD1830"/>
    <w:rsid w:val="00BD2A10"/>
    <w:rsid w:val="00BE510E"/>
    <w:rsid w:val="00BF3DAC"/>
    <w:rsid w:val="00BF6207"/>
    <w:rsid w:val="00BF6D7A"/>
    <w:rsid w:val="00C21B51"/>
    <w:rsid w:val="00C537FC"/>
    <w:rsid w:val="00C5696A"/>
    <w:rsid w:val="00C57835"/>
    <w:rsid w:val="00C8448C"/>
    <w:rsid w:val="00C8469E"/>
    <w:rsid w:val="00CA2BDE"/>
    <w:rsid w:val="00CA3B8F"/>
    <w:rsid w:val="00CC0335"/>
    <w:rsid w:val="00CC70AE"/>
    <w:rsid w:val="00CD2985"/>
    <w:rsid w:val="00CD3F94"/>
    <w:rsid w:val="00CF4DA6"/>
    <w:rsid w:val="00CF720A"/>
    <w:rsid w:val="00D01A9C"/>
    <w:rsid w:val="00D128AB"/>
    <w:rsid w:val="00D132B5"/>
    <w:rsid w:val="00D45BB3"/>
    <w:rsid w:val="00D74FB1"/>
    <w:rsid w:val="00D82C14"/>
    <w:rsid w:val="00D95117"/>
    <w:rsid w:val="00DA07CD"/>
    <w:rsid w:val="00DB0345"/>
    <w:rsid w:val="00DB3B12"/>
    <w:rsid w:val="00DB47B1"/>
    <w:rsid w:val="00DB5359"/>
    <w:rsid w:val="00DB78AD"/>
    <w:rsid w:val="00DF4E89"/>
    <w:rsid w:val="00DF6D48"/>
    <w:rsid w:val="00E11C62"/>
    <w:rsid w:val="00E140AF"/>
    <w:rsid w:val="00E14A6B"/>
    <w:rsid w:val="00E4314F"/>
    <w:rsid w:val="00E45A45"/>
    <w:rsid w:val="00EB2051"/>
    <w:rsid w:val="00EB5278"/>
    <w:rsid w:val="00EC1E4B"/>
    <w:rsid w:val="00EC6CC5"/>
    <w:rsid w:val="00EC7483"/>
    <w:rsid w:val="00EE794B"/>
    <w:rsid w:val="00EF26A4"/>
    <w:rsid w:val="00EF6FE8"/>
    <w:rsid w:val="00F030B5"/>
    <w:rsid w:val="00F201A9"/>
    <w:rsid w:val="00F2194B"/>
    <w:rsid w:val="00F246F2"/>
    <w:rsid w:val="00F472FE"/>
    <w:rsid w:val="00F60936"/>
    <w:rsid w:val="00F63833"/>
    <w:rsid w:val="00F66A6A"/>
    <w:rsid w:val="00F77C45"/>
    <w:rsid w:val="00F80746"/>
    <w:rsid w:val="00F91289"/>
    <w:rsid w:val="00FA5EF5"/>
    <w:rsid w:val="00FD454A"/>
    <w:rsid w:val="00FE7D2F"/>
    <w:rsid w:val="00FF500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ecimalSymbol w:val=","/>
  <w:listSeparator w:val=";"/>
  <w14:docId w14:val="3B58518C"/>
  <w15:docId w15:val="{4B1D0C32-24C5-474D-AB9D-B6097A75A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qFormat/>
    <w:rsid w:val="007754D6"/>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C57835"/>
    <w:rPr>
      <w:sz w:val="16"/>
      <w:szCs w:val="16"/>
    </w:rPr>
  </w:style>
  <w:style w:type="paragraph" w:styleId="Tekstopmerking">
    <w:name w:val="annotation text"/>
    <w:basedOn w:val="Standaard"/>
    <w:link w:val="TekstopmerkingChar"/>
    <w:uiPriority w:val="99"/>
    <w:unhideWhenUsed/>
    <w:rsid w:val="00C57835"/>
    <w:pPr>
      <w:spacing w:line="240" w:lineRule="auto"/>
    </w:pPr>
    <w:rPr>
      <w:sz w:val="20"/>
      <w:szCs w:val="20"/>
    </w:rPr>
  </w:style>
  <w:style w:type="character" w:customStyle="1" w:styleId="TekstopmerkingChar">
    <w:name w:val="Tekst opmerking Char"/>
    <w:basedOn w:val="Standaardalinea-lettertype"/>
    <w:link w:val="Tekstopmerking"/>
    <w:uiPriority w:val="99"/>
    <w:rsid w:val="00C57835"/>
    <w:rPr>
      <w:sz w:val="20"/>
      <w:szCs w:val="20"/>
    </w:rPr>
  </w:style>
  <w:style w:type="paragraph" w:styleId="Onderwerpvanopmerking">
    <w:name w:val="annotation subject"/>
    <w:basedOn w:val="Tekstopmerking"/>
    <w:next w:val="Tekstopmerking"/>
    <w:link w:val="OnderwerpvanopmerkingChar"/>
    <w:uiPriority w:val="99"/>
    <w:semiHidden/>
    <w:unhideWhenUsed/>
    <w:rsid w:val="00C57835"/>
    <w:rPr>
      <w:b/>
      <w:bCs/>
    </w:rPr>
  </w:style>
  <w:style w:type="character" w:customStyle="1" w:styleId="OnderwerpvanopmerkingChar">
    <w:name w:val="Onderwerp van opmerking Char"/>
    <w:basedOn w:val="TekstopmerkingChar"/>
    <w:link w:val="Onderwerpvanopmerking"/>
    <w:uiPriority w:val="99"/>
    <w:semiHidden/>
    <w:rsid w:val="00C57835"/>
    <w:rPr>
      <w:b/>
      <w:bCs/>
      <w:sz w:val="20"/>
      <w:szCs w:val="20"/>
    </w:rPr>
  </w:style>
  <w:style w:type="paragraph" w:styleId="Ballontekst">
    <w:name w:val="Balloon Text"/>
    <w:basedOn w:val="Standaard"/>
    <w:link w:val="BallontekstChar"/>
    <w:uiPriority w:val="99"/>
    <w:semiHidden/>
    <w:unhideWhenUsed/>
    <w:rsid w:val="00C5783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57835"/>
    <w:rPr>
      <w:rFonts w:ascii="Tahoma" w:hAnsi="Tahoma" w:cs="Tahoma"/>
      <w:sz w:val="16"/>
      <w:szCs w:val="16"/>
    </w:rPr>
  </w:style>
  <w:style w:type="paragraph" w:styleId="Lijstalinea">
    <w:name w:val="List Paragraph"/>
    <w:basedOn w:val="Standaard"/>
    <w:uiPriority w:val="34"/>
    <w:qFormat/>
    <w:rsid w:val="001C2D3C"/>
    <w:pPr>
      <w:ind w:left="720"/>
      <w:contextualSpacing/>
    </w:pPr>
  </w:style>
  <w:style w:type="character" w:customStyle="1" w:styleId="Kop2Char">
    <w:name w:val="Kop 2 Char"/>
    <w:basedOn w:val="Standaardalinea-lettertype"/>
    <w:link w:val="Kop2"/>
    <w:rsid w:val="007754D6"/>
    <w:rPr>
      <w:rFonts w:ascii="Times New Roman" w:eastAsia="Times New Roman" w:hAnsi="Times New Roman" w:cs="Times New Roman"/>
      <w:b/>
      <w:bCs/>
      <w:color w:val="000000"/>
      <w:kern w:val="28"/>
      <w:sz w:val="24"/>
      <w:szCs w:val="24"/>
      <w:lang w:val="en-CA" w:eastAsia="en-CA"/>
    </w:rPr>
  </w:style>
  <w:style w:type="paragraph" w:styleId="Koptekst">
    <w:name w:val="header"/>
    <w:basedOn w:val="Standaard"/>
    <w:link w:val="KoptekstChar"/>
    <w:uiPriority w:val="99"/>
    <w:unhideWhenUsed/>
    <w:rsid w:val="003056B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056B4"/>
  </w:style>
  <w:style w:type="paragraph" w:styleId="Voettekst">
    <w:name w:val="footer"/>
    <w:basedOn w:val="Standaard"/>
    <w:link w:val="VoettekstChar"/>
    <w:uiPriority w:val="99"/>
    <w:unhideWhenUsed/>
    <w:rsid w:val="003056B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056B4"/>
  </w:style>
  <w:style w:type="table" w:styleId="Tabelraster">
    <w:name w:val="Table Grid"/>
    <w:basedOn w:val="Standaardtabel"/>
    <w:uiPriority w:val="59"/>
    <w:rsid w:val="00235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235234"/>
    <w:pPr>
      <w:spacing w:after="200" w:line="240" w:lineRule="auto"/>
    </w:pPr>
    <w:rPr>
      <w:b/>
      <w:bCs/>
      <w:color w:val="4472C4" w:themeColor="accent1"/>
      <w:sz w:val="18"/>
      <w:szCs w:val="18"/>
    </w:rPr>
  </w:style>
  <w:style w:type="character" w:styleId="Hyperlink">
    <w:name w:val="Hyperlink"/>
    <w:basedOn w:val="Standaardalinea-lettertype"/>
    <w:uiPriority w:val="99"/>
    <w:unhideWhenUsed/>
    <w:rsid w:val="00BF3DAC"/>
    <w:rPr>
      <w:color w:val="0563C1" w:themeColor="hyperlink"/>
      <w:u w:val="single"/>
    </w:rPr>
  </w:style>
  <w:style w:type="paragraph" w:styleId="Revisie">
    <w:name w:val="Revision"/>
    <w:hidden/>
    <w:uiPriority w:val="99"/>
    <w:semiHidden/>
    <w:rsid w:val="00D45BB3"/>
    <w:pPr>
      <w:spacing w:after="0" w:line="240" w:lineRule="auto"/>
    </w:pPr>
  </w:style>
  <w:style w:type="character" w:styleId="GevolgdeHyperlink">
    <w:name w:val="FollowedHyperlink"/>
    <w:basedOn w:val="Standaardalinea-lettertype"/>
    <w:uiPriority w:val="99"/>
    <w:semiHidden/>
    <w:unhideWhenUsed/>
    <w:rsid w:val="00567F98"/>
    <w:rPr>
      <w:color w:val="954F72" w:themeColor="followedHyperlink"/>
      <w:u w:val="single"/>
    </w:rPr>
  </w:style>
  <w:style w:type="paragraph" w:styleId="Voetnoottekst">
    <w:name w:val="footnote text"/>
    <w:basedOn w:val="Standaard"/>
    <w:link w:val="VoetnoottekstChar"/>
    <w:uiPriority w:val="99"/>
    <w:semiHidden/>
    <w:unhideWhenUsed/>
    <w:rsid w:val="00BD183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D1830"/>
    <w:rPr>
      <w:sz w:val="20"/>
      <w:szCs w:val="20"/>
    </w:rPr>
  </w:style>
  <w:style w:type="character" w:styleId="Voetnootmarkering">
    <w:name w:val="footnote reference"/>
    <w:basedOn w:val="Standaardalinea-lettertype"/>
    <w:uiPriority w:val="99"/>
    <w:semiHidden/>
    <w:unhideWhenUsed/>
    <w:rsid w:val="00BD1830"/>
    <w:rPr>
      <w:vertAlign w:val="superscript"/>
    </w:rPr>
  </w:style>
  <w:style w:type="character" w:styleId="Regelnummer">
    <w:name w:val="line number"/>
    <w:basedOn w:val="Standaardalinea-lettertype"/>
    <w:uiPriority w:val="99"/>
    <w:semiHidden/>
    <w:unhideWhenUsed/>
    <w:rsid w:val="005A4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80C09-9B02-41C5-B82D-2D70C899C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8749</Words>
  <Characters>48121</Characters>
  <Application>Microsoft Office Word</Application>
  <DocSecurity>0</DocSecurity>
  <Lines>401</Lines>
  <Paragraphs>113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56757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Eenennaam, R.M. van</dc:creator>
  <cp:keywords/>
  <cp:lastModifiedBy>R. M. van Eenennaam</cp:lastModifiedBy>
  <cp:revision>3</cp:revision>
  <cp:lastPrinted>2019-08-27T09:22:00Z</cp:lastPrinted>
  <dcterms:created xsi:type="dcterms:W3CDTF">2020-10-20T14:35:00Z</dcterms:created>
  <dcterms:modified xsi:type="dcterms:W3CDTF">2020-10-20T14:55:00Z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e6828b5b-d01d-396b-b57f-6d7586315557</vt:lpwstr>
  </property>
  <property fmtid="{D5CDD505-2E9C-101B-9397-08002B2CF9AE}" pid="4" name="Mendeley Citation Style_1">
    <vt:lpwstr>http://www.zotero.org/styles/bmc-neurology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http://www.zotero.org/styles/bmc-neurology</vt:lpwstr>
  </property>
  <property fmtid="{D5CDD505-2E9C-101B-9397-08002B2CF9AE}" pid="10" name="Mendeley Recent Style Name 2_1">
    <vt:lpwstr>BMC Neurology</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