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7B2EE" w14:textId="77777777" w:rsidR="00DD0B7D" w:rsidRDefault="00DD0B7D" w:rsidP="00DD0B7D">
      <w:pPr>
        <w:spacing w:line="480" w:lineRule="auto"/>
        <w:jc w:val="both"/>
        <w:rPr>
          <w:rFonts w:ascii="Arial" w:eastAsia="Arial" w:hAnsi="Arial" w:cs="Arial"/>
        </w:rPr>
      </w:pPr>
      <w:r w:rsidRPr="00495D61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AA1E31" wp14:editId="095510E6">
                <wp:simplePos x="0" y="0"/>
                <wp:positionH relativeFrom="column">
                  <wp:posOffset>-184231</wp:posOffset>
                </wp:positionH>
                <wp:positionV relativeFrom="paragraph">
                  <wp:posOffset>6814049</wp:posOffset>
                </wp:positionV>
                <wp:extent cx="6284595" cy="1276985"/>
                <wp:effectExtent l="0" t="0" r="0" b="0"/>
                <wp:wrapNone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E7BFE10-4A53-E263-8C33-2DD08D98E5C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4595" cy="1276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BE6DA1" w14:textId="77777777" w:rsidR="00DD0B7D" w:rsidRPr="00495D61" w:rsidRDefault="00DD0B7D" w:rsidP="00DD0B7D">
                            <w:pPr>
                              <w:jc w:val="both"/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Supplementary Figure 1.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Live Cell Sorting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for Monocyte Derived Osteoclast Cells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Fluorescent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M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inus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O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ne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(FMO)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gating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controls for CD51/61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(a)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and RANK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(b)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binding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for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two Representative donor specimen Patient 1 and Patient 2.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(c)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Average cell viability before cell sorting was 86.36% ± 10.53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% of total nucleated cells measured by AO/PI uptake on a Nexcelom cellometer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(d)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Average cell viability after cell sorting was 96.48% ± 5.045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% of total nucleated events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for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‘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Low Hoechst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’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cells and 100% ± 0.00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&amp;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for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‘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High Hoechst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’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cells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after live cell sorting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(e) 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Quantitative PCR of osteoclast marker genes Acid Phosphatase 5, Tartrate Resistant (</w:t>
                            </w:r>
                            <w:r w:rsidRPr="002A6BA3">
                              <w:rPr>
                                <w:rFonts w:ascii="Arial" w:hAnsi="Arial"/>
                                <w:i/>
                                <w:iCs/>
                                <w:color w:val="000000"/>
                                <w:kern w:val="24"/>
                              </w:rPr>
                              <w:t>ACP5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), cathepsin K (</w:t>
                            </w:r>
                            <w:r w:rsidRPr="002A6BA3">
                              <w:rPr>
                                <w:rFonts w:ascii="Arial" w:hAnsi="Arial"/>
                                <w:i/>
                                <w:iCs/>
                                <w:color w:val="000000"/>
                                <w:kern w:val="24"/>
                              </w:rPr>
                              <w:t>CTSK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), matrix metalloproteinase 9 (</w:t>
                            </w:r>
                            <w:r w:rsidRPr="002A6BA3">
                              <w:rPr>
                                <w:rFonts w:ascii="Arial" w:hAnsi="Arial"/>
                                <w:i/>
                                <w:iCs/>
                                <w:color w:val="000000"/>
                                <w:kern w:val="24"/>
                              </w:rPr>
                              <w:t>MMP9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) and macrophage marker CD163 (</w:t>
                            </w:r>
                            <w:r w:rsidRPr="002A6BA3">
                              <w:rPr>
                                <w:rFonts w:ascii="Arial" w:hAnsi="Arial"/>
                                <w:i/>
                                <w:iCs/>
                                <w:color w:val="000000"/>
                                <w:kern w:val="24"/>
                              </w:rPr>
                              <w:t>CD163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), comparing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bulk ‘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presort cells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’ (Presort)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to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matched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‘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High Hoechst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’</w:t>
                            </w:r>
                            <w:r w:rsidRPr="00732A6F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osteoclasts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(OC)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 </w:t>
                            </w:r>
                            <w:r w:rsidRPr="00495D61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shown as relative expression projected to housekeeping genes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 w:rsidRPr="00495D61">
                              <w:rPr>
                                <w:rFonts w:ascii="Arial" w:hAnsi="Arial"/>
                                <w:i/>
                                <w:iCs/>
                                <w:color w:val="000000"/>
                                <w:kern w:val="24"/>
                              </w:rPr>
                              <w:t>RPLP0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 and </w:t>
                            </w:r>
                            <w:r w:rsidRPr="00495D61">
                              <w:rPr>
                                <w:rFonts w:ascii="Arial" w:hAnsi="Arial"/>
                                <w:i/>
                                <w:iCs/>
                                <w:color w:val="000000"/>
                                <w:kern w:val="24"/>
                              </w:rPr>
                              <w:t>POLR2A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AA1E31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-14.5pt;margin-top:536.55pt;width:494.85pt;height:100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NCweAEAAN8CAAAOAAAAZHJzL2Uyb0RvYy54bWysUk1PAjEQvZv4H5reZYEIwoaFaAhejJqg&#10;P6B0W3aTbad2Crv8e6cFwejNeJlt5+P1zXs7W3SmYXvlsQZb8EGvz5myEsrabgv+/ra6mXCGQdhS&#10;NGBVwQ8K+WJ+fTVrXa6GUEFTKs8IxGLeuoJXIbg8y1BWygjsgVOWihq8EYGufpuVXrSEbpps2O+P&#10;sxZ86TxIhUjZ5bHI5wlfayXDi9aoAmsKTtxCij7FTYzZfCbyrReuquWJhvgDCyNqS4+eoZYiCLbz&#10;9S8oU0sPCDr0JJgMtK6lSjvQNoP+j23WlXAq7ULioDvLhP8HK5/3a/fqWegeoCMDoyCtwxwpGffp&#10;tDfxS0wZ1UnCw1k21QUmKTkeTm5H0xFnkmqD4d14OhlFnOwy7jyGRwWGxUPBPfmS5BL7JwzH1q+W&#10;+JqFVd00MX/hEk+h23QnghsoD8S7JesKjh874aNSgojf7wKNJ9Q4c2w8QZGKidfJ8WjT93vquvyX&#10;808AAAD//wMAUEsDBBQABgAIAAAAIQBcyTGS4AAAAA0BAAAPAAAAZHJzL2Rvd25yZXYueG1sTI/B&#10;TsMwEETvSPyDtUjcWjsBGhriVBVQiQMXSrhv4yWJiO0odpv077uc4Lgzo9k3xWa2vTjRGDrvNCRL&#10;BYJc7U3nGg3V527xCCJEdAZ770jDmQJsyuurAnPjJ/dBp31sBJe4kKOGNsYhlzLULVkMSz+QY+/b&#10;jxYjn2MjzYgTl9tepkqtpMXO8YcWB3puqf7ZH62GGM02OVevNrx9ze8vU6vqB6y0vr2Zt08gIs3x&#10;Lwy/+IwOJTMd/NGZIHoNi3TNWyIbKrtLQHBkvVIZiANLaXafgiwL+X9FeQEAAP//AwBQSwECLQAU&#10;AAYACAAAACEAtoM4kv4AAADhAQAAEwAAAAAAAAAAAAAAAAAAAAAAW0NvbnRlbnRfVHlwZXNdLnht&#10;bFBLAQItABQABgAIAAAAIQA4/SH/1gAAAJQBAAALAAAAAAAAAAAAAAAAAC8BAABfcmVscy8ucmVs&#10;c1BLAQItABQABgAIAAAAIQD6iNCweAEAAN8CAAAOAAAAAAAAAAAAAAAAAC4CAABkcnMvZTJvRG9j&#10;LnhtbFBLAQItABQABgAIAAAAIQBcyTGS4AAAAA0BAAAPAAAAAAAAAAAAAAAAANIDAABkcnMvZG93&#10;bnJldi54bWxQSwUGAAAAAAQABADzAAAA3wQAAAAA&#10;" filled="f" stroked="f">
                <v:textbox style="mso-fit-shape-to-text:t">
                  <w:txbxContent>
                    <w:p w14:paraId="1ABE6DA1" w14:textId="77777777" w:rsidR="00DD0B7D" w:rsidRPr="00495D61" w:rsidRDefault="00DD0B7D" w:rsidP="00DD0B7D">
                      <w:pPr>
                        <w:jc w:val="both"/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14:ligatures w14:val="non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Supplementary Figure 1.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Live Cell Sorting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for Monocyte Derived Osteoclast Cells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.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Fluorescent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M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inus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O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ne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(FMO)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gating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controls for CD51/61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(a)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and RANK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(b)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binding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for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two Representative donor specimen Patient 1 and Patient 2.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(c)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Average cell viability before cell sorting was 86.36% ± 10.53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% of total nucleated cells measured by AO/PI uptake on a Nexcelom cellometer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(d)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Average cell viability after cell sorting was 96.48% ± 5.045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% of total nucleated events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for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‘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Low Hoechst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’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cells and 100% ± 0.00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&amp;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for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‘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High Hoechst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’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cells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after live cell sorting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(e) 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Quantitative PCR of osteoclast marker genes Acid Phosphatase 5, Tartrate Resistant (</w:t>
                      </w:r>
                      <w:r w:rsidRPr="002A6BA3">
                        <w:rPr>
                          <w:rFonts w:ascii="Arial" w:hAnsi="Arial"/>
                          <w:i/>
                          <w:iCs/>
                          <w:color w:val="000000"/>
                          <w:kern w:val="24"/>
                        </w:rPr>
                        <w:t>ACP5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), cathepsin K (</w:t>
                      </w:r>
                      <w:r w:rsidRPr="002A6BA3">
                        <w:rPr>
                          <w:rFonts w:ascii="Arial" w:hAnsi="Arial"/>
                          <w:i/>
                          <w:iCs/>
                          <w:color w:val="000000"/>
                          <w:kern w:val="24"/>
                        </w:rPr>
                        <w:t>CTSK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), matrix metalloproteinase 9 (</w:t>
                      </w:r>
                      <w:r w:rsidRPr="002A6BA3">
                        <w:rPr>
                          <w:rFonts w:ascii="Arial" w:hAnsi="Arial"/>
                          <w:i/>
                          <w:iCs/>
                          <w:color w:val="000000"/>
                          <w:kern w:val="24"/>
                        </w:rPr>
                        <w:t>MMP9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) and macrophage marker CD163 (</w:t>
                      </w:r>
                      <w:r w:rsidRPr="002A6BA3">
                        <w:rPr>
                          <w:rFonts w:ascii="Arial" w:hAnsi="Arial"/>
                          <w:i/>
                          <w:iCs/>
                          <w:color w:val="000000"/>
                          <w:kern w:val="24"/>
                        </w:rPr>
                        <w:t>CD163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), comparing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bulk ‘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presort cells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’ (Presort)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to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matched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‘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>High Hoechst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’</w:t>
                      </w:r>
                      <w:r w:rsidRPr="00732A6F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osteoclasts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(OC)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 </w:t>
                      </w:r>
                      <w:r w:rsidRPr="00495D61">
                        <w:rPr>
                          <w:rFonts w:ascii="Arial" w:hAnsi="Arial"/>
                          <w:color w:val="000000"/>
                          <w:kern w:val="24"/>
                        </w:rPr>
                        <w:t>shown as relative expression projected to housekeeping genes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</w:t>
                      </w:r>
                      <w:r w:rsidRPr="00495D61">
                        <w:rPr>
                          <w:rFonts w:ascii="Arial" w:hAnsi="Arial"/>
                          <w:i/>
                          <w:iCs/>
                          <w:color w:val="000000"/>
                          <w:kern w:val="24"/>
                        </w:rPr>
                        <w:t>RPLP0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 and </w:t>
                      </w:r>
                      <w:r w:rsidRPr="00495D61">
                        <w:rPr>
                          <w:rFonts w:ascii="Arial" w:hAnsi="Arial"/>
                          <w:i/>
                          <w:iCs/>
                          <w:color w:val="000000"/>
                          <w:kern w:val="24"/>
                        </w:rPr>
                        <w:t>POLR2A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732A6F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1F760BE4" wp14:editId="0EB2F67C">
            <wp:simplePos x="0" y="0"/>
            <wp:positionH relativeFrom="margin">
              <wp:posOffset>-98425</wp:posOffset>
            </wp:positionH>
            <wp:positionV relativeFrom="margin">
              <wp:posOffset>-218440</wp:posOffset>
            </wp:positionV>
            <wp:extent cx="6112510" cy="7032625"/>
            <wp:effectExtent l="0" t="0" r="2540" b="0"/>
            <wp:wrapTight wrapText="bothSides">
              <wp:wrapPolygon edited="0">
                <wp:start x="0" y="0"/>
                <wp:lineTo x="0" y="21532"/>
                <wp:lineTo x="21542" y="21532"/>
                <wp:lineTo x="21542" y="0"/>
                <wp:lineTo x="0" y="0"/>
              </wp:wrapPolygon>
            </wp:wrapTight>
            <wp:docPr id="463628489" name="Picture 2" descr="A close-up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A04C11D-05B1-62F5-887C-B93D79523C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close-up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FA04C11D-05B1-62F5-887C-B93D79523C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982981" w14:textId="77777777" w:rsidR="00DD0B7D" w:rsidRDefault="00DD0B7D" w:rsidP="00DD0B7D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017D19ED" w14:textId="77777777" w:rsidR="00DD0B7D" w:rsidRDefault="00DD0B7D" w:rsidP="00DD0B7D">
      <w:pPr>
        <w:spacing w:line="480" w:lineRule="auto"/>
        <w:jc w:val="both"/>
        <w:rPr>
          <w:rFonts w:ascii="Arial" w:eastAsia="Arial" w:hAnsi="Arial" w:cs="Arial"/>
        </w:rPr>
      </w:pPr>
      <w:r w:rsidRPr="00CB1827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2A69F8F" wp14:editId="4D43E061">
            <wp:simplePos x="0" y="0"/>
            <wp:positionH relativeFrom="column">
              <wp:posOffset>524875</wp:posOffset>
            </wp:positionH>
            <wp:positionV relativeFrom="paragraph">
              <wp:posOffset>176</wp:posOffset>
            </wp:positionV>
            <wp:extent cx="4844374" cy="7867799"/>
            <wp:effectExtent l="0" t="0" r="0" b="0"/>
            <wp:wrapTight wrapText="bothSides">
              <wp:wrapPolygon edited="0">
                <wp:start x="0" y="0"/>
                <wp:lineTo x="0" y="21548"/>
                <wp:lineTo x="21492" y="21548"/>
                <wp:lineTo x="21492" y="0"/>
                <wp:lineTo x="0" y="0"/>
              </wp:wrapPolygon>
            </wp:wrapTight>
            <wp:docPr id="1712171675" name="Picture 2" descr="A close-up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D633950-AC86-F176-F33F-FEC6DA7F15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close-up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6D633950-AC86-F176-F33F-FEC6DA7F15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4374" cy="7867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58477B" w14:textId="77777777" w:rsidR="00DD0B7D" w:rsidRDefault="00DD0B7D" w:rsidP="00DD0B7D">
      <w:pPr>
        <w:rPr>
          <w:rFonts w:ascii="Arial" w:eastAsia="Arial" w:hAnsi="Arial" w:cs="Arial"/>
        </w:rPr>
      </w:pPr>
      <w:r w:rsidRPr="00CB182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03C241" wp14:editId="6B40205C">
                <wp:simplePos x="0" y="0"/>
                <wp:positionH relativeFrom="column">
                  <wp:posOffset>-79037</wp:posOffset>
                </wp:positionH>
                <wp:positionV relativeFrom="paragraph">
                  <wp:posOffset>7524250</wp:posOffset>
                </wp:positionV>
                <wp:extent cx="6096000" cy="938719"/>
                <wp:effectExtent l="0" t="0" r="0" b="0"/>
                <wp:wrapNone/>
                <wp:docPr id="202922744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9387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CF2423" w14:textId="77777777" w:rsidR="00DD0B7D" w:rsidRDefault="00DD0B7D" w:rsidP="00DD0B7D">
                            <w:pPr>
                              <w:jc w:val="both"/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Supplementary Figure 2.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Bulk RNAseq of unsorted and sorted osteoclast cells</w:t>
                            </w:r>
                            <w:r w:rsidRPr="00495D61">
                              <w:rPr>
                                <w:rFonts w:ascii="Arial" w:hAnsi="Arial"/>
                                <w:color w:val="FF0000"/>
                                <w:kern w:val="24"/>
                              </w:rPr>
                              <w:t xml:space="preserve">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(a)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Volcano plot of gene expression change comparing sorted High Hoechst to Low Hoechst osteoclasts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(b)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Normalized gene expression for the GOBP Regulation of Syncytium Formation by Plasma Membrane Fusion gene set, comparing Low Hoechst and High </w:t>
                            </w:r>
                            <w:r w:rsidRPr="00CB1827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Hoechst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OC matched pairs for all donor pairs.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03C241" id="TextBox 4" o:spid="_x0000_s1027" type="#_x0000_t202" style="position:absolute;margin-left:-6.2pt;margin-top:592.45pt;width:480pt;height:73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EWxdwEAAOUCAAAOAAAAZHJzL2Uyb0RvYy54bWysUsFOAyEQvZv4D4S73a0m1W66NZqmXoya&#10;qB9AWeiSLAwytLv9ewdaW6M342WAmeHx5j1mt4Pt2FYFNOBqPh6VnCknoTFuXfP3t+XFDWcYhWtE&#10;B07VfKeQ387Pz2a9r9QltNA1KjACcVj1vuZtjL4qCpStsgJH4JWjooZgRaRjWBdNED2h2664LMtJ&#10;0UNofACpECm72Bf5PONrrWR81hpVZF3NiVvMMeS4SrGYz0S1DsK3Rh5oiD+wsMI4evQItRBRsE0w&#10;v6CskQEQdBxJsAVobaTKM9A04/LHNK+t8CrPQuKgP8qE/wcrn7av/iWwONzDQAYmQXqPFVIyzTPo&#10;YNNKTBnVScLdUTY1RCYpOSmnk7KkkqTa9OrmejxNMMXptg8YHxRYljY1D2RLVktsHzHuW79a0mMO&#10;lqbrUv5EJe3isBqYab7RXEGzI/Y9GVhz/NiIkPQSRP9uEwklg6er+8YDImmZ6R18T2Z9P+eu0++c&#10;fwIAAP//AwBQSwMEFAAGAAgAAAAhAD+xzkHhAAAADQEAAA8AAABkcnMvZG93bnJldi54bWxMj8tu&#10;gzAQRfeV+g/WVOouMRCaB8FEUR9SF9k0pfsJdgEFjxF2Avn7TlftcuYe3TmT7ybbiasZfOtIQTyP&#10;QBiqnG6pVlB+vs3WIHxA0tg5MgpuxsOuuL/LMdNupA9zPYZacAn5DBU0IfSZlL5qjEU/d70hzr7d&#10;YDHwONRSDzhyue1kEkVLabElvtBgb54bU52PF6sgBL2Pb+Wr9e9f0+FlbKLqCUulHh+m/RZEMFP4&#10;g+FXn9WhYKeTu5D2olMwi5OUUQ7idboBwcgmXS1BnHi1WCQrkEUu/39R/AAAAP//AwBQSwECLQAU&#10;AAYACAAAACEAtoM4kv4AAADhAQAAEwAAAAAAAAAAAAAAAAAAAAAAW0NvbnRlbnRfVHlwZXNdLnht&#10;bFBLAQItABQABgAIAAAAIQA4/SH/1gAAAJQBAAALAAAAAAAAAAAAAAAAAC8BAABfcmVscy8ucmVs&#10;c1BLAQItABQABgAIAAAAIQB+GEWxdwEAAOUCAAAOAAAAAAAAAAAAAAAAAC4CAABkcnMvZTJvRG9j&#10;LnhtbFBLAQItABQABgAIAAAAIQA/sc5B4QAAAA0BAAAPAAAAAAAAAAAAAAAAANEDAABkcnMvZG93&#10;bnJldi54bWxQSwUGAAAAAAQABADzAAAA3wQAAAAA&#10;" filled="f" stroked="f">
                <v:textbox style="mso-fit-shape-to-text:t">
                  <w:txbxContent>
                    <w:p w14:paraId="5BCF2423" w14:textId="77777777" w:rsidR="00DD0B7D" w:rsidRDefault="00DD0B7D" w:rsidP="00DD0B7D">
                      <w:pPr>
                        <w:jc w:val="both"/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14:ligatures w14:val="non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Supplementary Figure 2.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Bulk RNAseq of unsorted and sorted osteoclast cells</w:t>
                      </w:r>
                      <w:r w:rsidRPr="00495D61">
                        <w:rPr>
                          <w:rFonts w:ascii="Arial" w:hAnsi="Arial"/>
                          <w:color w:val="FF0000"/>
                          <w:kern w:val="24"/>
                        </w:rPr>
                        <w:t xml:space="preserve">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 w:themeColor="text1"/>
                          <w:kern w:val="24"/>
                        </w:rPr>
                        <w:t>(a)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Volcano plot of gene expression change comparing sorted High Hoechst to Low Hoechst osteoclasts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(b)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Normalized gene expression for the GOBP Regulation of Syncytium Formation by Plasma Membrane Fusion gene set, comparing Low Hoechst and High </w:t>
                      </w:r>
                      <w:r w:rsidRPr="00CB1827"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Hoechst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>OC matched pairs for all donor pairs.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</w:rPr>
        <w:br w:type="page"/>
      </w:r>
    </w:p>
    <w:p w14:paraId="50BAFDDE" w14:textId="77777777" w:rsidR="00DD0B7D" w:rsidRDefault="00DD0B7D" w:rsidP="00DD0B7D">
      <w:pPr>
        <w:spacing w:line="480" w:lineRule="auto"/>
        <w:jc w:val="both"/>
        <w:rPr>
          <w:rFonts w:ascii="Arial" w:eastAsia="Arial" w:hAnsi="Arial" w:cs="Arial"/>
        </w:rPr>
      </w:pPr>
      <w:r w:rsidRPr="00A12559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266714" wp14:editId="5A4D3544">
                <wp:simplePos x="0" y="0"/>
                <wp:positionH relativeFrom="column">
                  <wp:posOffset>-22266</wp:posOffset>
                </wp:positionH>
                <wp:positionV relativeFrom="paragraph">
                  <wp:posOffset>7869650</wp:posOffset>
                </wp:positionV>
                <wp:extent cx="6094428" cy="938719"/>
                <wp:effectExtent l="0" t="0" r="0" b="0"/>
                <wp:wrapNone/>
                <wp:docPr id="556116871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4428" cy="9387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BAFB66" w14:textId="77777777" w:rsidR="00DD0B7D" w:rsidRDefault="00DD0B7D" w:rsidP="00DD0B7D">
                            <w:pPr>
                              <w:jc w:val="both"/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Supplementary Figure 3.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Heatmaps of immune cell subsets and gene sets associated with biological processes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. </w:t>
                            </w:r>
                            <w:r w:rsidRPr="00495D61"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(a)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Normalized gene expression for the GOBP Osteoclast Fusion gene set, comparing Low to OC matched pairs for all </w:t>
                            </w:r>
                            <w:r w:rsidRPr="00A12559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donor pairs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 (b)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 xml:space="preserve">Normalized gene expression for the GOBP Regulation of Syncytium Formation by Plasma Membrane Fusion gene set, comparing Low and OC matched pairs </w:t>
                            </w:r>
                            <w:r w:rsidRPr="00A12559">
                              <w:rPr>
                                <w:rFonts w:ascii="Arial" w:hAnsi="Arial"/>
                                <w:color w:val="000000"/>
                                <w:kern w:val="24"/>
                              </w:rPr>
                              <w:t>for all donor pairs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266714" id="_x0000_s1028" type="#_x0000_t202" style="position:absolute;left:0;text-align:left;margin-left:-1.75pt;margin-top:619.65pt;width:479.9pt;height:73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ShPegEAAOUCAAAOAAAAZHJzL2Uyb0RvYy54bWysUsFOAyEQvZv4D4S73W01ajfdNhqjF6Mm&#10;6gdQFrokC4MM7W7/3oHW1ujNeBlgZni8eY/ZYrAd26iABlzNx6OSM+UkNMatav7+dn92zRlG4RrR&#10;gVM13yrki/npyaz3lZpAC12jAiMQh1Xva97G6KuiQNkqK3AEXjkqaghWRDqGVdEE0RO67YpJWV4W&#10;PYTGB5AKkbJ3uyKfZ3ytlYzPWqOKrKs5cYs5hhyXKRbzmahWQfjWyD0N8QcWVhhHjx6g7kQUbB3M&#10;LyhrZAAEHUcSbAFaG6nyDDTNuPwxzWsrvMqzkDjoDzLh/8HKp82rfwksDrcwkIFJkN5jhZRM8ww6&#10;2LQSU0Z1knB7kE0NkUlKXpbTi4sJGS2pNj2/vhpPE0xxvO0DxgcFlqVNzQPZktUSm0eMu9avlvSY&#10;g3vTdSl/pJJ2cVgOzDQ1n3zRXEKzJfY9GVhz/FiLkPQSRP9mHQklg6eru8Y9ImmZ6e19T2Z9P+eu&#10;4++cfwIAAP//AwBQSwMEFAAGAAgAAAAhAHg0+1zgAAAADAEAAA8AAABkcnMvZG93bnJldi54bWxM&#10;j81OwzAQhO9IvIO1SNxaJ41S2hCnqviROHBpCXc3XuKIeB3FbpO+PcsJbrszo9lvy93senHBMXSe&#10;FKTLBARS401HrYL643WxARGiJqN7T6jgigF21e1NqQvjJzrg5RhbwSUUCq3AxjgUUobGotNh6Qck&#10;9r786HTkdWylGfXE5a6XqyRZS6c74gtWD/hksfk+np2CGM0+vdYvLrx9zu/Pk02aXNdK3d/N+0cQ&#10;Eef4F4ZffEaHiplO/kwmiF7BIss5yfoq22YgOLHN1zycWMo2DynIqpT/n6h+AAAA//8DAFBLAQIt&#10;ABQABgAIAAAAIQC2gziS/gAAAOEBAAATAAAAAAAAAAAAAAAAAAAAAABbQ29udGVudF9UeXBlc10u&#10;eG1sUEsBAi0AFAAGAAgAAAAhADj9If/WAAAAlAEAAAsAAAAAAAAAAAAAAAAALwEAAF9yZWxzLy5y&#10;ZWxzUEsBAi0AFAAGAAgAAAAhAGLpKE96AQAA5QIAAA4AAAAAAAAAAAAAAAAALgIAAGRycy9lMm9E&#10;b2MueG1sUEsBAi0AFAAGAAgAAAAhAHg0+1zgAAAADAEAAA8AAAAAAAAAAAAAAAAA1AMAAGRycy9k&#10;b3ducmV2LnhtbFBLBQYAAAAABAAEAPMAAADhBAAAAAA=&#10;" filled="f" stroked="f">
                <v:textbox style="mso-fit-shape-to-text:t">
                  <w:txbxContent>
                    <w:p w14:paraId="01BAFB66" w14:textId="77777777" w:rsidR="00DD0B7D" w:rsidRDefault="00DD0B7D" w:rsidP="00DD0B7D">
                      <w:pPr>
                        <w:jc w:val="both"/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14:ligatures w14:val="non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Supplementary Figure 3.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Heatmaps of immune cell subsets and gene sets associated with biological processes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. </w:t>
                      </w:r>
                      <w:r w:rsidRPr="00495D61"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(a)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Normalized gene expression for the GOBP Osteoclast Fusion gene set, comparing Low to OC matched pairs for all </w:t>
                      </w:r>
                      <w:r w:rsidRPr="00A12559">
                        <w:rPr>
                          <w:rFonts w:ascii="Arial" w:hAnsi="Arial"/>
                          <w:color w:val="000000"/>
                          <w:kern w:val="24"/>
                        </w:rPr>
                        <w:t>donor pairs</w:t>
                      </w: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 xml:space="preserve"> (b) </w:t>
                      </w:r>
                      <w:r>
                        <w:rPr>
                          <w:rFonts w:ascii="Arial" w:hAnsi="Arial"/>
                          <w:color w:val="000000"/>
                          <w:kern w:val="24"/>
                        </w:rPr>
                        <w:t xml:space="preserve">Normalized gene expression for the GOBP Regulation of Syncytium Formation by Plasma Membrane Fusion gene set, comparing Low and OC matched pairs </w:t>
                      </w:r>
                      <w:r w:rsidRPr="00A12559">
                        <w:rPr>
                          <w:rFonts w:ascii="Arial" w:hAnsi="Arial"/>
                          <w:color w:val="000000"/>
                          <w:kern w:val="24"/>
                        </w:rPr>
                        <w:t>for all donor pairs</w:t>
                      </w:r>
                    </w:p>
                  </w:txbxContent>
                </v:textbox>
              </v:shape>
            </w:pict>
          </mc:Fallback>
        </mc:AlternateContent>
      </w:r>
      <w:r w:rsidRPr="00A12559"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5F016B16" wp14:editId="54760EB9">
            <wp:simplePos x="0" y="0"/>
            <wp:positionH relativeFrom="column">
              <wp:posOffset>855980</wp:posOffset>
            </wp:positionH>
            <wp:positionV relativeFrom="paragraph">
              <wp:posOffset>0</wp:posOffset>
            </wp:positionV>
            <wp:extent cx="4474210" cy="7743190"/>
            <wp:effectExtent l="0" t="0" r="2540" b="0"/>
            <wp:wrapTight wrapText="bothSides">
              <wp:wrapPolygon edited="0">
                <wp:start x="0" y="0"/>
                <wp:lineTo x="0" y="21522"/>
                <wp:lineTo x="21520" y="21522"/>
                <wp:lineTo x="21520" y="0"/>
                <wp:lineTo x="0" y="0"/>
              </wp:wrapPolygon>
            </wp:wrapTight>
            <wp:docPr id="1712836802" name="Picture 2" descr="A close-up of a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281F563-88C9-F830-4B44-21FD1B57D0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close-up of a chart&#10;&#10;Description automatically generated">
                      <a:extLst>
                        <a:ext uri="{FF2B5EF4-FFF2-40B4-BE49-F238E27FC236}">
                          <a16:creationId xmlns:a16="http://schemas.microsoft.com/office/drawing/2014/main" id="{F281F563-88C9-F830-4B44-21FD1B57D0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210" cy="7743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331A8D" w14:textId="77777777" w:rsidR="00937C01" w:rsidRDefault="00937C01"/>
    <w:sectPr w:rsidR="00937C01" w:rsidSect="00DD0B7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F004C" w14:textId="77777777" w:rsidR="00000000" w:rsidRDefault="00000000">
    <w:pPr>
      <w:pStyle w:val="Footer"/>
    </w:pPr>
    <w:r>
      <w:ptab w:relativeTo="margin" w:alignment="left" w:leader="none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282223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01F9FFB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4932AD" w14:textId="77777777" w:rsidR="00000000" w:rsidRDefault="00000000" w:rsidP="636717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B7D"/>
    <w:rsid w:val="001E310C"/>
    <w:rsid w:val="006612B3"/>
    <w:rsid w:val="00937C01"/>
    <w:rsid w:val="00DD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671A3"/>
  <w15:chartTrackingRefBased/>
  <w15:docId w15:val="{1173F7A8-DFA4-4CF6-BCDE-44623CF36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B7D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0B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B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B7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B7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B7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B7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B7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B7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B7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B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B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B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B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B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B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B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B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B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0B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D0B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B7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D0B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0B7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D0B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0B7D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DD0B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B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B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0B7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D0B7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D0B7D"/>
    <w:rPr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D0B7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D0B7D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12</Characters>
  <Application>Microsoft Office Word</Application>
  <DocSecurity>0</DocSecurity>
  <Lines>1</Lines>
  <Paragraphs>1</Paragraphs>
  <ScaleCrop>false</ScaleCrop>
  <Company>Springer Nature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2025-04-01T15:26:00Z</dcterms:created>
  <dcterms:modified xsi:type="dcterms:W3CDTF">2025-04-01T15:26:00Z</dcterms:modified>
</cp:coreProperties>
</file>