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E8E323" w14:textId="77777777" w:rsidR="0077536A" w:rsidRPr="00E32B3D" w:rsidRDefault="0077536A" w:rsidP="0077536A">
      <w:pPr>
        <w:pStyle w:val="Heading1"/>
        <w:ind w:left="922"/>
        <w:rPr>
          <w:rFonts w:asciiTheme="majorBidi" w:hAnsiTheme="majorBidi"/>
          <w:color w:val="auto"/>
          <w:sz w:val="28"/>
          <w:szCs w:val="28"/>
        </w:rPr>
      </w:pPr>
      <w:r w:rsidRPr="00E32B3D">
        <w:rPr>
          <w:rFonts w:asciiTheme="majorBidi" w:hAnsiTheme="majorBidi"/>
          <w:color w:val="auto"/>
          <w:sz w:val="28"/>
          <w:szCs w:val="28"/>
        </w:rPr>
        <w:t>Annex</w:t>
      </w:r>
      <w:r>
        <w:rPr>
          <w:rFonts w:asciiTheme="majorBidi" w:hAnsiTheme="majorBidi"/>
          <w:color w:val="auto"/>
          <w:sz w:val="28"/>
          <w:szCs w:val="28"/>
        </w:rPr>
        <w:t>ure</w:t>
      </w:r>
      <w:r w:rsidRPr="00E32B3D">
        <w:rPr>
          <w:rFonts w:asciiTheme="majorBidi" w:hAnsiTheme="majorBidi"/>
          <w:color w:val="auto"/>
          <w:spacing w:val="-1"/>
          <w:sz w:val="28"/>
          <w:szCs w:val="28"/>
        </w:rPr>
        <w:t xml:space="preserve"> </w:t>
      </w:r>
      <w:r w:rsidRPr="00E32B3D">
        <w:rPr>
          <w:rFonts w:asciiTheme="majorBidi" w:hAnsiTheme="majorBidi"/>
          <w:color w:val="auto"/>
          <w:sz w:val="28"/>
          <w:szCs w:val="28"/>
        </w:rPr>
        <w:t>1.</w:t>
      </w:r>
      <w:r w:rsidRPr="00E32B3D">
        <w:rPr>
          <w:rFonts w:asciiTheme="majorBidi" w:hAnsiTheme="majorBidi"/>
          <w:color w:val="auto"/>
          <w:spacing w:val="-2"/>
          <w:sz w:val="28"/>
          <w:szCs w:val="28"/>
        </w:rPr>
        <w:t xml:space="preserve"> </w:t>
      </w:r>
      <w:r w:rsidRPr="00E32B3D">
        <w:rPr>
          <w:rFonts w:asciiTheme="majorBidi" w:hAnsiTheme="majorBidi"/>
          <w:color w:val="auto"/>
          <w:sz w:val="28"/>
          <w:szCs w:val="28"/>
        </w:rPr>
        <w:t>Adverse</w:t>
      </w:r>
      <w:r w:rsidRPr="00E32B3D">
        <w:rPr>
          <w:rFonts w:asciiTheme="majorBidi" w:hAnsiTheme="majorBidi"/>
          <w:color w:val="auto"/>
          <w:spacing w:val="-2"/>
          <w:sz w:val="28"/>
          <w:szCs w:val="28"/>
        </w:rPr>
        <w:t xml:space="preserve"> </w:t>
      </w:r>
      <w:r w:rsidRPr="00E32B3D">
        <w:rPr>
          <w:rFonts w:asciiTheme="majorBidi" w:hAnsiTheme="majorBidi"/>
          <w:color w:val="auto"/>
          <w:sz w:val="28"/>
          <w:szCs w:val="28"/>
        </w:rPr>
        <w:t>events</w:t>
      </w:r>
      <w:r w:rsidRPr="00E32B3D">
        <w:rPr>
          <w:rFonts w:asciiTheme="majorBidi" w:hAnsiTheme="majorBidi"/>
          <w:color w:val="auto"/>
          <w:spacing w:val="-2"/>
          <w:sz w:val="28"/>
          <w:szCs w:val="28"/>
        </w:rPr>
        <w:t xml:space="preserve"> </w:t>
      </w:r>
      <w:r w:rsidRPr="00E32B3D">
        <w:rPr>
          <w:rFonts w:asciiTheme="majorBidi" w:hAnsiTheme="majorBidi"/>
          <w:color w:val="auto"/>
          <w:sz w:val="28"/>
          <w:szCs w:val="28"/>
        </w:rPr>
        <w:t>of</w:t>
      </w:r>
      <w:r w:rsidRPr="00E32B3D">
        <w:rPr>
          <w:rFonts w:asciiTheme="majorBidi" w:hAnsiTheme="majorBidi"/>
          <w:color w:val="auto"/>
          <w:spacing w:val="-2"/>
          <w:sz w:val="28"/>
          <w:szCs w:val="28"/>
        </w:rPr>
        <w:t xml:space="preserve"> </w:t>
      </w:r>
      <w:r w:rsidRPr="00E32B3D">
        <w:rPr>
          <w:rFonts w:asciiTheme="majorBidi" w:hAnsiTheme="majorBidi"/>
          <w:color w:val="auto"/>
          <w:sz w:val="28"/>
          <w:szCs w:val="28"/>
        </w:rPr>
        <w:t>special</w:t>
      </w:r>
      <w:r w:rsidRPr="00E32B3D">
        <w:rPr>
          <w:rFonts w:asciiTheme="majorBidi" w:hAnsiTheme="majorBidi"/>
          <w:color w:val="auto"/>
          <w:spacing w:val="-4"/>
          <w:sz w:val="28"/>
          <w:szCs w:val="28"/>
        </w:rPr>
        <w:t xml:space="preserve"> </w:t>
      </w:r>
      <w:r w:rsidRPr="00E32B3D">
        <w:rPr>
          <w:rFonts w:asciiTheme="majorBidi" w:hAnsiTheme="majorBidi"/>
          <w:color w:val="auto"/>
          <w:sz w:val="28"/>
          <w:szCs w:val="28"/>
        </w:rPr>
        <w:t>interest</w:t>
      </w:r>
    </w:p>
    <w:p w14:paraId="1B5E8EE2" w14:textId="77777777" w:rsidR="0077536A" w:rsidRDefault="0077536A" w:rsidP="0077536A">
      <w:pPr>
        <w:pStyle w:val="BodyText"/>
        <w:spacing w:before="1"/>
        <w:rPr>
          <w:rFonts w:ascii="Arial"/>
          <w:b/>
          <w:sz w:val="28"/>
        </w:rPr>
      </w:pPr>
    </w:p>
    <w:p w14:paraId="159C2D6D" w14:textId="77777777" w:rsidR="0077536A" w:rsidRDefault="0077536A" w:rsidP="0077536A">
      <w:pPr>
        <w:spacing w:before="1"/>
        <w:ind w:left="922" w:right="1138"/>
        <w:rPr>
          <w:rFonts w:ascii="Arial"/>
          <w:i/>
        </w:rPr>
      </w:pPr>
      <w:r>
        <w:rPr>
          <w:rFonts w:ascii="Arial"/>
          <w:i/>
        </w:rPr>
        <w:t>Source: World Health Organization, Active tuberculosis drug-safety monitoring and management</w:t>
      </w:r>
      <w:r>
        <w:rPr>
          <w:rFonts w:ascii="Arial"/>
          <w:i/>
          <w:spacing w:val="-59"/>
        </w:rPr>
        <w:t xml:space="preserve"> </w:t>
      </w:r>
      <w:r>
        <w:rPr>
          <w:rFonts w:ascii="Arial"/>
          <w:i/>
        </w:rPr>
        <w:t>(aDSM),</w:t>
      </w:r>
      <w:r>
        <w:rPr>
          <w:rFonts w:ascii="Arial"/>
          <w:i/>
          <w:spacing w:val="1"/>
        </w:rPr>
        <w:t xml:space="preserve"> </w:t>
      </w:r>
      <w:r>
        <w:rPr>
          <w:rFonts w:ascii="Arial"/>
          <w:i/>
        </w:rPr>
        <w:t>2015</w:t>
      </w:r>
    </w:p>
    <w:p w14:paraId="2387605A" w14:textId="77777777" w:rsidR="0077536A" w:rsidRDefault="0077536A" w:rsidP="0077536A">
      <w:pPr>
        <w:pStyle w:val="BodyText"/>
        <w:spacing w:before="1"/>
        <w:rPr>
          <w:rFonts w:ascii="Arial"/>
          <w:i/>
        </w:rPr>
      </w:pPr>
    </w:p>
    <w:p w14:paraId="1B88278D" w14:textId="77777777" w:rsidR="0077536A" w:rsidRPr="00E32B3D" w:rsidRDefault="0077536A" w:rsidP="0077536A">
      <w:pPr>
        <w:pStyle w:val="BodyText"/>
        <w:ind w:left="922"/>
        <w:rPr>
          <w:rFonts w:asciiTheme="majorBidi" w:hAnsiTheme="majorBidi" w:cstheme="majorBidi"/>
          <w:b/>
          <w:bCs/>
        </w:rPr>
      </w:pPr>
      <w:r w:rsidRPr="00E32B3D">
        <w:rPr>
          <w:rFonts w:asciiTheme="majorBidi" w:hAnsiTheme="majorBidi" w:cstheme="majorBidi"/>
          <w:b/>
          <w:bCs/>
        </w:rPr>
        <w:t>All</w:t>
      </w:r>
      <w:r w:rsidRPr="00E32B3D">
        <w:rPr>
          <w:rFonts w:asciiTheme="majorBidi" w:hAnsiTheme="majorBidi" w:cstheme="majorBidi"/>
          <w:b/>
          <w:bCs/>
          <w:spacing w:val="-2"/>
        </w:rPr>
        <w:t xml:space="preserve"> </w:t>
      </w:r>
      <w:r w:rsidRPr="00E32B3D">
        <w:rPr>
          <w:rFonts w:asciiTheme="majorBidi" w:hAnsiTheme="majorBidi" w:cstheme="majorBidi"/>
          <w:b/>
          <w:bCs/>
        </w:rPr>
        <w:t>adverse events of</w:t>
      </w:r>
      <w:r w:rsidRPr="00E32B3D">
        <w:rPr>
          <w:rFonts w:asciiTheme="majorBidi" w:hAnsiTheme="majorBidi" w:cstheme="majorBidi"/>
          <w:b/>
          <w:bCs/>
          <w:spacing w:val="-2"/>
        </w:rPr>
        <w:t xml:space="preserve"> </w:t>
      </w:r>
      <w:r w:rsidRPr="00E32B3D">
        <w:rPr>
          <w:rFonts w:asciiTheme="majorBidi" w:hAnsiTheme="majorBidi" w:cstheme="majorBidi"/>
          <w:b/>
          <w:bCs/>
        </w:rPr>
        <w:t>special</w:t>
      </w:r>
      <w:r w:rsidRPr="00E32B3D">
        <w:rPr>
          <w:rFonts w:asciiTheme="majorBidi" w:hAnsiTheme="majorBidi" w:cstheme="majorBidi"/>
          <w:b/>
          <w:bCs/>
          <w:spacing w:val="-2"/>
        </w:rPr>
        <w:t xml:space="preserve"> </w:t>
      </w:r>
      <w:r w:rsidRPr="00E32B3D">
        <w:rPr>
          <w:rFonts w:asciiTheme="majorBidi" w:hAnsiTheme="majorBidi" w:cstheme="majorBidi"/>
          <w:b/>
          <w:bCs/>
        </w:rPr>
        <w:t>interest</w:t>
      </w:r>
      <w:r w:rsidRPr="00E32B3D">
        <w:rPr>
          <w:rFonts w:asciiTheme="majorBidi" w:hAnsiTheme="majorBidi" w:cstheme="majorBidi"/>
          <w:b/>
          <w:bCs/>
          <w:spacing w:val="-2"/>
        </w:rPr>
        <w:t xml:space="preserve"> </w:t>
      </w:r>
      <w:r w:rsidRPr="00E32B3D">
        <w:rPr>
          <w:rFonts w:asciiTheme="majorBidi" w:hAnsiTheme="majorBidi" w:cstheme="majorBidi"/>
          <w:b/>
          <w:bCs/>
        </w:rPr>
        <w:t>(suggested</w:t>
      </w:r>
      <w:r w:rsidRPr="00E32B3D">
        <w:rPr>
          <w:rFonts w:asciiTheme="majorBidi" w:hAnsiTheme="majorBidi" w:cstheme="majorBidi"/>
          <w:b/>
          <w:bCs/>
          <w:spacing w:val="-6"/>
        </w:rPr>
        <w:t xml:space="preserve"> </w:t>
      </w:r>
      <w:r w:rsidRPr="00E32B3D">
        <w:rPr>
          <w:rFonts w:asciiTheme="majorBidi" w:hAnsiTheme="majorBidi" w:cstheme="majorBidi"/>
          <w:b/>
          <w:bCs/>
        </w:rPr>
        <w:t>list):</w:t>
      </w:r>
    </w:p>
    <w:p w14:paraId="5162114E" w14:textId="77777777" w:rsidR="0077536A" w:rsidRPr="00E32B3D" w:rsidRDefault="0077536A" w:rsidP="0077536A">
      <w:pPr>
        <w:pStyle w:val="ListParagraph"/>
        <w:widowControl w:val="0"/>
        <w:numPr>
          <w:ilvl w:val="0"/>
          <w:numId w:val="1"/>
        </w:numPr>
        <w:tabs>
          <w:tab w:val="left" w:pos="927"/>
          <w:tab w:val="left" w:pos="928"/>
        </w:tabs>
        <w:autoSpaceDE w:val="0"/>
        <w:autoSpaceDN w:val="0"/>
        <w:spacing w:before="81" w:after="0" w:line="240" w:lineRule="auto"/>
        <w:ind w:hanging="364"/>
        <w:contextualSpacing w:val="0"/>
        <w:rPr>
          <w:rFonts w:asciiTheme="majorBidi" w:hAnsiTheme="majorBidi" w:cstheme="majorBidi"/>
        </w:rPr>
      </w:pPr>
      <w:r w:rsidRPr="00E32B3D">
        <w:rPr>
          <w:rFonts w:asciiTheme="majorBidi" w:hAnsiTheme="majorBidi" w:cstheme="majorBidi"/>
        </w:rPr>
        <w:t>Peripheral</w:t>
      </w:r>
      <w:r w:rsidRPr="00E32B3D">
        <w:rPr>
          <w:rFonts w:asciiTheme="majorBidi" w:hAnsiTheme="majorBidi" w:cstheme="majorBidi"/>
          <w:spacing w:val="-3"/>
        </w:rPr>
        <w:t xml:space="preserve"> </w:t>
      </w:r>
      <w:r w:rsidRPr="00E32B3D">
        <w:rPr>
          <w:rFonts w:asciiTheme="majorBidi" w:hAnsiTheme="majorBidi" w:cstheme="majorBidi"/>
        </w:rPr>
        <w:t>neuropathy</w:t>
      </w:r>
      <w:r w:rsidRPr="00E32B3D">
        <w:rPr>
          <w:rFonts w:asciiTheme="majorBidi" w:hAnsiTheme="majorBidi" w:cstheme="majorBidi"/>
          <w:spacing w:val="-3"/>
        </w:rPr>
        <w:t xml:space="preserve"> </w:t>
      </w:r>
      <w:r w:rsidRPr="00E32B3D">
        <w:rPr>
          <w:rFonts w:asciiTheme="majorBidi" w:hAnsiTheme="majorBidi" w:cstheme="majorBidi"/>
        </w:rPr>
        <w:t>(paraesthesia),</w:t>
      </w:r>
    </w:p>
    <w:p w14:paraId="3A3EC94F" w14:textId="77777777" w:rsidR="0077536A" w:rsidRPr="00E32B3D" w:rsidRDefault="0077536A" w:rsidP="0077536A">
      <w:pPr>
        <w:pStyle w:val="ListParagraph"/>
        <w:widowControl w:val="0"/>
        <w:numPr>
          <w:ilvl w:val="0"/>
          <w:numId w:val="1"/>
        </w:numPr>
        <w:tabs>
          <w:tab w:val="left" w:pos="927"/>
          <w:tab w:val="left" w:pos="928"/>
        </w:tabs>
        <w:autoSpaceDE w:val="0"/>
        <w:autoSpaceDN w:val="0"/>
        <w:spacing w:before="81" w:after="0" w:line="240" w:lineRule="auto"/>
        <w:ind w:right="1433" w:hanging="361"/>
        <w:contextualSpacing w:val="0"/>
        <w:rPr>
          <w:rFonts w:asciiTheme="majorBidi" w:hAnsiTheme="majorBidi" w:cstheme="majorBidi"/>
        </w:rPr>
      </w:pPr>
      <w:r w:rsidRPr="00E32B3D">
        <w:rPr>
          <w:rFonts w:asciiTheme="majorBidi" w:hAnsiTheme="majorBidi" w:cstheme="majorBidi"/>
        </w:rPr>
        <w:t>Psychiatric disorders and central nervous system toxicity (e.g. depression, psychosis, suicidal</w:t>
      </w:r>
      <w:r w:rsidRPr="00E32B3D">
        <w:rPr>
          <w:rFonts w:asciiTheme="majorBidi" w:hAnsiTheme="majorBidi" w:cstheme="majorBidi"/>
          <w:spacing w:val="-60"/>
        </w:rPr>
        <w:t xml:space="preserve"> </w:t>
      </w:r>
      <w:r w:rsidRPr="00E32B3D">
        <w:rPr>
          <w:rFonts w:asciiTheme="majorBidi" w:hAnsiTheme="majorBidi" w:cstheme="majorBidi"/>
        </w:rPr>
        <w:t>intention,</w:t>
      </w:r>
      <w:r w:rsidRPr="00E32B3D">
        <w:rPr>
          <w:rFonts w:asciiTheme="majorBidi" w:hAnsiTheme="majorBidi" w:cstheme="majorBidi"/>
          <w:spacing w:val="-1"/>
        </w:rPr>
        <w:t xml:space="preserve"> </w:t>
      </w:r>
      <w:r w:rsidRPr="00E32B3D">
        <w:rPr>
          <w:rFonts w:asciiTheme="majorBidi" w:hAnsiTheme="majorBidi" w:cstheme="majorBidi"/>
        </w:rPr>
        <w:t>seizures)</w:t>
      </w:r>
    </w:p>
    <w:p w14:paraId="15BDABBA" w14:textId="77777777" w:rsidR="0077536A" w:rsidRPr="00E32B3D" w:rsidRDefault="0077536A" w:rsidP="0077536A">
      <w:pPr>
        <w:pStyle w:val="ListParagraph"/>
        <w:widowControl w:val="0"/>
        <w:numPr>
          <w:ilvl w:val="0"/>
          <w:numId w:val="1"/>
        </w:numPr>
        <w:tabs>
          <w:tab w:val="left" w:pos="927"/>
          <w:tab w:val="left" w:pos="928"/>
        </w:tabs>
        <w:autoSpaceDE w:val="0"/>
        <w:autoSpaceDN w:val="0"/>
        <w:spacing w:before="79" w:after="0" w:line="240" w:lineRule="auto"/>
        <w:ind w:hanging="361"/>
        <w:contextualSpacing w:val="0"/>
        <w:rPr>
          <w:rFonts w:asciiTheme="majorBidi" w:hAnsiTheme="majorBidi" w:cstheme="majorBidi"/>
        </w:rPr>
      </w:pPr>
      <w:r w:rsidRPr="00E32B3D">
        <w:rPr>
          <w:rFonts w:asciiTheme="majorBidi" w:hAnsiTheme="majorBidi" w:cstheme="majorBidi"/>
        </w:rPr>
        <w:t>Optic</w:t>
      </w:r>
      <w:r w:rsidRPr="00E32B3D">
        <w:rPr>
          <w:rFonts w:asciiTheme="majorBidi" w:hAnsiTheme="majorBidi" w:cstheme="majorBidi"/>
          <w:spacing w:val="-3"/>
        </w:rPr>
        <w:t xml:space="preserve"> </w:t>
      </w:r>
      <w:r w:rsidRPr="00E32B3D">
        <w:rPr>
          <w:rFonts w:asciiTheme="majorBidi" w:hAnsiTheme="majorBidi" w:cstheme="majorBidi"/>
        </w:rPr>
        <w:t>nerve</w:t>
      </w:r>
      <w:r w:rsidRPr="00E32B3D">
        <w:rPr>
          <w:rFonts w:asciiTheme="majorBidi" w:hAnsiTheme="majorBidi" w:cstheme="majorBidi"/>
          <w:spacing w:val="-3"/>
        </w:rPr>
        <w:t xml:space="preserve"> </w:t>
      </w:r>
      <w:r w:rsidRPr="00E32B3D">
        <w:rPr>
          <w:rFonts w:asciiTheme="majorBidi" w:hAnsiTheme="majorBidi" w:cstheme="majorBidi"/>
        </w:rPr>
        <w:t>disorder</w:t>
      </w:r>
      <w:r w:rsidRPr="00E32B3D">
        <w:rPr>
          <w:rFonts w:asciiTheme="majorBidi" w:hAnsiTheme="majorBidi" w:cstheme="majorBidi"/>
          <w:spacing w:val="-2"/>
        </w:rPr>
        <w:t xml:space="preserve"> </w:t>
      </w:r>
      <w:r w:rsidRPr="00E32B3D">
        <w:rPr>
          <w:rFonts w:asciiTheme="majorBidi" w:hAnsiTheme="majorBidi" w:cstheme="majorBidi"/>
        </w:rPr>
        <w:t>(optic neuritis)</w:t>
      </w:r>
      <w:r w:rsidRPr="00E32B3D">
        <w:rPr>
          <w:rFonts w:asciiTheme="majorBidi" w:hAnsiTheme="majorBidi" w:cstheme="majorBidi"/>
          <w:spacing w:val="-2"/>
        </w:rPr>
        <w:t xml:space="preserve"> </w:t>
      </w:r>
      <w:r w:rsidRPr="00E32B3D">
        <w:rPr>
          <w:rFonts w:asciiTheme="majorBidi" w:hAnsiTheme="majorBidi" w:cstheme="majorBidi"/>
        </w:rPr>
        <w:t>or retinopathy,</w:t>
      </w:r>
    </w:p>
    <w:p w14:paraId="2871B1C0" w14:textId="77777777" w:rsidR="0077536A" w:rsidRPr="00E32B3D" w:rsidRDefault="0077536A" w:rsidP="0077536A">
      <w:pPr>
        <w:pStyle w:val="ListParagraph"/>
        <w:widowControl w:val="0"/>
        <w:numPr>
          <w:ilvl w:val="0"/>
          <w:numId w:val="1"/>
        </w:numPr>
        <w:tabs>
          <w:tab w:val="left" w:pos="927"/>
          <w:tab w:val="left" w:pos="928"/>
        </w:tabs>
        <w:autoSpaceDE w:val="0"/>
        <w:autoSpaceDN w:val="0"/>
        <w:spacing w:before="81" w:after="0" w:line="240" w:lineRule="auto"/>
        <w:ind w:hanging="361"/>
        <w:contextualSpacing w:val="0"/>
        <w:rPr>
          <w:rFonts w:asciiTheme="majorBidi" w:hAnsiTheme="majorBidi" w:cstheme="majorBidi"/>
        </w:rPr>
      </w:pPr>
      <w:r w:rsidRPr="00E32B3D">
        <w:rPr>
          <w:rFonts w:asciiTheme="majorBidi" w:hAnsiTheme="majorBidi" w:cstheme="majorBidi"/>
        </w:rPr>
        <w:t>Ototoxicity</w:t>
      </w:r>
      <w:r w:rsidRPr="00E32B3D">
        <w:rPr>
          <w:rFonts w:asciiTheme="majorBidi" w:hAnsiTheme="majorBidi" w:cstheme="majorBidi"/>
          <w:spacing w:val="-6"/>
        </w:rPr>
        <w:t xml:space="preserve"> </w:t>
      </w:r>
      <w:r w:rsidRPr="00E32B3D">
        <w:rPr>
          <w:rFonts w:asciiTheme="majorBidi" w:hAnsiTheme="majorBidi" w:cstheme="majorBidi"/>
        </w:rPr>
        <w:t>(hearing</w:t>
      </w:r>
      <w:r w:rsidRPr="00E32B3D">
        <w:rPr>
          <w:rFonts w:asciiTheme="majorBidi" w:hAnsiTheme="majorBidi" w:cstheme="majorBidi"/>
          <w:spacing w:val="-4"/>
        </w:rPr>
        <w:t xml:space="preserve"> </w:t>
      </w:r>
      <w:r w:rsidRPr="00E32B3D">
        <w:rPr>
          <w:rFonts w:asciiTheme="majorBidi" w:hAnsiTheme="majorBidi" w:cstheme="majorBidi"/>
        </w:rPr>
        <w:t>impairment,</w:t>
      </w:r>
      <w:r w:rsidRPr="00E32B3D">
        <w:rPr>
          <w:rFonts w:asciiTheme="majorBidi" w:hAnsiTheme="majorBidi" w:cstheme="majorBidi"/>
          <w:spacing w:val="-2"/>
        </w:rPr>
        <w:t xml:space="preserve"> </w:t>
      </w:r>
      <w:r w:rsidRPr="00E32B3D">
        <w:rPr>
          <w:rFonts w:asciiTheme="majorBidi" w:hAnsiTheme="majorBidi" w:cstheme="majorBidi"/>
        </w:rPr>
        <w:t>hearing</w:t>
      </w:r>
      <w:r w:rsidRPr="00E32B3D">
        <w:rPr>
          <w:rFonts w:asciiTheme="majorBidi" w:hAnsiTheme="majorBidi" w:cstheme="majorBidi"/>
          <w:spacing w:val="-1"/>
        </w:rPr>
        <w:t xml:space="preserve"> </w:t>
      </w:r>
      <w:r w:rsidRPr="00E32B3D">
        <w:rPr>
          <w:rFonts w:asciiTheme="majorBidi" w:hAnsiTheme="majorBidi" w:cstheme="majorBidi"/>
        </w:rPr>
        <w:t>loss).</w:t>
      </w:r>
    </w:p>
    <w:p w14:paraId="2CBCC88D" w14:textId="77777777" w:rsidR="0077536A" w:rsidRPr="00E32B3D" w:rsidRDefault="0077536A" w:rsidP="0077536A">
      <w:pPr>
        <w:pStyle w:val="ListParagraph"/>
        <w:widowControl w:val="0"/>
        <w:numPr>
          <w:ilvl w:val="0"/>
          <w:numId w:val="1"/>
        </w:numPr>
        <w:tabs>
          <w:tab w:val="left" w:pos="927"/>
          <w:tab w:val="left" w:pos="928"/>
        </w:tabs>
        <w:autoSpaceDE w:val="0"/>
        <w:autoSpaceDN w:val="0"/>
        <w:spacing w:before="81" w:after="0" w:line="240" w:lineRule="auto"/>
        <w:ind w:hanging="361"/>
        <w:contextualSpacing w:val="0"/>
        <w:rPr>
          <w:rFonts w:asciiTheme="majorBidi" w:hAnsiTheme="majorBidi" w:cstheme="majorBidi"/>
        </w:rPr>
      </w:pPr>
      <w:r w:rsidRPr="00E32B3D">
        <w:rPr>
          <w:rFonts w:asciiTheme="majorBidi" w:hAnsiTheme="majorBidi" w:cstheme="majorBidi"/>
        </w:rPr>
        <w:t>Myelosuppression</w:t>
      </w:r>
      <w:r w:rsidRPr="00E32B3D">
        <w:rPr>
          <w:rFonts w:asciiTheme="majorBidi" w:hAnsiTheme="majorBidi" w:cstheme="majorBidi"/>
          <w:spacing w:val="-4"/>
        </w:rPr>
        <w:t xml:space="preserve"> </w:t>
      </w:r>
      <w:r w:rsidRPr="00E32B3D">
        <w:rPr>
          <w:rFonts w:asciiTheme="majorBidi" w:hAnsiTheme="majorBidi" w:cstheme="majorBidi"/>
        </w:rPr>
        <w:t>(manifested</w:t>
      </w:r>
      <w:r w:rsidRPr="00E32B3D">
        <w:rPr>
          <w:rFonts w:asciiTheme="majorBidi" w:hAnsiTheme="majorBidi" w:cstheme="majorBidi"/>
          <w:spacing w:val="-2"/>
        </w:rPr>
        <w:t xml:space="preserve"> </w:t>
      </w:r>
      <w:r w:rsidRPr="00E32B3D">
        <w:rPr>
          <w:rFonts w:asciiTheme="majorBidi" w:hAnsiTheme="majorBidi" w:cstheme="majorBidi"/>
        </w:rPr>
        <w:t>as</w:t>
      </w:r>
      <w:r w:rsidRPr="00E32B3D">
        <w:rPr>
          <w:rFonts w:asciiTheme="majorBidi" w:hAnsiTheme="majorBidi" w:cstheme="majorBidi"/>
          <w:spacing w:val="-4"/>
        </w:rPr>
        <w:t xml:space="preserve"> </w:t>
      </w:r>
      <w:r w:rsidRPr="00E32B3D">
        <w:rPr>
          <w:rFonts w:asciiTheme="majorBidi" w:hAnsiTheme="majorBidi" w:cstheme="majorBidi"/>
        </w:rPr>
        <w:t>anaemia,</w:t>
      </w:r>
      <w:r w:rsidRPr="00E32B3D">
        <w:rPr>
          <w:rFonts w:asciiTheme="majorBidi" w:hAnsiTheme="majorBidi" w:cstheme="majorBidi"/>
          <w:spacing w:val="-3"/>
        </w:rPr>
        <w:t xml:space="preserve"> </w:t>
      </w:r>
      <w:r w:rsidRPr="00E32B3D">
        <w:rPr>
          <w:rFonts w:asciiTheme="majorBidi" w:hAnsiTheme="majorBidi" w:cstheme="majorBidi"/>
        </w:rPr>
        <w:t>thrombocytopenia,</w:t>
      </w:r>
      <w:r w:rsidRPr="00E32B3D">
        <w:rPr>
          <w:rFonts w:asciiTheme="majorBidi" w:hAnsiTheme="majorBidi" w:cstheme="majorBidi"/>
          <w:spacing w:val="-2"/>
        </w:rPr>
        <w:t xml:space="preserve"> </w:t>
      </w:r>
      <w:r w:rsidRPr="00E32B3D">
        <w:rPr>
          <w:rFonts w:asciiTheme="majorBidi" w:hAnsiTheme="majorBidi" w:cstheme="majorBidi"/>
        </w:rPr>
        <w:t>neutropenia</w:t>
      </w:r>
      <w:r w:rsidRPr="00E32B3D">
        <w:rPr>
          <w:rFonts w:asciiTheme="majorBidi" w:hAnsiTheme="majorBidi" w:cstheme="majorBidi"/>
          <w:spacing w:val="-2"/>
        </w:rPr>
        <w:t xml:space="preserve"> </w:t>
      </w:r>
      <w:r w:rsidRPr="00E32B3D">
        <w:rPr>
          <w:rFonts w:asciiTheme="majorBidi" w:hAnsiTheme="majorBidi" w:cstheme="majorBidi"/>
        </w:rPr>
        <w:t>or</w:t>
      </w:r>
      <w:r w:rsidRPr="00E32B3D">
        <w:rPr>
          <w:rFonts w:asciiTheme="majorBidi" w:hAnsiTheme="majorBidi" w:cstheme="majorBidi"/>
          <w:spacing w:val="1"/>
        </w:rPr>
        <w:t xml:space="preserve"> </w:t>
      </w:r>
      <w:r w:rsidRPr="00E32B3D">
        <w:rPr>
          <w:rFonts w:asciiTheme="majorBidi" w:hAnsiTheme="majorBidi" w:cstheme="majorBidi"/>
        </w:rPr>
        <w:t>leukopenia),</w:t>
      </w:r>
    </w:p>
    <w:p w14:paraId="61668CBB" w14:textId="77777777" w:rsidR="0077536A" w:rsidRPr="00E32B3D" w:rsidRDefault="0077536A" w:rsidP="0077536A">
      <w:pPr>
        <w:pStyle w:val="ListParagraph"/>
        <w:widowControl w:val="0"/>
        <w:numPr>
          <w:ilvl w:val="0"/>
          <w:numId w:val="1"/>
        </w:numPr>
        <w:tabs>
          <w:tab w:val="left" w:pos="927"/>
          <w:tab w:val="left" w:pos="928"/>
        </w:tabs>
        <w:autoSpaceDE w:val="0"/>
        <w:autoSpaceDN w:val="0"/>
        <w:spacing w:before="78" w:after="0" w:line="240" w:lineRule="auto"/>
        <w:ind w:hanging="361"/>
        <w:contextualSpacing w:val="0"/>
        <w:rPr>
          <w:rFonts w:asciiTheme="majorBidi" w:hAnsiTheme="majorBidi" w:cstheme="majorBidi"/>
        </w:rPr>
      </w:pPr>
      <w:r w:rsidRPr="00E32B3D">
        <w:rPr>
          <w:rFonts w:asciiTheme="majorBidi" w:hAnsiTheme="majorBidi" w:cstheme="majorBidi"/>
        </w:rPr>
        <w:t>Prolonged</w:t>
      </w:r>
      <w:r w:rsidRPr="00E32B3D">
        <w:rPr>
          <w:rFonts w:asciiTheme="majorBidi" w:hAnsiTheme="majorBidi" w:cstheme="majorBidi"/>
          <w:spacing w:val="-2"/>
        </w:rPr>
        <w:t xml:space="preserve"> </w:t>
      </w:r>
      <w:r w:rsidRPr="00E32B3D">
        <w:rPr>
          <w:rFonts w:asciiTheme="majorBidi" w:hAnsiTheme="majorBidi" w:cstheme="majorBidi"/>
        </w:rPr>
        <w:t>QT</w:t>
      </w:r>
      <w:r w:rsidRPr="00E32B3D">
        <w:rPr>
          <w:rFonts w:asciiTheme="majorBidi" w:hAnsiTheme="majorBidi" w:cstheme="majorBidi"/>
          <w:spacing w:val="-4"/>
        </w:rPr>
        <w:t xml:space="preserve"> </w:t>
      </w:r>
      <w:r w:rsidRPr="00E32B3D">
        <w:rPr>
          <w:rFonts w:asciiTheme="majorBidi" w:hAnsiTheme="majorBidi" w:cstheme="majorBidi"/>
        </w:rPr>
        <w:t>interval</w:t>
      </w:r>
      <w:r w:rsidRPr="00E32B3D">
        <w:rPr>
          <w:rFonts w:asciiTheme="majorBidi" w:hAnsiTheme="majorBidi" w:cstheme="majorBidi"/>
          <w:spacing w:val="-3"/>
        </w:rPr>
        <w:t xml:space="preserve"> </w:t>
      </w:r>
      <w:r w:rsidRPr="00E32B3D">
        <w:rPr>
          <w:rFonts w:asciiTheme="majorBidi" w:hAnsiTheme="majorBidi" w:cstheme="majorBidi"/>
        </w:rPr>
        <w:t>(Fridericia correction)</w:t>
      </w:r>
    </w:p>
    <w:p w14:paraId="3631D506" w14:textId="77777777" w:rsidR="0077536A" w:rsidRPr="00E32B3D" w:rsidRDefault="0077536A" w:rsidP="0077536A">
      <w:pPr>
        <w:pStyle w:val="ListParagraph"/>
        <w:widowControl w:val="0"/>
        <w:numPr>
          <w:ilvl w:val="0"/>
          <w:numId w:val="1"/>
        </w:numPr>
        <w:tabs>
          <w:tab w:val="left" w:pos="927"/>
          <w:tab w:val="left" w:pos="928"/>
        </w:tabs>
        <w:autoSpaceDE w:val="0"/>
        <w:autoSpaceDN w:val="0"/>
        <w:spacing w:before="81" w:after="0" w:line="240" w:lineRule="auto"/>
        <w:ind w:hanging="361"/>
        <w:contextualSpacing w:val="0"/>
        <w:rPr>
          <w:rFonts w:asciiTheme="majorBidi" w:hAnsiTheme="majorBidi" w:cstheme="majorBidi"/>
        </w:rPr>
      </w:pPr>
      <w:r w:rsidRPr="00E32B3D">
        <w:rPr>
          <w:rFonts w:asciiTheme="majorBidi" w:hAnsiTheme="majorBidi" w:cstheme="majorBidi"/>
        </w:rPr>
        <w:t>Lactic</w:t>
      </w:r>
      <w:r w:rsidRPr="00E32B3D">
        <w:rPr>
          <w:rFonts w:asciiTheme="majorBidi" w:hAnsiTheme="majorBidi" w:cstheme="majorBidi"/>
          <w:spacing w:val="-1"/>
        </w:rPr>
        <w:t xml:space="preserve"> </w:t>
      </w:r>
      <w:r w:rsidRPr="00E32B3D">
        <w:rPr>
          <w:rFonts w:asciiTheme="majorBidi" w:hAnsiTheme="majorBidi" w:cstheme="majorBidi"/>
        </w:rPr>
        <w:t>acidosis</w:t>
      </w:r>
    </w:p>
    <w:p w14:paraId="30C62105" w14:textId="77777777" w:rsidR="0077536A" w:rsidRPr="00E32B3D" w:rsidRDefault="0077536A" w:rsidP="0077536A">
      <w:pPr>
        <w:pStyle w:val="ListParagraph"/>
        <w:widowControl w:val="0"/>
        <w:numPr>
          <w:ilvl w:val="0"/>
          <w:numId w:val="1"/>
        </w:numPr>
        <w:tabs>
          <w:tab w:val="left" w:pos="927"/>
          <w:tab w:val="left" w:pos="928"/>
        </w:tabs>
        <w:autoSpaceDE w:val="0"/>
        <w:autoSpaceDN w:val="0"/>
        <w:spacing w:before="81" w:after="0" w:line="240" w:lineRule="auto"/>
        <w:ind w:right="622" w:hanging="361"/>
        <w:contextualSpacing w:val="0"/>
        <w:rPr>
          <w:rFonts w:asciiTheme="majorBidi" w:hAnsiTheme="majorBidi" w:cstheme="majorBidi"/>
        </w:rPr>
      </w:pPr>
      <w:r w:rsidRPr="00E32B3D">
        <w:rPr>
          <w:rFonts w:asciiTheme="majorBidi" w:hAnsiTheme="majorBidi" w:cstheme="majorBidi"/>
        </w:rPr>
        <w:t>Hepatitis (defined as increases in alanine aminotransferase (ALT) or aspartate aminotransferase</w:t>
      </w:r>
      <w:r w:rsidRPr="00E32B3D">
        <w:rPr>
          <w:rFonts w:asciiTheme="majorBidi" w:hAnsiTheme="majorBidi" w:cstheme="majorBidi"/>
          <w:spacing w:val="1"/>
        </w:rPr>
        <w:t xml:space="preserve"> </w:t>
      </w:r>
      <w:r w:rsidRPr="00E32B3D">
        <w:rPr>
          <w:rFonts w:asciiTheme="majorBidi" w:hAnsiTheme="majorBidi" w:cstheme="majorBidi"/>
          <w:w w:val="95"/>
        </w:rPr>
        <w:t>(AST)≥5x</w:t>
      </w:r>
      <w:r w:rsidRPr="00E32B3D">
        <w:rPr>
          <w:rFonts w:asciiTheme="majorBidi" w:hAnsiTheme="majorBidi" w:cstheme="majorBidi"/>
          <w:spacing w:val="5"/>
          <w:w w:val="95"/>
        </w:rPr>
        <w:t xml:space="preserve"> </w:t>
      </w:r>
      <w:r w:rsidRPr="00E32B3D">
        <w:rPr>
          <w:rFonts w:asciiTheme="majorBidi" w:hAnsiTheme="majorBidi" w:cstheme="majorBidi"/>
          <w:w w:val="95"/>
        </w:rPr>
        <w:t>the</w:t>
      </w:r>
      <w:r w:rsidRPr="00E32B3D">
        <w:rPr>
          <w:rFonts w:asciiTheme="majorBidi" w:hAnsiTheme="majorBidi" w:cstheme="majorBidi"/>
          <w:spacing w:val="8"/>
          <w:w w:val="95"/>
        </w:rPr>
        <w:t xml:space="preserve"> </w:t>
      </w:r>
      <w:r w:rsidRPr="00E32B3D">
        <w:rPr>
          <w:rFonts w:asciiTheme="majorBidi" w:hAnsiTheme="majorBidi" w:cstheme="majorBidi"/>
          <w:w w:val="95"/>
        </w:rPr>
        <w:t>upper</w:t>
      </w:r>
      <w:r w:rsidRPr="00E32B3D">
        <w:rPr>
          <w:rFonts w:asciiTheme="majorBidi" w:hAnsiTheme="majorBidi" w:cstheme="majorBidi"/>
          <w:spacing w:val="6"/>
          <w:w w:val="95"/>
        </w:rPr>
        <w:t xml:space="preserve"> </w:t>
      </w:r>
      <w:r w:rsidRPr="00E32B3D">
        <w:rPr>
          <w:rFonts w:asciiTheme="majorBidi" w:hAnsiTheme="majorBidi" w:cstheme="majorBidi"/>
          <w:w w:val="95"/>
        </w:rPr>
        <w:t>limit</w:t>
      </w:r>
      <w:r w:rsidRPr="00E32B3D">
        <w:rPr>
          <w:rFonts w:asciiTheme="majorBidi" w:hAnsiTheme="majorBidi" w:cstheme="majorBidi"/>
          <w:spacing w:val="11"/>
          <w:w w:val="95"/>
        </w:rPr>
        <w:t xml:space="preserve"> </w:t>
      </w:r>
      <w:r w:rsidRPr="00E32B3D">
        <w:rPr>
          <w:rFonts w:asciiTheme="majorBidi" w:hAnsiTheme="majorBidi" w:cstheme="majorBidi"/>
          <w:w w:val="95"/>
        </w:rPr>
        <w:t>of</w:t>
      </w:r>
      <w:r w:rsidRPr="00E32B3D">
        <w:rPr>
          <w:rFonts w:asciiTheme="majorBidi" w:hAnsiTheme="majorBidi" w:cstheme="majorBidi"/>
          <w:spacing w:val="6"/>
          <w:w w:val="95"/>
        </w:rPr>
        <w:t xml:space="preserve"> </w:t>
      </w:r>
      <w:r w:rsidRPr="00E32B3D">
        <w:rPr>
          <w:rFonts w:asciiTheme="majorBidi" w:hAnsiTheme="majorBidi" w:cstheme="majorBidi"/>
          <w:w w:val="95"/>
        </w:rPr>
        <w:t>normal</w:t>
      </w:r>
      <w:r w:rsidRPr="00E32B3D">
        <w:rPr>
          <w:rFonts w:asciiTheme="majorBidi" w:hAnsiTheme="majorBidi" w:cstheme="majorBidi"/>
          <w:spacing w:val="5"/>
          <w:w w:val="95"/>
        </w:rPr>
        <w:t xml:space="preserve"> </w:t>
      </w:r>
      <w:r w:rsidRPr="00E32B3D">
        <w:rPr>
          <w:rFonts w:asciiTheme="majorBidi" w:hAnsiTheme="majorBidi" w:cstheme="majorBidi"/>
          <w:w w:val="95"/>
        </w:rPr>
        <w:t>(ULN),</w:t>
      </w:r>
      <w:r w:rsidRPr="00E32B3D">
        <w:rPr>
          <w:rFonts w:asciiTheme="majorBidi" w:hAnsiTheme="majorBidi" w:cstheme="majorBidi"/>
          <w:spacing w:val="8"/>
          <w:w w:val="95"/>
        </w:rPr>
        <w:t xml:space="preserve"> </w:t>
      </w:r>
      <w:r w:rsidRPr="00E32B3D">
        <w:rPr>
          <w:rFonts w:asciiTheme="majorBidi" w:hAnsiTheme="majorBidi" w:cstheme="majorBidi"/>
          <w:w w:val="95"/>
        </w:rPr>
        <w:t>or</w:t>
      </w:r>
      <w:r w:rsidRPr="00E32B3D">
        <w:rPr>
          <w:rFonts w:asciiTheme="majorBidi" w:hAnsiTheme="majorBidi" w:cstheme="majorBidi"/>
          <w:spacing w:val="7"/>
          <w:w w:val="95"/>
        </w:rPr>
        <w:t xml:space="preserve"> </w:t>
      </w:r>
      <w:r w:rsidRPr="00E32B3D">
        <w:rPr>
          <w:rFonts w:asciiTheme="majorBidi" w:hAnsiTheme="majorBidi" w:cstheme="majorBidi"/>
          <w:w w:val="95"/>
        </w:rPr>
        <w:t>increases</w:t>
      </w:r>
      <w:r w:rsidRPr="00E32B3D">
        <w:rPr>
          <w:rFonts w:asciiTheme="majorBidi" w:hAnsiTheme="majorBidi" w:cstheme="majorBidi"/>
          <w:spacing w:val="7"/>
          <w:w w:val="95"/>
        </w:rPr>
        <w:t xml:space="preserve"> </w:t>
      </w:r>
      <w:r w:rsidRPr="00E32B3D">
        <w:rPr>
          <w:rFonts w:asciiTheme="majorBidi" w:hAnsiTheme="majorBidi" w:cstheme="majorBidi"/>
          <w:w w:val="95"/>
        </w:rPr>
        <w:t>in</w:t>
      </w:r>
      <w:r w:rsidRPr="00E32B3D">
        <w:rPr>
          <w:rFonts w:asciiTheme="majorBidi" w:hAnsiTheme="majorBidi" w:cstheme="majorBidi"/>
          <w:spacing w:val="8"/>
          <w:w w:val="95"/>
        </w:rPr>
        <w:t xml:space="preserve"> </w:t>
      </w:r>
      <w:r w:rsidRPr="00E32B3D">
        <w:rPr>
          <w:rFonts w:asciiTheme="majorBidi" w:hAnsiTheme="majorBidi" w:cstheme="majorBidi"/>
          <w:w w:val="95"/>
        </w:rPr>
        <w:t>ALT</w:t>
      </w:r>
      <w:r w:rsidRPr="00E32B3D">
        <w:rPr>
          <w:rFonts w:asciiTheme="majorBidi" w:hAnsiTheme="majorBidi" w:cstheme="majorBidi"/>
          <w:spacing w:val="9"/>
          <w:w w:val="95"/>
        </w:rPr>
        <w:t xml:space="preserve"> </w:t>
      </w:r>
      <w:r w:rsidRPr="00E32B3D">
        <w:rPr>
          <w:rFonts w:asciiTheme="majorBidi" w:hAnsiTheme="majorBidi" w:cstheme="majorBidi"/>
          <w:w w:val="95"/>
        </w:rPr>
        <w:t>or</w:t>
      </w:r>
      <w:r w:rsidRPr="00E32B3D">
        <w:rPr>
          <w:rFonts w:asciiTheme="majorBidi" w:hAnsiTheme="majorBidi" w:cstheme="majorBidi"/>
          <w:spacing w:val="8"/>
          <w:w w:val="95"/>
        </w:rPr>
        <w:t xml:space="preserve"> </w:t>
      </w:r>
      <w:r w:rsidRPr="00E32B3D">
        <w:rPr>
          <w:rFonts w:asciiTheme="majorBidi" w:hAnsiTheme="majorBidi" w:cstheme="majorBidi"/>
          <w:w w:val="95"/>
        </w:rPr>
        <w:t>AST≥3xULN</w:t>
      </w:r>
      <w:r w:rsidRPr="00E32B3D">
        <w:rPr>
          <w:rFonts w:asciiTheme="majorBidi" w:hAnsiTheme="majorBidi" w:cstheme="majorBidi"/>
          <w:spacing w:val="9"/>
          <w:w w:val="95"/>
        </w:rPr>
        <w:t xml:space="preserve"> </w:t>
      </w:r>
      <w:r w:rsidRPr="00E32B3D">
        <w:rPr>
          <w:rFonts w:asciiTheme="majorBidi" w:hAnsiTheme="majorBidi" w:cstheme="majorBidi"/>
          <w:w w:val="95"/>
        </w:rPr>
        <w:t>with</w:t>
      </w:r>
      <w:r w:rsidRPr="00E32B3D">
        <w:rPr>
          <w:rFonts w:asciiTheme="majorBidi" w:hAnsiTheme="majorBidi" w:cstheme="majorBidi"/>
          <w:spacing w:val="9"/>
          <w:w w:val="95"/>
        </w:rPr>
        <w:t xml:space="preserve"> </w:t>
      </w:r>
      <w:r w:rsidRPr="00E32B3D">
        <w:rPr>
          <w:rFonts w:asciiTheme="majorBidi" w:hAnsiTheme="majorBidi" w:cstheme="majorBidi"/>
          <w:w w:val="95"/>
        </w:rPr>
        <w:t>clinical</w:t>
      </w:r>
      <w:r w:rsidRPr="00E32B3D">
        <w:rPr>
          <w:rFonts w:asciiTheme="majorBidi" w:hAnsiTheme="majorBidi" w:cstheme="majorBidi"/>
          <w:spacing w:val="8"/>
          <w:w w:val="95"/>
        </w:rPr>
        <w:t xml:space="preserve"> </w:t>
      </w:r>
      <w:r w:rsidRPr="00E32B3D">
        <w:rPr>
          <w:rFonts w:asciiTheme="majorBidi" w:hAnsiTheme="majorBidi" w:cstheme="majorBidi"/>
          <w:w w:val="95"/>
        </w:rPr>
        <w:t>manifestations,</w:t>
      </w:r>
      <w:r w:rsidRPr="00E32B3D">
        <w:rPr>
          <w:rFonts w:asciiTheme="majorBidi" w:hAnsiTheme="majorBidi" w:cstheme="majorBidi"/>
          <w:spacing w:val="-55"/>
          <w:w w:val="95"/>
        </w:rPr>
        <w:t xml:space="preserve"> </w:t>
      </w:r>
      <w:r w:rsidRPr="00E32B3D">
        <w:rPr>
          <w:rFonts w:asciiTheme="majorBidi" w:hAnsiTheme="majorBidi" w:cstheme="majorBidi"/>
        </w:rPr>
        <w:t>or</w:t>
      </w:r>
      <w:r w:rsidRPr="00E32B3D">
        <w:rPr>
          <w:rFonts w:asciiTheme="majorBidi" w:hAnsiTheme="majorBidi" w:cstheme="majorBidi"/>
          <w:spacing w:val="1"/>
        </w:rPr>
        <w:t xml:space="preserve"> </w:t>
      </w:r>
      <w:r w:rsidRPr="00E32B3D">
        <w:rPr>
          <w:rFonts w:asciiTheme="majorBidi" w:hAnsiTheme="majorBidi" w:cstheme="majorBidi"/>
        </w:rPr>
        <w:t>increases</w:t>
      </w:r>
      <w:r w:rsidRPr="00E32B3D">
        <w:rPr>
          <w:rFonts w:asciiTheme="majorBidi" w:hAnsiTheme="majorBidi" w:cstheme="majorBidi"/>
          <w:spacing w:val="-1"/>
        </w:rPr>
        <w:t xml:space="preserve"> </w:t>
      </w:r>
      <w:r w:rsidRPr="00E32B3D">
        <w:rPr>
          <w:rFonts w:asciiTheme="majorBidi" w:hAnsiTheme="majorBidi" w:cstheme="majorBidi"/>
        </w:rPr>
        <w:t>in ALT</w:t>
      </w:r>
      <w:r w:rsidRPr="00E32B3D">
        <w:rPr>
          <w:rFonts w:asciiTheme="majorBidi" w:hAnsiTheme="majorBidi" w:cstheme="majorBidi"/>
          <w:spacing w:val="-3"/>
        </w:rPr>
        <w:t xml:space="preserve"> </w:t>
      </w:r>
      <w:r w:rsidRPr="00E32B3D">
        <w:rPr>
          <w:rFonts w:asciiTheme="majorBidi" w:hAnsiTheme="majorBidi" w:cstheme="majorBidi"/>
        </w:rPr>
        <w:t>or</w:t>
      </w:r>
      <w:r w:rsidRPr="00E32B3D">
        <w:rPr>
          <w:rFonts w:asciiTheme="majorBidi" w:hAnsiTheme="majorBidi" w:cstheme="majorBidi"/>
          <w:spacing w:val="-1"/>
        </w:rPr>
        <w:t xml:space="preserve"> </w:t>
      </w:r>
      <w:r w:rsidRPr="00E32B3D">
        <w:rPr>
          <w:rFonts w:asciiTheme="majorBidi" w:hAnsiTheme="majorBidi" w:cstheme="majorBidi"/>
        </w:rPr>
        <w:t>AST≥3xULN</w:t>
      </w:r>
      <w:r w:rsidRPr="00E32B3D">
        <w:rPr>
          <w:rFonts w:asciiTheme="majorBidi" w:hAnsiTheme="majorBidi" w:cstheme="majorBidi"/>
          <w:spacing w:val="-1"/>
        </w:rPr>
        <w:t xml:space="preserve"> </w:t>
      </w:r>
      <w:r w:rsidRPr="00E32B3D">
        <w:rPr>
          <w:rFonts w:asciiTheme="majorBidi" w:hAnsiTheme="majorBidi" w:cstheme="majorBidi"/>
        </w:rPr>
        <w:t>with</w:t>
      </w:r>
      <w:r w:rsidRPr="00E32B3D">
        <w:rPr>
          <w:rFonts w:asciiTheme="majorBidi" w:hAnsiTheme="majorBidi" w:cstheme="majorBidi"/>
          <w:spacing w:val="-3"/>
        </w:rPr>
        <w:t xml:space="preserve"> </w:t>
      </w:r>
      <w:r w:rsidRPr="00E32B3D">
        <w:rPr>
          <w:rFonts w:asciiTheme="majorBidi" w:hAnsiTheme="majorBidi" w:cstheme="majorBidi"/>
        </w:rPr>
        <w:t>concomitant</w:t>
      </w:r>
      <w:r w:rsidRPr="00E32B3D">
        <w:rPr>
          <w:rFonts w:asciiTheme="majorBidi" w:hAnsiTheme="majorBidi" w:cstheme="majorBidi"/>
          <w:spacing w:val="-1"/>
        </w:rPr>
        <w:t xml:space="preserve"> </w:t>
      </w:r>
      <w:r w:rsidRPr="00E32B3D">
        <w:rPr>
          <w:rFonts w:asciiTheme="majorBidi" w:hAnsiTheme="majorBidi" w:cstheme="majorBidi"/>
        </w:rPr>
        <w:t>increase</w:t>
      </w:r>
      <w:r w:rsidRPr="00E32B3D">
        <w:rPr>
          <w:rFonts w:asciiTheme="majorBidi" w:hAnsiTheme="majorBidi" w:cstheme="majorBidi"/>
          <w:spacing w:val="-3"/>
        </w:rPr>
        <w:t xml:space="preserve"> </w:t>
      </w:r>
      <w:r w:rsidRPr="00E32B3D">
        <w:rPr>
          <w:rFonts w:asciiTheme="majorBidi" w:hAnsiTheme="majorBidi" w:cstheme="majorBidi"/>
        </w:rPr>
        <w:t>in bilirubin ≥1.5xULN)</w:t>
      </w:r>
    </w:p>
    <w:p w14:paraId="3BED8E7D" w14:textId="77777777" w:rsidR="0077536A" w:rsidRPr="00E32B3D" w:rsidRDefault="0077536A" w:rsidP="0077536A">
      <w:pPr>
        <w:pStyle w:val="ListParagraph"/>
        <w:widowControl w:val="0"/>
        <w:numPr>
          <w:ilvl w:val="0"/>
          <w:numId w:val="1"/>
        </w:numPr>
        <w:tabs>
          <w:tab w:val="left" w:pos="927"/>
          <w:tab w:val="left" w:pos="928"/>
        </w:tabs>
        <w:autoSpaceDE w:val="0"/>
        <w:autoSpaceDN w:val="0"/>
        <w:spacing w:before="78" w:after="0" w:line="240" w:lineRule="auto"/>
        <w:ind w:hanging="361"/>
        <w:contextualSpacing w:val="0"/>
        <w:rPr>
          <w:rFonts w:asciiTheme="majorBidi" w:hAnsiTheme="majorBidi" w:cstheme="majorBidi"/>
        </w:rPr>
      </w:pPr>
      <w:r w:rsidRPr="00E32B3D">
        <w:rPr>
          <w:rFonts w:asciiTheme="majorBidi" w:hAnsiTheme="majorBidi" w:cstheme="majorBidi"/>
        </w:rPr>
        <w:t>Hypothyroidism</w:t>
      </w:r>
    </w:p>
    <w:p w14:paraId="23802ACD" w14:textId="77777777" w:rsidR="0077536A" w:rsidRPr="00E32B3D" w:rsidRDefault="0077536A" w:rsidP="0077536A">
      <w:pPr>
        <w:pStyle w:val="ListParagraph"/>
        <w:widowControl w:val="0"/>
        <w:numPr>
          <w:ilvl w:val="0"/>
          <w:numId w:val="1"/>
        </w:numPr>
        <w:tabs>
          <w:tab w:val="left" w:pos="927"/>
          <w:tab w:val="left" w:pos="928"/>
        </w:tabs>
        <w:autoSpaceDE w:val="0"/>
        <w:autoSpaceDN w:val="0"/>
        <w:spacing w:before="81" w:after="0" w:line="240" w:lineRule="auto"/>
        <w:ind w:hanging="361"/>
        <w:contextualSpacing w:val="0"/>
        <w:rPr>
          <w:rFonts w:asciiTheme="majorBidi" w:hAnsiTheme="majorBidi" w:cstheme="majorBidi"/>
        </w:rPr>
      </w:pPr>
      <w:r w:rsidRPr="00E32B3D">
        <w:rPr>
          <w:rFonts w:asciiTheme="majorBidi" w:hAnsiTheme="majorBidi" w:cstheme="majorBidi"/>
        </w:rPr>
        <w:t>Hypokalaemia</w:t>
      </w:r>
    </w:p>
    <w:p w14:paraId="06F6C8B4" w14:textId="77777777" w:rsidR="0077536A" w:rsidRPr="00E32B3D" w:rsidRDefault="0077536A" w:rsidP="0077536A">
      <w:pPr>
        <w:pStyle w:val="ListParagraph"/>
        <w:widowControl w:val="0"/>
        <w:numPr>
          <w:ilvl w:val="0"/>
          <w:numId w:val="1"/>
        </w:numPr>
        <w:tabs>
          <w:tab w:val="left" w:pos="927"/>
          <w:tab w:val="left" w:pos="928"/>
        </w:tabs>
        <w:autoSpaceDE w:val="0"/>
        <w:autoSpaceDN w:val="0"/>
        <w:spacing w:before="81" w:after="0" w:line="240" w:lineRule="auto"/>
        <w:ind w:hanging="361"/>
        <w:contextualSpacing w:val="0"/>
        <w:rPr>
          <w:rFonts w:asciiTheme="majorBidi" w:hAnsiTheme="majorBidi" w:cstheme="majorBidi"/>
        </w:rPr>
      </w:pPr>
      <w:r w:rsidRPr="00E32B3D">
        <w:rPr>
          <w:rFonts w:asciiTheme="majorBidi" w:hAnsiTheme="majorBidi" w:cstheme="majorBidi"/>
        </w:rPr>
        <w:t>Pancreatitis</w:t>
      </w:r>
    </w:p>
    <w:p w14:paraId="447E46C8" w14:textId="77777777" w:rsidR="0077536A" w:rsidRPr="00E32B3D" w:rsidRDefault="0077536A" w:rsidP="0077536A">
      <w:pPr>
        <w:pStyle w:val="ListParagraph"/>
        <w:widowControl w:val="0"/>
        <w:numPr>
          <w:ilvl w:val="0"/>
          <w:numId w:val="1"/>
        </w:numPr>
        <w:tabs>
          <w:tab w:val="left" w:pos="927"/>
          <w:tab w:val="left" w:pos="928"/>
        </w:tabs>
        <w:autoSpaceDE w:val="0"/>
        <w:autoSpaceDN w:val="0"/>
        <w:spacing w:before="80" w:after="0" w:line="240" w:lineRule="auto"/>
        <w:ind w:hanging="361"/>
        <w:contextualSpacing w:val="0"/>
        <w:rPr>
          <w:rFonts w:asciiTheme="majorBidi" w:hAnsiTheme="majorBidi" w:cstheme="majorBidi"/>
        </w:rPr>
      </w:pPr>
      <w:r w:rsidRPr="00E32B3D">
        <w:rPr>
          <w:rFonts w:asciiTheme="majorBidi" w:hAnsiTheme="majorBidi" w:cstheme="majorBidi"/>
        </w:rPr>
        <w:t>Phospholipidosis</w:t>
      </w:r>
    </w:p>
    <w:p w14:paraId="3B6E32A2" w14:textId="77777777" w:rsidR="0077536A" w:rsidRPr="00E32B3D" w:rsidRDefault="0077536A" w:rsidP="0077536A">
      <w:pPr>
        <w:pStyle w:val="ListParagraph"/>
        <w:widowControl w:val="0"/>
        <w:numPr>
          <w:ilvl w:val="0"/>
          <w:numId w:val="1"/>
        </w:numPr>
        <w:tabs>
          <w:tab w:val="left" w:pos="927"/>
          <w:tab w:val="left" w:pos="928"/>
        </w:tabs>
        <w:autoSpaceDE w:val="0"/>
        <w:autoSpaceDN w:val="0"/>
        <w:spacing w:before="78" w:after="0" w:line="240" w:lineRule="auto"/>
        <w:ind w:hanging="364"/>
        <w:contextualSpacing w:val="0"/>
        <w:rPr>
          <w:rFonts w:asciiTheme="majorBidi" w:hAnsiTheme="majorBidi" w:cstheme="majorBidi"/>
        </w:rPr>
        <w:sectPr w:rsidR="0077536A" w:rsidRPr="00E32B3D" w:rsidSect="0077536A">
          <w:headerReference w:type="default" r:id="rId5"/>
          <w:pgSz w:w="11900" w:h="16860"/>
          <w:pgMar w:top="1440" w:right="1080" w:bottom="1440" w:left="1080" w:header="0" w:footer="887" w:gutter="0"/>
          <w:lnNumType w:countBy="1" w:restart="continuous"/>
          <w:cols w:space="720"/>
        </w:sectPr>
      </w:pPr>
      <w:r w:rsidRPr="00E32B3D">
        <w:rPr>
          <w:rFonts w:asciiTheme="majorBidi" w:hAnsiTheme="majorBidi" w:cstheme="majorBidi"/>
        </w:rPr>
        <w:t>Acute kidney</w:t>
      </w:r>
      <w:r w:rsidRPr="00E32B3D">
        <w:rPr>
          <w:rFonts w:asciiTheme="majorBidi" w:hAnsiTheme="majorBidi" w:cstheme="majorBidi"/>
          <w:spacing w:val="-2"/>
        </w:rPr>
        <w:t xml:space="preserve"> </w:t>
      </w:r>
      <w:r w:rsidRPr="00E32B3D">
        <w:rPr>
          <w:rFonts w:asciiTheme="majorBidi" w:hAnsiTheme="majorBidi" w:cstheme="majorBidi"/>
        </w:rPr>
        <w:t>injury</w:t>
      </w:r>
      <w:r w:rsidRPr="00E32B3D">
        <w:rPr>
          <w:rFonts w:asciiTheme="majorBidi" w:hAnsiTheme="majorBidi" w:cstheme="majorBidi"/>
          <w:spacing w:val="-3"/>
        </w:rPr>
        <w:t xml:space="preserve"> </w:t>
      </w:r>
      <w:r w:rsidRPr="00E32B3D">
        <w:rPr>
          <w:rFonts w:asciiTheme="majorBidi" w:hAnsiTheme="majorBidi" w:cstheme="majorBidi"/>
        </w:rPr>
        <w:t>(acute renal</w:t>
      </w:r>
      <w:r w:rsidRPr="00E32B3D">
        <w:rPr>
          <w:rFonts w:asciiTheme="majorBidi" w:hAnsiTheme="majorBidi" w:cstheme="majorBidi"/>
          <w:spacing w:val="-3"/>
        </w:rPr>
        <w:t xml:space="preserve"> </w:t>
      </w:r>
      <w:r w:rsidRPr="00E32B3D">
        <w:rPr>
          <w:rFonts w:asciiTheme="majorBidi" w:hAnsiTheme="majorBidi" w:cstheme="majorBidi"/>
        </w:rPr>
        <w:t>failure)</w:t>
      </w:r>
    </w:p>
    <w:p w14:paraId="0D9951BD" w14:textId="77777777" w:rsidR="0077536A" w:rsidRPr="00E32B3D" w:rsidRDefault="0077536A" w:rsidP="0077536A">
      <w:pPr>
        <w:pStyle w:val="Heading2"/>
        <w:spacing w:before="79"/>
        <w:rPr>
          <w:rFonts w:asciiTheme="majorBidi" w:hAnsiTheme="majorBidi"/>
          <w:color w:val="auto"/>
          <w:sz w:val="28"/>
          <w:szCs w:val="28"/>
        </w:rPr>
      </w:pPr>
      <w:bookmarkStart w:id="0" w:name="_TOC_250003"/>
      <w:r w:rsidRPr="00E32B3D">
        <w:rPr>
          <w:rFonts w:asciiTheme="majorBidi" w:hAnsiTheme="majorBidi"/>
          <w:color w:val="auto"/>
          <w:sz w:val="28"/>
          <w:szCs w:val="28"/>
        </w:rPr>
        <w:lastRenderedPageBreak/>
        <w:t>Annex</w:t>
      </w:r>
      <w:r w:rsidRPr="00E32B3D">
        <w:rPr>
          <w:rFonts w:asciiTheme="majorBidi" w:hAnsiTheme="majorBidi"/>
          <w:color w:val="auto"/>
          <w:spacing w:val="-4"/>
          <w:sz w:val="28"/>
          <w:szCs w:val="28"/>
        </w:rPr>
        <w:t xml:space="preserve"> </w:t>
      </w:r>
      <w:r w:rsidRPr="00E32B3D">
        <w:rPr>
          <w:rFonts w:asciiTheme="majorBidi" w:hAnsiTheme="majorBidi"/>
          <w:color w:val="auto"/>
          <w:sz w:val="28"/>
          <w:szCs w:val="28"/>
        </w:rPr>
        <w:t>2.</w:t>
      </w:r>
      <w:r w:rsidRPr="00E32B3D">
        <w:rPr>
          <w:rFonts w:asciiTheme="majorBidi" w:hAnsiTheme="majorBidi"/>
          <w:color w:val="auto"/>
          <w:spacing w:val="-4"/>
          <w:sz w:val="28"/>
          <w:szCs w:val="28"/>
        </w:rPr>
        <w:t xml:space="preserve"> </w:t>
      </w:r>
      <w:r w:rsidRPr="00E32B3D">
        <w:rPr>
          <w:rFonts w:asciiTheme="majorBidi" w:hAnsiTheme="majorBidi"/>
          <w:color w:val="auto"/>
          <w:sz w:val="28"/>
          <w:szCs w:val="28"/>
        </w:rPr>
        <w:t>Adverse</w:t>
      </w:r>
      <w:r w:rsidRPr="00E32B3D">
        <w:rPr>
          <w:rFonts w:asciiTheme="majorBidi" w:hAnsiTheme="majorBidi"/>
          <w:color w:val="auto"/>
          <w:spacing w:val="-3"/>
          <w:sz w:val="28"/>
          <w:szCs w:val="28"/>
        </w:rPr>
        <w:t xml:space="preserve"> </w:t>
      </w:r>
      <w:r w:rsidRPr="00E32B3D">
        <w:rPr>
          <w:rFonts w:asciiTheme="majorBidi" w:hAnsiTheme="majorBidi"/>
          <w:color w:val="auto"/>
          <w:sz w:val="28"/>
          <w:szCs w:val="28"/>
        </w:rPr>
        <w:t>Events:</w:t>
      </w:r>
      <w:r w:rsidRPr="00E32B3D">
        <w:rPr>
          <w:rFonts w:asciiTheme="majorBidi" w:hAnsiTheme="majorBidi"/>
          <w:color w:val="auto"/>
          <w:spacing w:val="-2"/>
          <w:sz w:val="28"/>
          <w:szCs w:val="28"/>
        </w:rPr>
        <w:t xml:space="preserve"> </w:t>
      </w:r>
      <w:r w:rsidRPr="00E32B3D">
        <w:rPr>
          <w:rFonts w:asciiTheme="majorBidi" w:hAnsiTheme="majorBidi"/>
          <w:color w:val="auto"/>
          <w:sz w:val="28"/>
          <w:szCs w:val="28"/>
        </w:rPr>
        <w:t>grading,</w:t>
      </w:r>
      <w:r w:rsidRPr="00E32B3D">
        <w:rPr>
          <w:rFonts w:asciiTheme="majorBidi" w:hAnsiTheme="majorBidi"/>
          <w:color w:val="auto"/>
          <w:spacing w:val="-3"/>
          <w:sz w:val="28"/>
          <w:szCs w:val="28"/>
        </w:rPr>
        <w:t xml:space="preserve"> </w:t>
      </w:r>
      <w:r w:rsidRPr="00E32B3D">
        <w:rPr>
          <w:rFonts w:asciiTheme="majorBidi" w:hAnsiTheme="majorBidi"/>
          <w:color w:val="auto"/>
          <w:sz w:val="28"/>
          <w:szCs w:val="28"/>
        </w:rPr>
        <w:t>attribution,</w:t>
      </w:r>
      <w:r w:rsidRPr="00E32B3D">
        <w:rPr>
          <w:rFonts w:asciiTheme="majorBidi" w:hAnsiTheme="majorBidi"/>
          <w:color w:val="auto"/>
          <w:spacing w:val="-2"/>
          <w:sz w:val="28"/>
          <w:szCs w:val="28"/>
        </w:rPr>
        <w:t xml:space="preserve"> </w:t>
      </w:r>
      <w:bookmarkEnd w:id="0"/>
      <w:r w:rsidRPr="00E32B3D">
        <w:rPr>
          <w:rFonts w:asciiTheme="majorBidi" w:hAnsiTheme="majorBidi"/>
          <w:color w:val="auto"/>
          <w:sz w:val="28"/>
          <w:szCs w:val="28"/>
        </w:rPr>
        <w:t>definitions</w:t>
      </w:r>
    </w:p>
    <w:p w14:paraId="4DE16DD1" w14:textId="77777777" w:rsidR="0077536A" w:rsidRDefault="0077536A" w:rsidP="0077536A">
      <w:pPr>
        <w:pStyle w:val="BodyText"/>
        <w:spacing w:before="1"/>
      </w:pPr>
    </w:p>
    <w:p w14:paraId="5C3EC091" w14:textId="77777777" w:rsidR="0077536A" w:rsidRDefault="0077536A" w:rsidP="0077536A">
      <w:pPr>
        <w:ind w:right="1012"/>
        <w:rPr>
          <w:rFonts w:ascii="Arial" w:hAnsi="Arial"/>
          <w:i/>
          <w:sz w:val="18"/>
        </w:rPr>
      </w:pPr>
      <w:r>
        <w:rPr>
          <w:rFonts w:ascii="Arial" w:hAnsi="Arial"/>
          <w:b/>
        </w:rPr>
        <w:t xml:space="preserve">Grading of Adverse Events </w:t>
      </w:r>
      <w:r>
        <w:rPr>
          <w:sz w:val="18"/>
        </w:rPr>
        <w:t>(</w:t>
      </w:r>
      <w:r>
        <w:rPr>
          <w:rFonts w:ascii="Arial" w:hAnsi="Arial"/>
          <w:i/>
          <w:sz w:val="18"/>
        </w:rPr>
        <w:t>Source: DAIDS table for grading severity of adverse events – corrected</w:t>
      </w:r>
      <w:r>
        <w:rPr>
          <w:rFonts w:ascii="Arial" w:hAnsi="Arial"/>
          <w:i/>
          <w:spacing w:val="-47"/>
          <w:sz w:val="18"/>
        </w:rPr>
        <w:t xml:space="preserve"> </w:t>
      </w:r>
      <w:r>
        <w:rPr>
          <w:rFonts w:ascii="Arial" w:hAnsi="Arial"/>
          <w:i/>
          <w:sz w:val="18"/>
        </w:rPr>
        <w:t>version</w:t>
      </w:r>
      <w:r>
        <w:rPr>
          <w:rFonts w:ascii="Arial" w:hAnsi="Arial"/>
          <w:i/>
          <w:spacing w:val="-3"/>
          <w:sz w:val="18"/>
        </w:rPr>
        <w:t xml:space="preserve"> </w:t>
      </w:r>
      <w:r>
        <w:rPr>
          <w:rFonts w:ascii="Arial" w:hAnsi="Arial"/>
          <w:i/>
          <w:sz w:val="18"/>
        </w:rPr>
        <w:t>2.1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July</w:t>
      </w:r>
      <w:r>
        <w:rPr>
          <w:rFonts w:ascii="Arial" w:hAnsi="Arial"/>
          <w:i/>
          <w:spacing w:val="1"/>
          <w:sz w:val="18"/>
        </w:rPr>
        <w:t xml:space="preserve"> </w:t>
      </w:r>
      <w:r>
        <w:rPr>
          <w:rFonts w:ascii="Arial" w:hAnsi="Arial"/>
          <w:i/>
          <w:sz w:val="18"/>
        </w:rPr>
        <w:t>2017)</w:t>
      </w:r>
    </w:p>
    <w:p w14:paraId="6E6E6C1D" w14:textId="77777777" w:rsidR="0077536A" w:rsidRDefault="0077536A" w:rsidP="0077536A">
      <w:pPr>
        <w:pStyle w:val="BodyText"/>
        <w:spacing w:before="3"/>
        <w:rPr>
          <w:rFonts w:ascii="Arial"/>
          <w:i/>
          <w:sz w:val="5"/>
        </w:rPr>
      </w:pPr>
    </w:p>
    <w:tbl>
      <w:tblPr>
        <w:tblW w:w="0" w:type="auto"/>
        <w:tblInd w:w="5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36"/>
        <w:gridCol w:w="1457"/>
        <w:gridCol w:w="6320"/>
      </w:tblGrid>
      <w:tr w:rsidR="0077536A" w14:paraId="7517D596" w14:textId="77777777" w:rsidTr="007F62D8">
        <w:trPr>
          <w:trHeight w:val="580"/>
        </w:trPr>
        <w:tc>
          <w:tcPr>
            <w:tcW w:w="1236" w:type="dxa"/>
            <w:shd w:val="clear" w:color="auto" w:fill="A7A8A7"/>
          </w:tcPr>
          <w:p w14:paraId="1D3694E4" w14:textId="77777777" w:rsidR="0077536A" w:rsidRDefault="0077536A" w:rsidP="007F62D8">
            <w:pPr>
              <w:pStyle w:val="TableParagraph"/>
              <w:spacing w:before="122"/>
              <w:ind w:left="129"/>
              <w:rPr>
                <w:sz w:val="20"/>
              </w:rPr>
            </w:pPr>
            <w:r>
              <w:rPr>
                <w:sz w:val="20"/>
              </w:rPr>
              <w:t>Grade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1457" w:type="dxa"/>
            <w:shd w:val="clear" w:color="auto" w:fill="DADADA"/>
          </w:tcPr>
          <w:p w14:paraId="51FAA826" w14:textId="77777777" w:rsidR="0077536A" w:rsidRDefault="0077536A" w:rsidP="007F62D8">
            <w:pPr>
              <w:pStyle w:val="TableParagraph"/>
              <w:spacing w:before="122"/>
              <w:ind w:left="98"/>
              <w:rPr>
                <w:sz w:val="20"/>
              </w:rPr>
            </w:pPr>
            <w:r>
              <w:rPr>
                <w:sz w:val="20"/>
              </w:rPr>
              <w:t>Mild</w:t>
            </w:r>
          </w:p>
        </w:tc>
        <w:tc>
          <w:tcPr>
            <w:tcW w:w="6320" w:type="dxa"/>
          </w:tcPr>
          <w:p w14:paraId="181191EC" w14:textId="77777777" w:rsidR="0077536A" w:rsidRDefault="0077536A" w:rsidP="007F62D8">
            <w:pPr>
              <w:pStyle w:val="TableParagraph"/>
              <w:spacing w:before="59"/>
              <w:ind w:left="166" w:right="426"/>
              <w:rPr>
                <w:sz w:val="20"/>
              </w:rPr>
            </w:pPr>
            <w:r>
              <w:rPr>
                <w:sz w:val="20"/>
              </w:rPr>
              <w:t>Small or transient inconvenience that does not limit normal daily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activity.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need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medical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intervention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or corrective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treatment.</w:t>
            </w:r>
          </w:p>
        </w:tc>
      </w:tr>
      <w:tr w:rsidR="0077536A" w14:paraId="4E4D3A51" w14:textId="77777777" w:rsidTr="007F62D8">
        <w:trPr>
          <w:trHeight w:val="808"/>
        </w:trPr>
        <w:tc>
          <w:tcPr>
            <w:tcW w:w="1236" w:type="dxa"/>
            <w:shd w:val="clear" w:color="auto" w:fill="A7A8A7"/>
          </w:tcPr>
          <w:p w14:paraId="2E69C6F1" w14:textId="77777777" w:rsidR="0077536A" w:rsidRDefault="0077536A" w:rsidP="007F62D8">
            <w:pPr>
              <w:pStyle w:val="TableParagraph"/>
              <w:spacing w:before="11"/>
              <w:rPr>
                <w:rFonts w:ascii="Arial"/>
                <w:i/>
                <w:sz w:val="19"/>
              </w:rPr>
            </w:pPr>
          </w:p>
          <w:p w14:paraId="2B01D150" w14:textId="77777777" w:rsidR="0077536A" w:rsidRDefault="0077536A" w:rsidP="007F62D8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Grade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1457" w:type="dxa"/>
            <w:shd w:val="clear" w:color="auto" w:fill="DADADA"/>
          </w:tcPr>
          <w:p w14:paraId="7FC7A1A8" w14:textId="77777777" w:rsidR="0077536A" w:rsidRDefault="0077536A" w:rsidP="007F62D8">
            <w:pPr>
              <w:pStyle w:val="TableParagraph"/>
              <w:spacing w:before="11"/>
              <w:rPr>
                <w:rFonts w:ascii="Arial"/>
                <w:i/>
                <w:sz w:val="19"/>
              </w:rPr>
            </w:pPr>
          </w:p>
          <w:p w14:paraId="2891A1B2" w14:textId="77777777" w:rsidR="0077536A" w:rsidRDefault="0077536A" w:rsidP="007F62D8">
            <w:pPr>
              <w:pStyle w:val="TableParagraph"/>
              <w:ind w:left="98"/>
              <w:rPr>
                <w:sz w:val="20"/>
              </w:rPr>
            </w:pPr>
            <w:r>
              <w:rPr>
                <w:sz w:val="20"/>
              </w:rPr>
              <w:t>Moderate</w:t>
            </w:r>
          </w:p>
        </w:tc>
        <w:tc>
          <w:tcPr>
            <w:tcW w:w="6320" w:type="dxa"/>
          </w:tcPr>
          <w:p w14:paraId="75F4E049" w14:textId="77777777" w:rsidR="0077536A" w:rsidRDefault="0077536A" w:rsidP="007F62D8">
            <w:pPr>
              <w:pStyle w:val="TableParagraph"/>
              <w:spacing w:before="59"/>
              <w:ind w:left="166" w:right="54"/>
              <w:rPr>
                <w:sz w:val="20"/>
              </w:rPr>
            </w:pPr>
            <w:r>
              <w:rPr>
                <w:sz w:val="20"/>
              </w:rPr>
              <w:t>Partial limitation of normal daily activity. In some, but not all cases,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medical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intervention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corrective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treatment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necessary.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need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discontinue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treatment.</w:t>
            </w:r>
          </w:p>
        </w:tc>
      </w:tr>
      <w:tr w:rsidR="0077536A" w14:paraId="2C1D3606" w14:textId="77777777" w:rsidTr="007F62D8">
        <w:trPr>
          <w:trHeight w:val="1041"/>
        </w:trPr>
        <w:tc>
          <w:tcPr>
            <w:tcW w:w="1236" w:type="dxa"/>
            <w:shd w:val="clear" w:color="auto" w:fill="A7A8A7"/>
          </w:tcPr>
          <w:p w14:paraId="03C3218D" w14:textId="77777777" w:rsidR="0077536A" w:rsidRDefault="0077536A" w:rsidP="007F62D8">
            <w:pPr>
              <w:pStyle w:val="TableParagraph"/>
              <w:rPr>
                <w:rFonts w:ascii="Arial"/>
                <w:i/>
                <w:sz w:val="30"/>
              </w:rPr>
            </w:pPr>
          </w:p>
          <w:p w14:paraId="6FEAD5D1" w14:textId="77777777" w:rsidR="0077536A" w:rsidRDefault="0077536A" w:rsidP="007F62D8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Grade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  <w:tc>
          <w:tcPr>
            <w:tcW w:w="1457" w:type="dxa"/>
            <w:shd w:val="clear" w:color="auto" w:fill="DADADA"/>
          </w:tcPr>
          <w:p w14:paraId="1F19AA97" w14:textId="77777777" w:rsidR="0077536A" w:rsidRDefault="0077536A" w:rsidP="007F62D8">
            <w:pPr>
              <w:pStyle w:val="TableParagraph"/>
              <w:rPr>
                <w:rFonts w:ascii="Arial"/>
                <w:i/>
                <w:sz w:val="30"/>
              </w:rPr>
            </w:pPr>
          </w:p>
          <w:p w14:paraId="36B2197B" w14:textId="77777777" w:rsidR="0077536A" w:rsidRDefault="0077536A" w:rsidP="007F62D8">
            <w:pPr>
              <w:pStyle w:val="TableParagraph"/>
              <w:ind w:left="98"/>
              <w:rPr>
                <w:sz w:val="20"/>
              </w:rPr>
            </w:pPr>
            <w:r>
              <w:rPr>
                <w:sz w:val="20"/>
              </w:rPr>
              <w:t>Severe</w:t>
            </w:r>
          </w:p>
        </w:tc>
        <w:tc>
          <w:tcPr>
            <w:tcW w:w="6320" w:type="dxa"/>
          </w:tcPr>
          <w:p w14:paraId="6988471E" w14:textId="77777777" w:rsidR="0077536A" w:rsidRDefault="0077536A" w:rsidP="007F62D8">
            <w:pPr>
              <w:pStyle w:val="TableParagraph"/>
              <w:spacing w:before="59"/>
              <w:ind w:left="166" w:right="54"/>
              <w:rPr>
                <w:sz w:val="20"/>
              </w:rPr>
            </w:pPr>
            <w:r>
              <w:rPr>
                <w:sz w:val="20"/>
              </w:rPr>
              <w:t>Limitation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normal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daily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activity.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Medical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intervention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corrective</w:t>
            </w:r>
            <w:r>
              <w:rPr>
                <w:spacing w:val="-52"/>
                <w:sz w:val="20"/>
              </w:rPr>
              <w:t xml:space="preserve"> </w:t>
            </w:r>
            <w:r>
              <w:rPr>
                <w:sz w:val="20"/>
              </w:rPr>
              <w:t>treatment, often requiring hospitalization, are necessary. 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responsible drug may have to be stopped temporarily until 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symptoms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have resolved.</w:t>
            </w:r>
          </w:p>
        </w:tc>
      </w:tr>
      <w:tr w:rsidR="0077536A" w14:paraId="1642D55B" w14:textId="77777777" w:rsidTr="007F62D8">
        <w:trPr>
          <w:trHeight w:val="871"/>
        </w:trPr>
        <w:tc>
          <w:tcPr>
            <w:tcW w:w="1236" w:type="dxa"/>
            <w:shd w:val="clear" w:color="auto" w:fill="A7A8A7"/>
          </w:tcPr>
          <w:p w14:paraId="77AE3BC6" w14:textId="77777777" w:rsidR="0077536A" w:rsidRDefault="0077536A" w:rsidP="007F62D8">
            <w:pPr>
              <w:pStyle w:val="TableParagraph"/>
              <w:spacing w:before="2"/>
              <w:rPr>
                <w:rFonts w:ascii="Arial"/>
                <w:i/>
                <w:sz w:val="20"/>
              </w:rPr>
            </w:pPr>
          </w:p>
          <w:p w14:paraId="72381296" w14:textId="77777777" w:rsidR="0077536A" w:rsidRDefault="0077536A" w:rsidP="007F62D8">
            <w:pPr>
              <w:pStyle w:val="TableParagraph"/>
              <w:spacing w:before="1"/>
              <w:ind w:left="129"/>
              <w:rPr>
                <w:sz w:val="20"/>
              </w:rPr>
            </w:pPr>
            <w:r>
              <w:rPr>
                <w:sz w:val="20"/>
              </w:rPr>
              <w:t>Grade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</w:p>
        </w:tc>
        <w:tc>
          <w:tcPr>
            <w:tcW w:w="1457" w:type="dxa"/>
            <w:shd w:val="clear" w:color="auto" w:fill="DADADA"/>
          </w:tcPr>
          <w:p w14:paraId="6C2E07D7" w14:textId="77777777" w:rsidR="0077536A" w:rsidRDefault="0077536A" w:rsidP="007F62D8">
            <w:pPr>
              <w:pStyle w:val="TableParagraph"/>
              <w:spacing w:before="122"/>
              <w:ind w:left="98" w:right="79"/>
              <w:rPr>
                <w:sz w:val="20"/>
              </w:rPr>
            </w:pPr>
            <w:r>
              <w:rPr>
                <w:sz w:val="20"/>
              </w:rPr>
              <w:t>Life-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threatening</w:t>
            </w:r>
          </w:p>
        </w:tc>
        <w:tc>
          <w:tcPr>
            <w:tcW w:w="6320" w:type="dxa"/>
          </w:tcPr>
          <w:p w14:paraId="3CEFACFB" w14:textId="77777777" w:rsidR="0077536A" w:rsidRDefault="0077536A" w:rsidP="007F62D8">
            <w:pPr>
              <w:pStyle w:val="TableParagraph"/>
              <w:spacing w:before="59"/>
              <w:ind w:left="166" w:right="340"/>
              <w:rPr>
                <w:sz w:val="20"/>
              </w:rPr>
            </w:pPr>
            <w:r>
              <w:rPr>
                <w:sz w:val="20"/>
              </w:rPr>
              <w:t>Severe limitation of normal daily activity. Medical intervention and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corrective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treatment,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requiring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hospitalization,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necessary.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</w:p>
          <w:p w14:paraId="51CBE5FC" w14:textId="77777777" w:rsidR="0077536A" w:rsidRDefault="0077536A" w:rsidP="007F62D8">
            <w:pPr>
              <w:pStyle w:val="TableParagraph"/>
              <w:spacing w:before="62"/>
              <w:ind w:left="166"/>
              <w:rPr>
                <w:sz w:val="20"/>
              </w:rPr>
            </w:pPr>
            <w:r>
              <w:rPr>
                <w:sz w:val="20"/>
              </w:rPr>
              <w:t>responsible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drug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may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need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stopped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permanently.</w:t>
            </w:r>
          </w:p>
        </w:tc>
      </w:tr>
      <w:tr w:rsidR="0077536A" w14:paraId="5C36DFD6" w14:textId="77777777" w:rsidTr="007F62D8">
        <w:trPr>
          <w:trHeight w:val="244"/>
        </w:trPr>
        <w:tc>
          <w:tcPr>
            <w:tcW w:w="1236" w:type="dxa"/>
            <w:shd w:val="clear" w:color="auto" w:fill="A7A8A7"/>
          </w:tcPr>
          <w:p w14:paraId="1CFFD19D" w14:textId="77777777" w:rsidR="0077536A" w:rsidRDefault="0077536A" w:rsidP="007F62D8">
            <w:pPr>
              <w:pStyle w:val="TableParagraph"/>
              <w:spacing w:line="220" w:lineRule="exact"/>
              <w:ind w:left="129"/>
              <w:rPr>
                <w:sz w:val="20"/>
              </w:rPr>
            </w:pPr>
            <w:r>
              <w:rPr>
                <w:sz w:val="20"/>
              </w:rPr>
              <w:t>Grade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5</w:t>
            </w:r>
          </w:p>
        </w:tc>
        <w:tc>
          <w:tcPr>
            <w:tcW w:w="1457" w:type="dxa"/>
            <w:shd w:val="clear" w:color="auto" w:fill="DADADA"/>
          </w:tcPr>
          <w:p w14:paraId="1D192770" w14:textId="77777777" w:rsidR="0077536A" w:rsidRDefault="0077536A" w:rsidP="007F62D8">
            <w:pPr>
              <w:pStyle w:val="TableParagraph"/>
              <w:spacing w:line="220" w:lineRule="exact"/>
              <w:ind w:left="98"/>
              <w:rPr>
                <w:sz w:val="20"/>
              </w:rPr>
            </w:pPr>
            <w:r>
              <w:rPr>
                <w:sz w:val="20"/>
              </w:rPr>
              <w:t>Death</w:t>
            </w:r>
          </w:p>
        </w:tc>
        <w:tc>
          <w:tcPr>
            <w:tcW w:w="6320" w:type="dxa"/>
          </w:tcPr>
          <w:p w14:paraId="690ABE64" w14:textId="77777777" w:rsidR="0077536A" w:rsidRDefault="0077536A" w:rsidP="007F62D8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403608F5" w14:textId="77777777" w:rsidR="0077536A" w:rsidRDefault="0077536A" w:rsidP="0077536A">
      <w:pPr>
        <w:pStyle w:val="BodyText"/>
        <w:spacing w:before="9"/>
        <w:rPr>
          <w:rFonts w:ascii="Arial"/>
          <w:i/>
          <w:sz w:val="23"/>
        </w:rPr>
      </w:pPr>
    </w:p>
    <w:p w14:paraId="74026E46" w14:textId="77777777" w:rsidR="0077536A" w:rsidRDefault="0077536A" w:rsidP="0077536A">
      <w:pPr>
        <w:pStyle w:val="BodyText"/>
      </w:pPr>
      <w:r>
        <w:t>The full DAIDS table can be found at this web link:</w:t>
      </w:r>
      <w:r>
        <w:rPr>
          <w:spacing w:val="1"/>
        </w:rPr>
        <w:t xml:space="preserve"> </w:t>
      </w:r>
      <w:hyperlink r:id="rId6">
        <w:r>
          <w:rPr>
            <w:color w:val="9353C3"/>
            <w:spacing w:val="-1"/>
            <w:u w:val="single" w:color="9353C3"/>
          </w:rPr>
          <w:t>https://rsc.niaid.nih.gov/sites/default/files/daidsgradingcorrectedv21.pdf</w:t>
        </w:r>
      </w:hyperlink>
    </w:p>
    <w:p w14:paraId="1C4D7A61" w14:textId="77777777" w:rsidR="0077536A" w:rsidRDefault="0077536A" w:rsidP="0077536A">
      <w:pPr>
        <w:pStyle w:val="BodyText"/>
        <w:spacing w:before="4"/>
        <w:rPr>
          <w:sz w:val="16"/>
        </w:rPr>
      </w:pPr>
    </w:p>
    <w:p w14:paraId="635C93F5" w14:textId="77777777" w:rsidR="0077536A" w:rsidRDefault="0077536A" w:rsidP="0077536A">
      <w:pPr>
        <w:spacing w:before="94" w:line="249" w:lineRule="auto"/>
        <w:ind w:right="2180"/>
        <w:rPr>
          <w:sz w:val="20"/>
        </w:rPr>
      </w:pPr>
      <w:r>
        <w:rPr>
          <w:rFonts w:ascii="Arial"/>
          <w:b/>
        </w:rPr>
        <w:t>Scale for attribution of assessing drug relationship with AE occurrence</w:t>
      </w:r>
      <w:r>
        <w:rPr>
          <w:rFonts w:ascii="Arial"/>
          <w:b/>
          <w:spacing w:val="-59"/>
        </w:rPr>
        <w:t xml:space="preserve"> </w:t>
      </w:r>
      <w:r>
        <w:rPr>
          <w:rFonts w:ascii="Arial"/>
          <w:i/>
          <w:sz w:val="20"/>
        </w:rPr>
        <w:t>Source: WHO TDR</w:t>
      </w:r>
      <w:r>
        <w:rPr>
          <w:rFonts w:ascii="Arial"/>
          <w:i/>
          <w:spacing w:val="2"/>
          <w:sz w:val="20"/>
        </w:rPr>
        <w:t xml:space="preserve"> </w:t>
      </w:r>
      <w:r>
        <w:rPr>
          <w:rFonts w:ascii="Arial"/>
          <w:i/>
          <w:sz w:val="20"/>
        </w:rPr>
        <w:t>Workbook for investigators</w:t>
      </w:r>
      <w:r>
        <w:rPr>
          <w:rFonts w:ascii="Arial"/>
          <w:b/>
          <w:i/>
          <w:sz w:val="20"/>
        </w:rPr>
        <w:t>,</w:t>
      </w:r>
      <w:r>
        <w:rPr>
          <w:rFonts w:ascii="Arial"/>
          <w:b/>
          <w:i/>
          <w:spacing w:val="-2"/>
          <w:sz w:val="20"/>
        </w:rPr>
        <w:t xml:space="preserve"> </w:t>
      </w:r>
      <w:r>
        <w:rPr>
          <w:rFonts w:ascii="Arial"/>
          <w:i/>
          <w:sz w:val="20"/>
        </w:rPr>
        <w:t>2012</w:t>
      </w:r>
      <w:r>
        <w:rPr>
          <w:rFonts w:ascii="Arial"/>
          <w:i/>
          <w:spacing w:val="1"/>
          <w:sz w:val="20"/>
        </w:rPr>
        <w:t xml:space="preserve"> </w:t>
      </w:r>
      <w:hyperlink r:id="rId7">
        <w:r>
          <w:rPr>
            <w:color w:val="0000FF"/>
            <w:sz w:val="20"/>
            <w:u w:val="single" w:color="0000FF"/>
          </w:rPr>
          <w:t>https://www.who.int/tdr/publications/documents/investigator.pdf</w:t>
        </w:r>
      </w:hyperlink>
    </w:p>
    <w:p w14:paraId="71A50B19" w14:textId="77777777" w:rsidR="0077536A" w:rsidRDefault="0077536A" w:rsidP="0077536A">
      <w:pPr>
        <w:pStyle w:val="BodyText"/>
        <w:spacing w:before="8"/>
        <w:rPr>
          <w:sz w:val="21"/>
        </w:rPr>
      </w:pPr>
    </w:p>
    <w:tbl>
      <w:tblPr>
        <w:tblW w:w="0" w:type="auto"/>
        <w:tblInd w:w="60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0"/>
        <w:gridCol w:w="7513"/>
      </w:tblGrid>
      <w:tr w:rsidR="0077536A" w14:paraId="26AE36CD" w14:textId="77777777" w:rsidTr="007F62D8">
        <w:trPr>
          <w:trHeight w:val="258"/>
        </w:trPr>
        <w:tc>
          <w:tcPr>
            <w:tcW w:w="156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ADADA"/>
          </w:tcPr>
          <w:p w14:paraId="63A7A9E7" w14:textId="77777777" w:rsidR="0077536A" w:rsidRDefault="0077536A" w:rsidP="007F62D8">
            <w:pPr>
              <w:pStyle w:val="TableParagraph"/>
              <w:spacing w:before="1"/>
              <w:ind w:left="54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Category</w:t>
            </w:r>
          </w:p>
        </w:tc>
        <w:tc>
          <w:tcPr>
            <w:tcW w:w="751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ADADA"/>
          </w:tcPr>
          <w:p w14:paraId="322DEB72" w14:textId="77777777" w:rsidR="0077536A" w:rsidRDefault="0077536A" w:rsidP="007F62D8">
            <w:pPr>
              <w:pStyle w:val="TableParagraph"/>
              <w:spacing w:before="4"/>
              <w:ind w:left="54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Definition</w:t>
            </w:r>
          </w:p>
        </w:tc>
      </w:tr>
      <w:tr w:rsidR="0077536A" w14:paraId="3C170645" w14:textId="77777777" w:rsidTr="007F62D8">
        <w:trPr>
          <w:trHeight w:val="1388"/>
        </w:trPr>
        <w:tc>
          <w:tcPr>
            <w:tcW w:w="15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14:paraId="04792DC5" w14:textId="77777777" w:rsidR="0077536A" w:rsidRDefault="0077536A" w:rsidP="007F62D8">
            <w:pPr>
              <w:pStyle w:val="TableParagraph"/>
              <w:spacing w:before="2"/>
              <w:rPr>
                <w:sz w:val="31"/>
              </w:rPr>
            </w:pPr>
          </w:p>
          <w:p w14:paraId="37DD8322" w14:textId="77777777" w:rsidR="0077536A" w:rsidRDefault="0077536A" w:rsidP="007F62D8">
            <w:pPr>
              <w:pStyle w:val="TableParagraph"/>
              <w:ind w:left="167"/>
              <w:rPr>
                <w:sz w:val="20"/>
              </w:rPr>
            </w:pPr>
            <w:r>
              <w:rPr>
                <w:sz w:val="20"/>
              </w:rPr>
              <w:t>Definite</w:t>
            </w:r>
          </w:p>
        </w:tc>
        <w:tc>
          <w:tcPr>
            <w:tcW w:w="751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FC7B67" w14:textId="77777777" w:rsidR="0077536A" w:rsidRDefault="0077536A" w:rsidP="007F62D8">
            <w:pPr>
              <w:pStyle w:val="TableParagraph"/>
              <w:spacing w:before="119"/>
              <w:ind w:left="180" w:right="119"/>
              <w:rPr>
                <w:sz w:val="20"/>
              </w:rPr>
            </w:pPr>
            <w:r>
              <w:rPr>
                <w:sz w:val="20"/>
              </w:rPr>
              <w:t>Events occurring within a timely manner after administration of the drug(s); that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are known sequela to the administration of the drug(s) and follow a previously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documented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pattern 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reaction,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but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which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other explanation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known.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This</w:t>
            </w:r>
            <w:r>
              <w:rPr>
                <w:spacing w:val="-52"/>
                <w:sz w:val="20"/>
              </w:rPr>
              <w:t xml:space="preserve"> </w:t>
            </w:r>
            <w:r>
              <w:rPr>
                <w:sz w:val="20"/>
              </w:rPr>
              <w:t>category applies to ADRs that the PI believes are incontrovertibly related to 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treatment.</w:t>
            </w:r>
          </w:p>
        </w:tc>
      </w:tr>
      <w:tr w:rsidR="0077536A" w14:paraId="1DB4DC96" w14:textId="77777777" w:rsidTr="007F62D8">
        <w:trPr>
          <w:trHeight w:val="1391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14:paraId="5A585577" w14:textId="77777777" w:rsidR="0077536A" w:rsidRDefault="0077536A" w:rsidP="007F62D8">
            <w:pPr>
              <w:pStyle w:val="TableParagraph"/>
              <w:spacing w:before="7"/>
              <w:rPr>
                <w:sz w:val="31"/>
              </w:rPr>
            </w:pPr>
          </w:p>
          <w:p w14:paraId="09D38C40" w14:textId="77777777" w:rsidR="0077536A" w:rsidRDefault="0077536A" w:rsidP="007F62D8">
            <w:pPr>
              <w:pStyle w:val="TableParagraph"/>
              <w:ind w:left="167"/>
              <w:rPr>
                <w:sz w:val="20"/>
              </w:rPr>
            </w:pPr>
            <w:r>
              <w:rPr>
                <w:sz w:val="20"/>
              </w:rPr>
              <w:t>Probable</w:t>
            </w:r>
          </w:p>
        </w:tc>
        <w:tc>
          <w:tcPr>
            <w:tcW w:w="7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B83ACF" w14:textId="77777777" w:rsidR="0077536A" w:rsidRDefault="0077536A" w:rsidP="007F62D8">
            <w:pPr>
              <w:pStyle w:val="TableParagraph"/>
              <w:spacing w:before="119"/>
              <w:ind w:left="180"/>
              <w:rPr>
                <w:sz w:val="20"/>
              </w:rPr>
            </w:pPr>
            <w:r>
              <w:rPr>
                <w:sz w:val="20"/>
              </w:rPr>
              <w:t>Any event occurring in a timely manner after administration of the drug(s); that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follows a known pattern of reaction to the drug(s); and for which no other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explanation is known. This category applies to ADRs that, after careful medical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consideration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time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evaluated,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believed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 high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degree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certainty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related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drug(s).</w:t>
            </w:r>
          </w:p>
        </w:tc>
      </w:tr>
      <w:tr w:rsidR="0077536A" w14:paraId="68A119CD" w14:textId="77777777" w:rsidTr="007F62D8">
        <w:trPr>
          <w:trHeight w:val="1389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14:paraId="3E7F219C" w14:textId="77777777" w:rsidR="0077536A" w:rsidRDefault="0077536A" w:rsidP="007F62D8">
            <w:pPr>
              <w:pStyle w:val="TableParagraph"/>
            </w:pPr>
          </w:p>
          <w:p w14:paraId="2E394393" w14:textId="77777777" w:rsidR="0077536A" w:rsidRDefault="0077536A" w:rsidP="007F62D8">
            <w:pPr>
              <w:pStyle w:val="TableParagraph"/>
              <w:spacing w:before="9"/>
              <w:rPr>
                <w:sz w:val="17"/>
              </w:rPr>
            </w:pPr>
          </w:p>
          <w:p w14:paraId="65E23970" w14:textId="77777777" w:rsidR="0077536A" w:rsidRDefault="0077536A" w:rsidP="007F62D8">
            <w:pPr>
              <w:pStyle w:val="TableParagraph"/>
              <w:spacing w:before="1"/>
              <w:ind w:left="167"/>
              <w:rPr>
                <w:sz w:val="20"/>
              </w:rPr>
            </w:pPr>
            <w:r>
              <w:rPr>
                <w:sz w:val="20"/>
              </w:rPr>
              <w:t>Possible</w:t>
            </w:r>
          </w:p>
        </w:tc>
        <w:tc>
          <w:tcPr>
            <w:tcW w:w="7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C27221" w14:textId="77777777" w:rsidR="0077536A" w:rsidRDefault="0077536A" w:rsidP="007F62D8">
            <w:pPr>
              <w:pStyle w:val="TableParagraph"/>
              <w:spacing w:before="120"/>
              <w:ind w:left="180" w:right="171"/>
              <w:rPr>
                <w:sz w:val="20"/>
              </w:rPr>
            </w:pPr>
            <w:r>
              <w:rPr>
                <w:sz w:val="20"/>
              </w:rPr>
              <w:t>Any event occurring in a timely manner after administration of the drug(s) that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does not follow a known pattern of reaction and for which no other explanation is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known.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This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category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applies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ADRs that,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after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careful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medical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consideration at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the time they are evaluated, are considered unlikely to be related but that cannot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ruled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out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certainty.</w:t>
            </w:r>
          </w:p>
        </w:tc>
      </w:tr>
      <w:tr w:rsidR="0077536A" w14:paraId="3E1EE8C6" w14:textId="77777777" w:rsidTr="007F62D8">
        <w:trPr>
          <w:trHeight w:val="930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14:paraId="0767C80F" w14:textId="77777777" w:rsidR="0077536A" w:rsidRDefault="0077536A" w:rsidP="007F62D8">
            <w:pPr>
              <w:pStyle w:val="TableParagraph"/>
              <w:spacing w:before="6"/>
              <w:rPr>
                <w:sz w:val="20"/>
              </w:rPr>
            </w:pPr>
          </w:p>
          <w:p w14:paraId="3372A138" w14:textId="77777777" w:rsidR="0077536A" w:rsidRDefault="0077536A" w:rsidP="007F62D8">
            <w:pPr>
              <w:pStyle w:val="TableParagraph"/>
              <w:spacing w:before="1"/>
              <w:ind w:left="167"/>
              <w:rPr>
                <w:sz w:val="20"/>
              </w:rPr>
            </w:pPr>
            <w:r>
              <w:rPr>
                <w:sz w:val="20"/>
              </w:rPr>
              <w:t>Unlikely</w:t>
            </w:r>
          </w:p>
        </w:tc>
        <w:tc>
          <w:tcPr>
            <w:tcW w:w="7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9FBCE8" w14:textId="77777777" w:rsidR="0077536A" w:rsidRDefault="0077536A" w:rsidP="007F62D8">
            <w:pPr>
              <w:pStyle w:val="TableParagraph"/>
              <w:spacing w:before="119"/>
              <w:ind w:left="180" w:right="106"/>
              <w:rPr>
                <w:sz w:val="20"/>
              </w:rPr>
            </w:pPr>
            <w:r>
              <w:rPr>
                <w:sz w:val="20"/>
              </w:rPr>
              <w:t>In general, this category can be considered applicable to those ADRs that, after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careful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medical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consideration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at 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time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are evaluated,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considered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unrelated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administration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drug(s).</w:t>
            </w:r>
          </w:p>
        </w:tc>
      </w:tr>
      <w:tr w:rsidR="0077536A" w14:paraId="7CD08320" w14:textId="77777777" w:rsidTr="007F62D8">
        <w:trPr>
          <w:trHeight w:val="1389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14:paraId="42D4BB43" w14:textId="77777777" w:rsidR="0077536A" w:rsidRDefault="0077536A" w:rsidP="007F62D8">
            <w:pPr>
              <w:pStyle w:val="TableParagraph"/>
            </w:pPr>
          </w:p>
          <w:p w14:paraId="7620D02E" w14:textId="77777777" w:rsidR="0077536A" w:rsidRDefault="0077536A" w:rsidP="007F62D8">
            <w:pPr>
              <w:pStyle w:val="TableParagraph"/>
              <w:rPr>
                <w:sz w:val="18"/>
              </w:rPr>
            </w:pPr>
          </w:p>
          <w:p w14:paraId="63DF628E" w14:textId="77777777" w:rsidR="0077536A" w:rsidRDefault="0077536A" w:rsidP="007F62D8">
            <w:pPr>
              <w:pStyle w:val="TableParagraph"/>
              <w:ind w:left="167"/>
              <w:rPr>
                <w:sz w:val="20"/>
              </w:rPr>
            </w:pPr>
            <w:r>
              <w:rPr>
                <w:sz w:val="20"/>
              </w:rPr>
              <w:t>Not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related</w:t>
            </w:r>
          </w:p>
        </w:tc>
        <w:tc>
          <w:tcPr>
            <w:tcW w:w="7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D4C685" w14:textId="77777777" w:rsidR="0077536A" w:rsidRDefault="0077536A" w:rsidP="007F62D8">
            <w:pPr>
              <w:pStyle w:val="TableParagraph"/>
              <w:spacing w:before="119"/>
              <w:ind w:left="180" w:right="14"/>
              <w:rPr>
                <w:sz w:val="20"/>
              </w:rPr>
            </w:pPr>
            <w:r>
              <w:rPr>
                <w:sz w:val="20"/>
              </w:rPr>
              <w:t>Any ADRs for which there is evidence that an alternative aetiology exists or for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which no timely relationship exists to the administration of the drug(s) and 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ADRs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does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not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follow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previously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documented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pattern.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This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category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applies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52"/>
                <w:sz w:val="20"/>
              </w:rPr>
              <w:t xml:space="preserve"> </w:t>
            </w:r>
            <w:r>
              <w:rPr>
                <w:sz w:val="20"/>
              </w:rPr>
              <w:t>those ADRs that, after careful medical consideration, are clearly and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incontrovertibly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due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causes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other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than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the drug(s).</w:t>
            </w:r>
          </w:p>
        </w:tc>
      </w:tr>
      <w:tr w:rsidR="0077536A" w14:paraId="1189902C" w14:textId="77777777" w:rsidTr="007F62D8">
        <w:trPr>
          <w:trHeight w:val="491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14:paraId="66436646" w14:textId="77777777" w:rsidR="0077536A" w:rsidRDefault="0077536A" w:rsidP="007F62D8">
            <w:pPr>
              <w:pStyle w:val="TableParagraph"/>
              <w:spacing w:line="240" w:lineRule="atLeast"/>
              <w:ind w:left="167" w:right="85"/>
              <w:rPr>
                <w:sz w:val="20"/>
              </w:rPr>
            </w:pPr>
            <w:r>
              <w:rPr>
                <w:sz w:val="20"/>
              </w:rPr>
              <w:t>Insufficient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data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assess</w:t>
            </w:r>
          </w:p>
        </w:tc>
        <w:tc>
          <w:tcPr>
            <w:tcW w:w="7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B76AD0" w14:textId="77777777" w:rsidR="0077536A" w:rsidRDefault="0077536A" w:rsidP="007F62D8">
            <w:pPr>
              <w:pStyle w:val="TableParagraph"/>
              <w:spacing w:before="1"/>
              <w:ind w:left="175" w:right="445"/>
              <w:rPr>
                <w:sz w:val="20"/>
              </w:rPr>
            </w:pPr>
            <w:r>
              <w:rPr>
                <w:sz w:val="20"/>
              </w:rPr>
              <w:t>There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is insufficient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about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ADRs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allow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assessment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causality.</w:t>
            </w:r>
          </w:p>
        </w:tc>
      </w:tr>
    </w:tbl>
    <w:p w14:paraId="656C9CF5" w14:textId="77777777" w:rsidR="0077536A" w:rsidRPr="000022FC" w:rsidRDefault="0077536A" w:rsidP="0077536A">
      <w:pPr>
        <w:spacing w:line="360" w:lineRule="auto"/>
        <w:jc w:val="both"/>
        <w:rPr>
          <w:rFonts w:asciiTheme="minorBidi" w:hAnsiTheme="minorBidi"/>
          <w:sz w:val="24"/>
          <w:szCs w:val="24"/>
        </w:rPr>
      </w:pPr>
    </w:p>
    <w:p w14:paraId="5D4FED23" w14:textId="77777777" w:rsidR="00F553FF" w:rsidRDefault="00F553FF"/>
    <w:sectPr w:rsidR="00F553FF" w:rsidSect="0077536A">
      <w:type w:val="continuous"/>
      <w:pgSz w:w="12240" w:h="15840"/>
      <w:pgMar w:top="1440" w:right="1080" w:bottom="1440" w:left="108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4619936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2CE4CF5" w14:textId="77777777" w:rsidR="00000000" w:rsidRDefault="00000000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14:paraId="0F6B0057" w14:textId="77777777" w:rsidR="00000000" w:rsidRDefault="0000000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746E98"/>
    <w:multiLevelType w:val="hybridMultilevel"/>
    <w:tmpl w:val="2B50E58A"/>
    <w:lvl w:ilvl="0" w:tplc="77E62F9C">
      <w:numFmt w:val="bullet"/>
      <w:lvlText w:val=""/>
      <w:lvlJc w:val="left"/>
      <w:pPr>
        <w:ind w:left="927" w:hanging="363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FA1E1250">
      <w:numFmt w:val="bullet"/>
      <w:lvlText w:val="•"/>
      <w:lvlJc w:val="left"/>
      <w:pPr>
        <w:ind w:left="1973" w:hanging="363"/>
      </w:pPr>
      <w:rPr>
        <w:rFonts w:hint="default"/>
        <w:lang w:val="en-US" w:eastAsia="en-US" w:bidi="ar-SA"/>
      </w:rPr>
    </w:lvl>
    <w:lvl w:ilvl="2" w:tplc="E112FA8C">
      <w:numFmt w:val="bullet"/>
      <w:lvlText w:val="•"/>
      <w:lvlJc w:val="left"/>
      <w:pPr>
        <w:ind w:left="3027" w:hanging="363"/>
      </w:pPr>
      <w:rPr>
        <w:rFonts w:hint="default"/>
        <w:lang w:val="en-US" w:eastAsia="en-US" w:bidi="ar-SA"/>
      </w:rPr>
    </w:lvl>
    <w:lvl w:ilvl="3" w:tplc="8B62A236">
      <w:numFmt w:val="bullet"/>
      <w:lvlText w:val="•"/>
      <w:lvlJc w:val="left"/>
      <w:pPr>
        <w:ind w:left="4081" w:hanging="363"/>
      </w:pPr>
      <w:rPr>
        <w:rFonts w:hint="default"/>
        <w:lang w:val="en-US" w:eastAsia="en-US" w:bidi="ar-SA"/>
      </w:rPr>
    </w:lvl>
    <w:lvl w:ilvl="4" w:tplc="930E2470">
      <w:numFmt w:val="bullet"/>
      <w:lvlText w:val="•"/>
      <w:lvlJc w:val="left"/>
      <w:pPr>
        <w:ind w:left="5135" w:hanging="363"/>
      </w:pPr>
      <w:rPr>
        <w:rFonts w:hint="default"/>
        <w:lang w:val="en-US" w:eastAsia="en-US" w:bidi="ar-SA"/>
      </w:rPr>
    </w:lvl>
    <w:lvl w:ilvl="5" w:tplc="2A6CD43C">
      <w:numFmt w:val="bullet"/>
      <w:lvlText w:val="•"/>
      <w:lvlJc w:val="left"/>
      <w:pPr>
        <w:ind w:left="6189" w:hanging="363"/>
      </w:pPr>
      <w:rPr>
        <w:rFonts w:hint="default"/>
        <w:lang w:val="en-US" w:eastAsia="en-US" w:bidi="ar-SA"/>
      </w:rPr>
    </w:lvl>
    <w:lvl w:ilvl="6" w:tplc="787CCBD8">
      <w:numFmt w:val="bullet"/>
      <w:lvlText w:val="•"/>
      <w:lvlJc w:val="left"/>
      <w:pPr>
        <w:ind w:left="7243" w:hanging="363"/>
      </w:pPr>
      <w:rPr>
        <w:rFonts w:hint="default"/>
        <w:lang w:val="en-US" w:eastAsia="en-US" w:bidi="ar-SA"/>
      </w:rPr>
    </w:lvl>
    <w:lvl w:ilvl="7" w:tplc="CCBA8412">
      <w:numFmt w:val="bullet"/>
      <w:lvlText w:val="•"/>
      <w:lvlJc w:val="left"/>
      <w:pPr>
        <w:ind w:left="8297" w:hanging="363"/>
      </w:pPr>
      <w:rPr>
        <w:rFonts w:hint="default"/>
        <w:lang w:val="en-US" w:eastAsia="en-US" w:bidi="ar-SA"/>
      </w:rPr>
    </w:lvl>
    <w:lvl w:ilvl="8" w:tplc="21984632">
      <w:numFmt w:val="bullet"/>
      <w:lvlText w:val="•"/>
      <w:lvlJc w:val="left"/>
      <w:pPr>
        <w:ind w:left="9351" w:hanging="363"/>
      </w:pPr>
      <w:rPr>
        <w:rFonts w:hint="default"/>
        <w:lang w:val="en-US" w:eastAsia="en-US" w:bidi="ar-SA"/>
      </w:rPr>
    </w:lvl>
  </w:abstractNum>
  <w:num w:numId="1" w16cid:durableId="391471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36A"/>
    <w:rsid w:val="002753BA"/>
    <w:rsid w:val="003C2EF4"/>
    <w:rsid w:val="0077536A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C3EABC"/>
  <w15:chartTrackingRefBased/>
  <w15:docId w15:val="{E7A91F52-64D4-41A3-B919-E613A7AC0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536A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53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53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53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53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53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53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53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53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53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53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53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53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53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53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53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53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53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53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53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53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53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53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53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53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53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53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53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53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536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753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536A"/>
    <w:rPr>
      <w:kern w:val="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77536A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paragraph" w:styleId="BodyText">
    <w:name w:val="Body Text"/>
    <w:basedOn w:val="Normal"/>
    <w:link w:val="BodyTextChar"/>
    <w:uiPriority w:val="1"/>
    <w:qFormat/>
    <w:rsid w:val="0077536A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character" w:customStyle="1" w:styleId="BodyTextChar">
    <w:name w:val="Body Text Char"/>
    <w:basedOn w:val="DefaultParagraphFont"/>
    <w:link w:val="BodyText"/>
    <w:uiPriority w:val="1"/>
    <w:rsid w:val="0077536A"/>
    <w:rPr>
      <w:rFonts w:ascii="Arial MT" w:eastAsia="Arial MT" w:hAnsi="Arial MT" w:cs="Arial MT"/>
      <w:kern w:val="0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7753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who.int/tdr/publications/documents/investigator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sc.niaid.nih.gov/sites/default/files/daidsgradingcorrectedv21.pdf" TargetMode="Externa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643</Words>
  <Characters>3669</Characters>
  <Application>Microsoft Office Word</Application>
  <DocSecurity>0</DocSecurity>
  <Lines>30</Lines>
  <Paragraphs>8</Paragraphs>
  <ScaleCrop>false</ScaleCrop>
  <Company>Springer Nature</Company>
  <LinksUpToDate>false</LinksUpToDate>
  <CharactersWithSpaces>4304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2025-03-14T06:46:00Z</dcterms:created>
  <dcterms:modified xsi:type="dcterms:W3CDTF">2025-03-14T06:47:00Z</dcterms:modified>
</cp:coreProperties>
</file>