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sz w:val="22"/>
        </w:rPr>
      </w:pPr>
      <w:r>
        <w:rPr>
          <w:rFonts w:ascii="Times New Roman" w:hAnsi="Times New Roman" w:eastAsia="宋体" w:cs="Times New Roman"/>
          <w:sz w:val="22"/>
        </w:rPr>
        <w:t>Table S1  RT-PCR primers used in the quantitative assay</w:t>
      </w:r>
      <w:bookmarkStart w:id="0" w:name="_GoBack"/>
      <w:bookmarkEnd w:id="0"/>
    </w:p>
    <w:tbl>
      <w:tblPr>
        <w:tblStyle w:val="4"/>
        <w:tblW w:w="8789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5"/>
        <w:gridCol w:w="2410"/>
        <w:gridCol w:w="1260"/>
        <w:gridCol w:w="31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Functional category</w:t>
            </w:r>
          </w:p>
        </w:tc>
        <w:tc>
          <w:tcPr>
            <w:tcW w:w="2410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Target gene</w:t>
            </w:r>
          </w:p>
        </w:tc>
        <w:tc>
          <w:tcPr>
            <w:tcW w:w="1260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Primer</w:t>
            </w:r>
          </w:p>
        </w:tc>
        <w:tc>
          <w:tcPr>
            <w:tcW w:w="3134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Sequence (5' to 3’)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restar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Cell cycle</w:t>
            </w:r>
          </w:p>
        </w:tc>
        <w:tc>
          <w:tcPr>
            <w:tcW w:w="241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sox2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167bp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hint="default" w:ascii="Times New Roman" w:hAnsi="Times New Roman" w:cs="Times New Roman" w:eastAsiaTheme="minorEastAsia"/>
                <w:color w:val="3B3B3B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GCAGCAAACTTCAGGGGG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hint="default" w:ascii="Times New Roman" w:hAnsi="Times New Roman" w:cs="Times New Roman" w:eastAsiaTheme="minorEastAsia"/>
                <w:color w:val="3B3B3B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TGTGCATCTTGGGGTTCTCTT</w:t>
            </w: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sox17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147bp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GAGTCGCTGAGTCCCCTCG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CTCGTCCTTAGCCCACACCAT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ccna1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273bp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AGTGCTGGCTCCAGTGTCC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CCCTGCTCGGGCTCATCC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ccna2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282bp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TCGGCGTTGCTAACATTGC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CTCTTCTTCTGCTTCATCCACA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ccnb1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208bp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CAGTGCTCTGCTTCTCCC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CTTTGTTACCGATGTCTCCA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ccnb2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208bp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TACTTGTCCCGCCCAGCA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TGAGGGTTTTCCCCATCTTC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Immune response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IL-6   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177bp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ATCAGGAGACCTGCTTGATG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TGGTGGCTTTGTCTGGATTC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IL-8   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100bp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TCCTGCTTTCTGCAGCTCTC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GGGTGGAAAGGTGTGGAATG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CSF2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263bp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TCCTGGGCACTGTGGTCT</w:t>
            </w: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AGTCAAGGGGCTCTTGAGC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JNK1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364bp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TCTTGACTTTGGACTGGC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TTTGTTGTGCTCCGAATC </w:t>
            </w: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CXCL2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248bp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CCAAACGGAAGTCATAGC</w:t>
            </w: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GAAATCTCATAAGAAGTAGCC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STAT3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275bp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CGCCACTTTGGTGTTTCA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GCATCTGCTGCTTCTCTGTC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Oxidative stress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DUOX1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275bp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CAGAACCGCCAGAGTATCAT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TCCTCCTCCAGGTCAAACA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DUOX2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313bp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GGGAGCCACTGCTACCTAA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CAGCCCGTCACCTCGTTG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SOD1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175bp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GCCTCTCCCGCTGCTTCT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GCCAGTCCTTTAATGGTTCC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GPX1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259bp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GTGTATGCCTTCTCTGCG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</w:rPr>
              <w:t>CTGGTCGGACGTACTTGA</w:t>
            </w: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Internal control 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GAPDH  170bp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CTTCACGACCATGGAGAAGG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CCAAGCAGTTGGTGGTACAG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  <w:t>β-actin  100bp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orward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CACGCCATCCTGCGTCTGGA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ind w:firstLine="400"/>
              <w:rPr>
                <w:rFonts w:ascii="Times New Roman" w:hAnsi="Times New Roman" w:cs="Times New Roman"/>
                <w:i/>
                <w:iCs/>
                <w:color w:val="3B3B3B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6"/>
              <w:ind w:firstLine="400" w:firstLineChars="2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cs="Times New Roman"/>
                <w:color w:val="3B3B3B"/>
                <w:kern w:val="0"/>
                <w:sz w:val="20"/>
                <w:szCs w:val="20"/>
                <w:lang w:val="en-US" w:eastAsia="zh-CN"/>
              </w:rPr>
              <w:t>everse</w:t>
            </w:r>
          </w:p>
        </w:tc>
        <w:tc>
          <w:tcPr>
            <w:tcW w:w="31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  <w:ind w:firstLine="400"/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 w:val="20"/>
                <w:szCs w:val="20"/>
              </w:rPr>
              <w:t xml:space="preserve">AGCACCGTGTTGGCGTAGAG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61E"/>
    <w:rsid w:val="00186F5F"/>
    <w:rsid w:val="0059155A"/>
    <w:rsid w:val="006D0B8A"/>
    <w:rsid w:val="00BC2AD3"/>
    <w:rsid w:val="00BD461E"/>
    <w:rsid w:val="0A873D53"/>
    <w:rsid w:val="41B0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1141</Characters>
  <Lines>9</Lines>
  <Paragraphs>2</Paragraphs>
  <TotalTime>0</TotalTime>
  <ScaleCrop>false</ScaleCrop>
  <LinksUpToDate>false</LinksUpToDate>
  <CharactersWithSpaces>1339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2017-11-08T13:42:00Z</dcterms:created>
  <dc:creator>xie</dc:creator>
  <cp:lastModifiedBy>小星</cp:lastModifiedBy>
  <dcterms:modified xsi:type="dcterms:W3CDTF">2020-05-05T13:14:32Z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