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Arial" w:hAnsi="Arial" w:cs="Arial"/>
          <w:bCs/>
          <w:sz w:val="22"/>
          <w:szCs w:val="22"/>
        </w:rPr>
      </w:pPr>
      <w:bookmarkStart w:id="0" w:name="_GoBack"/>
      <w:r>
        <w:rPr>
          <w:rFonts w:hint="default" w:ascii="Arial" w:hAnsi="Arial" w:eastAsia="宋体" w:cs="Arial"/>
          <w:bCs/>
          <w:color w:val="000000"/>
          <w:kern w:val="0"/>
          <w:sz w:val="22"/>
          <w:szCs w:val="22"/>
          <w:lang w:bidi="ar"/>
        </w:rPr>
        <w:t xml:space="preserve">Additional file </w:t>
      </w:r>
      <w:r>
        <w:rPr>
          <w:rFonts w:hint="eastAsia" w:ascii="Arial" w:hAnsi="Arial" w:eastAsia="宋体" w:cs="Arial"/>
          <w:bCs/>
          <w:color w:val="000000"/>
          <w:kern w:val="0"/>
          <w:sz w:val="22"/>
          <w:szCs w:val="22"/>
          <w:lang w:val="en-US" w:eastAsia="zh-CN" w:bidi="ar"/>
        </w:rPr>
        <w:t>4</w:t>
      </w:r>
      <w:r>
        <w:rPr>
          <w:rFonts w:ascii="Arial" w:hAnsi="Arial" w:eastAsia="宋体" w:cs="Arial"/>
          <w:bCs/>
          <w:color w:val="000000"/>
          <w:kern w:val="0"/>
          <w:sz w:val="22"/>
          <w:szCs w:val="22"/>
          <w:lang w:bidi="ar"/>
        </w:rPr>
        <w:t>. S</w:t>
      </w:r>
      <w:bookmarkEnd w:id="0"/>
      <w:r>
        <w:rPr>
          <w:rFonts w:ascii="Arial" w:hAnsi="Arial" w:eastAsia="宋体" w:cs="Arial"/>
          <w:bCs/>
          <w:color w:val="000000"/>
          <w:kern w:val="0"/>
          <w:sz w:val="22"/>
          <w:szCs w:val="22"/>
          <w:lang w:bidi="ar"/>
        </w:rPr>
        <w:t xml:space="preserve">ensitivity analysis of the meta-analysis comparing the random and fixed models </w:t>
      </w:r>
    </w:p>
    <w:tbl>
      <w:tblPr>
        <w:tblStyle w:val="3"/>
        <w:tblW w:w="0" w:type="auto"/>
        <w:tblInd w:w="-13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327"/>
        <w:gridCol w:w="1677"/>
        <w:gridCol w:w="1123"/>
        <w:gridCol w:w="240"/>
        <w:gridCol w:w="1673"/>
        <w:gridCol w:w="1764"/>
        <w:gridCol w:w="127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24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Comparison</w:t>
            </w:r>
          </w:p>
        </w:tc>
        <w:tc>
          <w:tcPr>
            <w:tcW w:w="41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Random effects model</w:t>
            </w:r>
          </w:p>
        </w:tc>
        <w:tc>
          <w:tcPr>
            <w:tcW w:w="240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0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Fixed effects model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2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Effect size</w:t>
            </w: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95% CI</w:t>
            </w:r>
          </w:p>
        </w:tc>
        <w:tc>
          <w:tcPr>
            <w:tcW w:w="11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-value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Effect size</w:t>
            </w:r>
          </w:p>
        </w:tc>
        <w:tc>
          <w:tcPr>
            <w:tcW w:w="17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95% CI</w:t>
            </w:r>
          </w:p>
        </w:tc>
        <w:tc>
          <w:tcPr>
            <w:tcW w:w="12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CEC</w:t>
            </w:r>
          </w:p>
        </w:tc>
        <w:tc>
          <w:tcPr>
            <w:tcW w:w="132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-0.12*</w:t>
            </w:r>
          </w:p>
        </w:tc>
        <w:tc>
          <w:tcPr>
            <w:tcW w:w="167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0.16, 0.01</w:t>
            </w:r>
          </w:p>
        </w:tc>
        <w:tc>
          <w:tcPr>
            <w:tcW w:w="112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0.813</w:t>
            </w:r>
          </w:p>
        </w:tc>
        <w:tc>
          <w:tcPr>
            <w:tcW w:w="24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0.02*</w:t>
            </w:r>
          </w:p>
        </w:tc>
        <w:tc>
          <w:tcPr>
            <w:tcW w:w="176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-0.12, 0.16</w:t>
            </w:r>
          </w:p>
        </w:tc>
        <w:tc>
          <w:tcPr>
            <w:tcW w:w="127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0.813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HDL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-3.98**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-8.32, 0.37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0.073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-5.21**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-7.69, -2.72</w:t>
            </w:r>
          </w:p>
        </w:tc>
        <w:tc>
          <w:tcPr>
            <w:tcW w:w="12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CRP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1.26*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0.34, 2.18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0.007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0.99*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0.84, 1.15</w:t>
            </w:r>
          </w:p>
        </w:tc>
        <w:tc>
          <w:tcPr>
            <w:tcW w:w="12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decimal" w:pos="210"/>
              </w:tabs>
              <w:spacing w:line="480" w:lineRule="auto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</w:tbl>
    <w:p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*: Standard mean difference; **: mean difference; CI: Confidence interval; CEC, cholesterol efflux capacity; HDL, high-density lipoprotein; CRP: C-reactive protein.</w:t>
      </w:r>
    </w:p>
    <w:p>
      <w:pPr>
        <w:spacing w:line="480" w:lineRule="auto"/>
        <w:rPr>
          <w:rFonts w:ascii="Arial" w:hAnsi="Arial" w:cs="Arial"/>
          <w:sz w:val="22"/>
          <w:szCs w:val="22"/>
        </w:rPr>
      </w:pPr>
    </w:p>
    <w:p>
      <w:pPr>
        <w:spacing w:line="480" w:lineRule="auto"/>
        <w:rPr>
          <w:rFonts w:ascii="Arial" w:hAnsi="Arial" w:cs="Arial"/>
          <w:sz w:val="22"/>
          <w:szCs w:val="2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F34C2"/>
    <w:rsid w:val="176C446C"/>
    <w:rsid w:val="457B07F2"/>
    <w:rsid w:val="65EF34C2"/>
    <w:rsid w:val="6871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2020-07-21T02:54:00Z</dcterms:created>
  <dc:creator>Om Bir</dc:creator>
  <cp:lastModifiedBy>xujianmin</cp:lastModifiedBy>
  <dcterms:modified xsi:type="dcterms:W3CDTF">2020-08-18T08:39:29Z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