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ascii="Arial" w:hAnsi="Arial" w:cs="Arial"/>
          <w:bCs/>
          <w:sz w:val="22"/>
          <w:szCs w:val="22"/>
        </w:rPr>
      </w:pPr>
      <w:bookmarkStart w:id="0" w:name="_GoBack"/>
      <w:r>
        <w:rPr>
          <w:rFonts w:hint="default" w:ascii="Arial" w:hAnsi="Arial" w:eastAsia="宋体" w:cs="Arial"/>
          <w:bCs/>
          <w:color w:val="000000"/>
          <w:kern w:val="0"/>
          <w:sz w:val="22"/>
          <w:szCs w:val="22"/>
          <w:lang w:bidi="ar"/>
        </w:rPr>
        <w:t xml:space="preserve">Additional file </w:t>
      </w:r>
      <w:r>
        <w:rPr>
          <w:rFonts w:hint="eastAsia" w:ascii="Arial" w:hAnsi="Arial" w:eastAsia="宋体" w:cs="Arial"/>
          <w:bCs/>
          <w:color w:val="000000"/>
          <w:kern w:val="0"/>
          <w:sz w:val="22"/>
          <w:szCs w:val="22"/>
          <w:lang w:val="en-US" w:eastAsia="zh-CN" w:bidi="ar"/>
        </w:rPr>
        <w:t>3</w:t>
      </w:r>
      <w:r>
        <w:rPr>
          <w:rFonts w:ascii="Arial" w:hAnsi="Arial" w:eastAsia="宋体" w:cs="Arial"/>
          <w:bCs/>
          <w:color w:val="000000"/>
          <w:kern w:val="0"/>
          <w:sz w:val="22"/>
          <w:szCs w:val="22"/>
          <w:lang w:bidi="ar"/>
        </w:rPr>
        <w:t>. Subg</w:t>
      </w:r>
      <w:bookmarkEnd w:id="0"/>
      <w:r>
        <w:rPr>
          <w:rFonts w:ascii="Arial" w:hAnsi="Arial" w:eastAsia="宋体" w:cs="Arial"/>
          <w:bCs/>
          <w:color w:val="000000"/>
          <w:kern w:val="0"/>
          <w:sz w:val="22"/>
          <w:szCs w:val="22"/>
          <w:lang w:bidi="ar"/>
        </w:rPr>
        <w:t>roups analyses for the change of CEC and HDL-C levels</w:t>
      </w:r>
    </w:p>
    <w:tbl>
      <w:tblPr>
        <w:tblStyle w:val="3"/>
        <w:tblW w:w="156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238"/>
        <w:gridCol w:w="989"/>
        <w:gridCol w:w="1613"/>
        <w:gridCol w:w="1072"/>
        <w:gridCol w:w="845"/>
        <w:gridCol w:w="1410"/>
        <w:gridCol w:w="240"/>
        <w:gridCol w:w="1182"/>
        <w:gridCol w:w="1086"/>
        <w:gridCol w:w="1650"/>
        <w:gridCol w:w="1064"/>
        <w:gridCol w:w="822"/>
        <w:gridCol w:w="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476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Subgroups</w:t>
            </w:r>
          </w:p>
        </w:tc>
        <w:tc>
          <w:tcPr>
            <w:tcW w:w="7167" w:type="dxa"/>
            <w:gridSpan w:val="6"/>
            <w:tcBorders>
              <w:top w:val="single" w:color="auto" w:sz="12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CEC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4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6757" w:type="dxa"/>
            <w:gridSpan w:val="6"/>
            <w:tcBorders>
              <w:top w:val="single" w:color="auto" w:sz="12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HDL-C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2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patients</w:t>
            </w:r>
          </w:p>
        </w:tc>
        <w:tc>
          <w:tcPr>
            <w:tcW w:w="98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studies</w:t>
            </w:r>
          </w:p>
        </w:tc>
        <w:tc>
          <w:tcPr>
            <w:tcW w:w="16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SMD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(95% CI)</w:t>
            </w:r>
          </w:p>
        </w:tc>
        <w:tc>
          <w:tcPr>
            <w:tcW w:w="10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eastAsia="宋体" w:cs="Arial"/>
                <w:i/>
                <w:iCs/>
                <w:sz w:val="22"/>
                <w:szCs w:val="22"/>
                <w:vertAlign w:val="superscript"/>
              </w:rPr>
              <w:t>e</w:t>
            </w:r>
          </w:p>
        </w:tc>
        <w:tc>
          <w:tcPr>
            <w:tcW w:w="8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I</w:t>
            </w:r>
            <w:r>
              <w:rPr>
                <w:rFonts w:ascii="Arial" w:hAnsi="Arial" w:eastAsia="Times New Roman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4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eastAsia="宋体" w:cs="Arial"/>
                <w:i/>
                <w:iCs/>
                <w:sz w:val="22"/>
                <w:szCs w:val="22"/>
                <w:vertAlign w:val="superscript"/>
              </w:rPr>
              <w:t>f</w:t>
            </w:r>
            <w:r>
              <w:rPr>
                <w:rFonts w:ascii="Arial" w:hAnsi="Arial" w:eastAsia="Times New Roman" w:cs="Arial"/>
                <w:sz w:val="22"/>
                <w:szCs w:val="22"/>
                <w:vertAlign w:val="subscript"/>
              </w:rPr>
              <w:t>heterogeneity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Patients</w:t>
            </w:r>
          </w:p>
        </w:tc>
        <w:tc>
          <w:tcPr>
            <w:tcW w:w="10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No. of Studies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SMD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(95% CI)</w:t>
            </w:r>
          </w:p>
        </w:tc>
        <w:tc>
          <w:tcPr>
            <w:tcW w:w="10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</w:p>
        </w:tc>
        <w:tc>
          <w:tcPr>
            <w:tcW w:w="82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I</w:t>
            </w:r>
            <w:r>
              <w:rPr>
                <w:rFonts w:ascii="Arial" w:hAnsi="Arial" w:eastAsia="Times New Roman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i/>
                <w:iCs/>
                <w:sz w:val="22"/>
                <w:szCs w:val="22"/>
              </w:rPr>
              <w:t>P</w:t>
            </w:r>
            <w:r>
              <w:rPr>
                <w:rFonts w:ascii="Arial" w:hAnsi="Arial" w:eastAsia="Times New Roman" w:cs="Arial"/>
                <w:sz w:val="22"/>
                <w:szCs w:val="22"/>
                <w:vertAlign w:val="subscript"/>
              </w:rPr>
              <w:t>heterogeneity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Overall</w:t>
            </w:r>
          </w:p>
        </w:tc>
        <w:tc>
          <w:tcPr>
            <w:tcW w:w="123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809</w:t>
            </w:r>
          </w:p>
        </w:tc>
        <w:tc>
          <w:tcPr>
            <w:tcW w:w="989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</w:t>
            </w:r>
          </w:p>
        </w:tc>
        <w:tc>
          <w:tcPr>
            <w:tcW w:w="161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-0.2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-0.6</w:t>
            </w:r>
            <w:r>
              <w:rPr>
                <w:rFonts w:ascii="Arial" w:hAnsi="Arial" w:cs="Arial"/>
                <w:sz w:val="22"/>
                <w:szCs w:val="22"/>
              </w:rPr>
              <w:t>6,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0.20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7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300</w:t>
            </w:r>
          </w:p>
        </w:tc>
        <w:tc>
          <w:tcPr>
            <w:tcW w:w="84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86.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1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0.010</w:t>
            </w:r>
          </w:p>
        </w:tc>
        <w:tc>
          <w:tcPr>
            <w:tcW w:w="24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845</w:t>
            </w:r>
          </w:p>
        </w:tc>
        <w:tc>
          <w:tcPr>
            <w:tcW w:w="108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6</w:t>
            </w:r>
          </w:p>
        </w:tc>
        <w:tc>
          <w:tcPr>
            <w:tcW w:w="165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-5.24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(-7.74, -2.74)</w:t>
            </w:r>
          </w:p>
        </w:tc>
        <w:tc>
          <w:tcPr>
            <w:tcW w:w="106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0.010</w:t>
            </w:r>
          </w:p>
        </w:tc>
        <w:tc>
          <w:tcPr>
            <w:tcW w:w="82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54</w:t>
            </w:r>
          </w:p>
        </w:tc>
        <w:tc>
          <w:tcPr>
            <w:tcW w:w="95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DAS28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2.6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58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1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-1.5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-2.1</w:t>
            </w:r>
            <w:r>
              <w:rPr>
                <w:rFonts w:ascii="Arial" w:hAnsi="Arial" w:cs="Arial"/>
                <w:sz w:val="22"/>
                <w:szCs w:val="22"/>
              </w:rPr>
              <w:t xml:space="preserve">2,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</w:t>
            </w:r>
            <w:r>
              <w:rPr>
                <w:rFonts w:ascii="Arial" w:hAnsi="Arial" w:cs="Arial"/>
                <w:sz w:val="22"/>
                <w:szCs w:val="22"/>
              </w:rPr>
              <w:t>90)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58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1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-3.00  </w:t>
            </w:r>
          </w:p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-11.91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5.91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0.509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≥ 2.6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751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(-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0.06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0.25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0.237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22.6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0.275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787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-5.39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-7.9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-2.8</w:t>
            </w:r>
            <w:r>
              <w:rPr>
                <w:rFonts w:ascii="Arial" w:hAnsi="Arial" w:cs="Arial"/>
                <w:sz w:val="22"/>
                <w:szCs w:val="22"/>
              </w:rPr>
              <w:t>1)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62.1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0.0</w:t>
            </w:r>
            <w:r>
              <w:rPr>
                <w:rFonts w:ascii="Arial" w:hAnsi="Arial" w:cs="Arial"/>
                <w:sz w:val="22"/>
                <w:szCs w:val="22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BMI</w:t>
            </w:r>
            <w:r>
              <w:rPr>
                <w:rFonts w:ascii="Arial" w:hAnsi="Arial" w:eastAsia="宋体" w:cs="Arial"/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&lt; 28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58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1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-0.24 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-0.7</w:t>
            </w:r>
            <w:r>
              <w:rPr>
                <w:rFonts w:ascii="Arial" w:hAnsi="Arial" w:cs="Arial"/>
                <w:sz w:val="22"/>
                <w:szCs w:val="22"/>
              </w:rPr>
              <w:t xml:space="preserve">5,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</w:t>
            </w:r>
            <w:r>
              <w:rPr>
                <w:rFonts w:ascii="Arial" w:hAnsi="Arial" w:cs="Arial"/>
                <w:sz w:val="22"/>
                <w:szCs w:val="22"/>
              </w:rPr>
              <w:t>7)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0.353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94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3.23   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-4.9</w:t>
            </w:r>
            <w:r>
              <w:rPr>
                <w:rFonts w:ascii="Arial" w:hAnsi="Arial" w:cs="Arial"/>
                <w:sz w:val="22"/>
                <w:szCs w:val="22"/>
              </w:rPr>
              <w:t xml:space="preserve">3,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11.3</w:t>
            </w:r>
            <w:r>
              <w:rPr>
                <w:rFonts w:ascii="Arial" w:hAnsi="Arial" w:cs="Arial"/>
                <w:sz w:val="22"/>
                <w:szCs w:val="22"/>
              </w:rPr>
              <w:t>9)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0.438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≥ 28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751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3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-0.23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-0.7</w:t>
            </w:r>
            <w:r>
              <w:rPr>
                <w:rFonts w:ascii="Arial" w:hAnsi="Arial" w:cs="Arial"/>
                <w:sz w:val="22"/>
                <w:szCs w:val="22"/>
              </w:rPr>
              <w:t xml:space="preserve">5,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</w:t>
            </w:r>
            <w:r>
              <w:rPr>
                <w:rFonts w:ascii="Arial" w:hAnsi="Arial" w:cs="Arial"/>
                <w:sz w:val="22"/>
                <w:szCs w:val="22"/>
              </w:rPr>
              <w:t>8)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0.370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89.1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691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-6.0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 </w:t>
            </w:r>
          </w:p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-8.67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-3.46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36.8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0.1</w:t>
            </w:r>
            <w:r>
              <w:rPr>
                <w:rFonts w:ascii="Arial" w:hAnsi="Arial" w:cs="Arial"/>
                <w:sz w:val="22"/>
                <w:szCs w:val="22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55</w:t>
            </w:r>
          </w:p>
        </w:tc>
        <w:tc>
          <w:tcPr>
            <w:tcW w:w="1238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</w:t>
            </w:r>
          </w:p>
        </w:tc>
        <w:tc>
          <w:tcPr>
            <w:tcW w:w="989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-0.02 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-0.2</w:t>
            </w:r>
            <w:r>
              <w:rPr>
                <w:rFonts w:ascii="Arial" w:hAnsi="Arial" w:cs="Arial"/>
                <w:sz w:val="22"/>
                <w:szCs w:val="22"/>
              </w:rPr>
              <w:t xml:space="preserve">4,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</w:t>
            </w:r>
            <w:r>
              <w:rPr>
                <w:rFonts w:ascii="Arial" w:hAnsi="Arial" w:cs="Arial"/>
                <w:sz w:val="22"/>
                <w:szCs w:val="22"/>
              </w:rPr>
              <w:t>20)</w:t>
            </w:r>
          </w:p>
        </w:tc>
        <w:tc>
          <w:tcPr>
            <w:tcW w:w="107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0.856</w:t>
            </w:r>
          </w:p>
        </w:tc>
        <w:tc>
          <w:tcPr>
            <w:tcW w:w="845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0.627</w:t>
            </w:r>
          </w:p>
        </w:tc>
        <w:tc>
          <w:tcPr>
            <w:tcW w:w="24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350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0.59    </w:t>
            </w:r>
          </w:p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-4.28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5.4</w:t>
            </w:r>
            <w:r>
              <w:rPr>
                <w:rFonts w:ascii="Arial" w:hAnsi="Arial" w:cs="Arial"/>
                <w:sz w:val="22"/>
                <w:szCs w:val="22"/>
              </w:rPr>
              <w:t>7)</w:t>
            </w:r>
          </w:p>
        </w:tc>
        <w:tc>
          <w:tcPr>
            <w:tcW w:w="106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0.812</w:t>
            </w:r>
          </w:p>
        </w:tc>
        <w:tc>
          <w:tcPr>
            <w:tcW w:w="822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953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ind w:left="210" w:leftChars="100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≥ </w:t>
            </w:r>
            <w:r>
              <w:rPr>
                <w:rFonts w:ascii="Arial" w:hAnsi="Arial" w:cs="Arial"/>
                <w:sz w:val="22"/>
                <w:szCs w:val="22"/>
              </w:rPr>
              <w:t>55</w:t>
            </w:r>
          </w:p>
        </w:tc>
        <w:tc>
          <w:tcPr>
            <w:tcW w:w="1238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459</w:t>
            </w:r>
          </w:p>
        </w:tc>
        <w:tc>
          <w:tcPr>
            <w:tcW w:w="989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613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-0.2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 xml:space="preserve">   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-0.6</w:t>
            </w:r>
            <w:r>
              <w:rPr>
                <w:rFonts w:ascii="Arial" w:hAnsi="Arial" w:cs="Arial"/>
                <w:sz w:val="22"/>
                <w:szCs w:val="22"/>
              </w:rPr>
              <w:t xml:space="preserve">6,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0.20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7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0.467</w:t>
            </w:r>
          </w:p>
        </w:tc>
        <w:tc>
          <w:tcPr>
            <w:tcW w:w="845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96.4</w:t>
            </w:r>
          </w:p>
        </w:tc>
        <w:tc>
          <w:tcPr>
            <w:tcW w:w="141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24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</w:p>
        </w:tc>
        <w:tc>
          <w:tcPr>
            <w:tcW w:w="118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495</w:t>
            </w:r>
          </w:p>
        </w:tc>
        <w:tc>
          <w:tcPr>
            <w:tcW w:w="1086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65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eastAsia="Times New Roman" w:cs="Arial"/>
                <w:sz w:val="22"/>
                <w:szCs w:val="22"/>
              </w:rPr>
              <w:t>-7.2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-10.12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>
              <w:rPr>
                <w:rFonts w:ascii="Arial" w:hAnsi="Arial" w:eastAsia="Times New Roman" w:cs="Arial"/>
                <w:sz w:val="22"/>
                <w:szCs w:val="22"/>
              </w:rPr>
              <w:t>-4.35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064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 0.001</w:t>
            </w:r>
          </w:p>
        </w:tc>
        <w:tc>
          <w:tcPr>
            <w:tcW w:w="82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19.6</w:t>
            </w:r>
          </w:p>
        </w:tc>
        <w:tc>
          <w:tcPr>
            <w:tcW w:w="953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Arial" w:hAnsi="Arial" w:eastAsia="宋体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0.288</w:t>
            </w:r>
          </w:p>
        </w:tc>
      </w:tr>
    </w:tbl>
    <w:p>
      <w:pPr>
        <w:widowControl/>
        <w:spacing w:line="480" w:lineRule="auto"/>
        <w:rPr>
          <w:rFonts w:ascii="Arial" w:hAnsi="Arial" w:eastAsia="宋体" w:cs="Arial"/>
          <w:sz w:val="22"/>
          <w:szCs w:val="22"/>
        </w:rPr>
      </w:pPr>
      <w:r>
        <w:rPr>
          <w:rFonts w:ascii="Arial" w:hAnsi="Arial" w:eastAsia="宋体" w:cs="Arial"/>
          <w:sz w:val="22"/>
          <w:szCs w:val="22"/>
          <w:vertAlign w:val="superscript"/>
        </w:rPr>
        <w:t>a</w:t>
      </w:r>
      <w:r>
        <w:rPr>
          <w:rFonts w:ascii="Arial" w:hAnsi="Arial" w:eastAsia="宋体" w:cs="Arial"/>
          <w:sz w:val="22"/>
          <w:szCs w:val="22"/>
        </w:rPr>
        <w:t xml:space="preserve"> cholesterol efflux capacity; </w:t>
      </w:r>
      <w:r>
        <w:rPr>
          <w:rFonts w:ascii="Arial" w:hAnsi="Arial" w:eastAsia="宋体" w:cs="Arial"/>
          <w:sz w:val="22"/>
          <w:szCs w:val="22"/>
          <w:vertAlign w:val="superscript"/>
        </w:rPr>
        <w:t>b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eastAsia="宋体" w:cs="Arial"/>
          <w:sz w:val="22"/>
          <w:szCs w:val="22"/>
        </w:rPr>
        <w:t xml:space="preserve">high-density lipoprotein; </w:t>
      </w:r>
      <w:r>
        <w:rPr>
          <w:rFonts w:ascii="Arial" w:hAnsi="Arial" w:eastAsia="宋体" w:cs="Arial"/>
          <w:sz w:val="22"/>
          <w:szCs w:val="22"/>
          <w:vertAlign w:val="superscript"/>
        </w:rPr>
        <w:t>c</w:t>
      </w:r>
      <w:r>
        <w:rPr>
          <w:rFonts w:ascii="Arial" w:hAnsi="Arial" w:eastAsia="宋体" w:cs="Arial"/>
          <w:sz w:val="22"/>
          <w:szCs w:val="22"/>
        </w:rPr>
        <w:t xml:space="preserve"> Disease Activity Score for 28 joints; </w:t>
      </w:r>
      <w:r>
        <w:rPr>
          <w:rFonts w:ascii="Arial" w:hAnsi="Arial" w:eastAsia="宋体" w:cs="Arial"/>
          <w:sz w:val="22"/>
          <w:szCs w:val="22"/>
          <w:vertAlign w:val="superscript"/>
        </w:rPr>
        <w:t>d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eastAsia="宋体" w:cs="Arial"/>
          <w:sz w:val="22"/>
          <w:szCs w:val="22"/>
        </w:rPr>
        <w:t xml:space="preserve">body mass index; </w:t>
      </w:r>
      <w:r>
        <w:rPr>
          <w:rFonts w:ascii="Arial" w:hAnsi="Arial" w:eastAsia="宋体" w:cs="Arial"/>
          <w:i/>
          <w:iCs/>
          <w:sz w:val="22"/>
          <w:szCs w:val="22"/>
          <w:vertAlign w:val="superscript"/>
        </w:rPr>
        <w:t>e</w:t>
      </w:r>
      <w:r>
        <w:rPr>
          <w:rFonts w:ascii="Arial" w:hAnsi="Arial" w:eastAsia="宋体" w:cs="Arial"/>
          <w:sz w:val="22"/>
          <w:szCs w:val="22"/>
        </w:rPr>
        <w:t xml:space="preserve"> </w:t>
      </w:r>
      <w:r>
        <w:rPr>
          <w:rFonts w:ascii="Arial" w:hAnsi="Arial" w:eastAsia="宋体" w:cs="Arial"/>
          <w:i/>
          <w:iCs/>
          <w:sz w:val="22"/>
          <w:szCs w:val="22"/>
        </w:rPr>
        <w:t>P</w:t>
      </w:r>
      <w:r>
        <w:rPr>
          <w:rFonts w:ascii="Arial" w:hAnsi="Arial" w:eastAsia="宋体" w:cs="Arial"/>
          <w:sz w:val="22"/>
          <w:szCs w:val="22"/>
        </w:rPr>
        <w:t xml:space="preserve">-value for SMD or </w:t>
      </w:r>
      <w:r>
        <w:rPr>
          <w:rFonts w:ascii="Arial" w:hAnsi="Arial" w:cs="Arial"/>
          <w:sz w:val="22"/>
          <w:szCs w:val="22"/>
        </w:rPr>
        <w:t>W</w:t>
      </w:r>
      <w:r>
        <w:rPr>
          <w:rFonts w:ascii="Arial" w:hAnsi="Arial" w:eastAsia="宋体" w:cs="Arial"/>
          <w:sz w:val="22"/>
          <w:szCs w:val="22"/>
        </w:rPr>
        <w:t xml:space="preserve">MD; </w:t>
      </w:r>
      <w:r>
        <w:rPr>
          <w:rFonts w:ascii="Arial" w:hAnsi="Arial" w:eastAsia="宋体" w:cs="Arial"/>
          <w:sz w:val="22"/>
          <w:szCs w:val="22"/>
          <w:vertAlign w:val="superscript"/>
        </w:rPr>
        <w:t>f</w:t>
      </w:r>
      <w:r>
        <w:rPr>
          <w:rFonts w:ascii="Arial" w:hAnsi="Arial" w:cs="Arial"/>
          <w:sz w:val="22"/>
          <w:szCs w:val="22"/>
          <w:vertAlign w:val="superscript"/>
        </w:rPr>
        <w:t xml:space="preserve"> </w:t>
      </w:r>
      <w:r>
        <w:rPr>
          <w:rFonts w:ascii="Arial" w:hAnsi="Arial" w:eastAsia="宋体" w:cs="Arial"/>
          <w:i/>
          <w:iCs/>
          <w:sz w:val="22"/>
          <w:szCs w:val="22"/>
        </w:rPr>
        <w:t>P</w:t>
      </w:r>
      <w:r>
        <w:rPr>
          <w:rFonts w:ascii="Arial" w:hAnsi="Arial" w:eastAsia="宋体" w:cs="Arial"/>
          <w:sz w:val="22"/>
          <w:szCs w:val="22"/>
        </w:rPr>
        <w:t>-value for heterogeneity.</w:t>
      </w:r>
    </w:p>
    <w:p>
      <w:pPr>
        <w:spacing w:line="480" w:lineRule="auto"/>
        <w:rPr>
          <w:rFonts w:ascii="Arial" w:hAnsi="Arial" w:cs="Arial"/>
          <w:sz w:val="22"/>
          <w:szCs w:val="2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63720"/>
    <w:rsid w:val="4D2A4A54"/>
    <w:rsid w:val="625E74BC"/>
    <w:rsid w:val="62E700A7"/>
    <w:rsid w:val="7056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2020-07-21T02:55:00Z</dcterms:created>
  <dc:creator>Om Bir</dc:creator>
  <cp:lastModifiedBy>xujianmin</cp:lastModifiedBy>
  <dcterms:modified xsi:type="dcterms:W3CDTF">2020-08-18T08:39:10Z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