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45513" w14:textId="77777777" w:rsidR="00D2477F" w:rsidRPr="006D711F" w:rsidRDefault="00D2477F" w:rsidP="00D2477F">
      <w:pPr>
        <w:pStyle w:val="Heading1"/>
      </w:pPr>
      <w:r w:rsidRPr="006D711F">
        <w:t>Appendix</w:t>
      </w:r>
    </w:p>
    <w:p w14:paraId="10708B0E" w14:textId="77777777" w:rsidR="00D2477F" w:rsidRPr="006D711F" w:rsidRDefault="00D2477F" w:rsidP="00D2477F">
      <w:pPr>
        <w:spacing w:line="480" w:lineRule="auto"/>
        <w:jc w:val="both"/>
        <w:rPr>
          <w:rFonts w:asciiTheme="majorBidi" w:hAnsiTheme="majorBidi" w:cstheme="majorBidi"/>
          <w:sz w:val="24"/>
          <w:szCs w:val="24"/>
        </w:rPr>
      </w:pPr>
      <w:r w:rsidRPr="006D711F">
        <w:rPr>
          <w:rFonts w:asciiTheme="majorBidi" w:eastAsia="Times New Roman" w:hAnsiTheme="majorBidi" w:cstheme="majorBidi"/>
          <w:sz w:val="24"/>
          <w:szCs w:val="24"/>
        </w:rPr>
        <w:t xml:space="preserve">The price of land varies greatly in different regions of the world, and even in the countries bordering the Persian Gulf and the Sea of ​​Oman, it varies greatly. However, for the northern coast of the Persian Gulf and the Sea of ​​Oman, this cost, based on the estimates made by the authors, which were examined in the section on salt extraction, includes about 40% of the total cost. This is while the aforementioned cost is much higher in the countries of the southern Persian Gulf, and this extraction method may not be economically justified. As mentioned in the manuscript, this method is not recommended in countries where land is limited or its evaporation and transpiration are low, as well as in areas with high rainfall. </w:t>
      </w:r>
      <w:r w:rsidRPr="006D711F">
        <w:rPr>
          <w:rFonts w:asciiTheme="majorBidi" w:hAnsiTheme="majorBidi" w:cstheme="majorBidi"/>
          <w:sz w:val="24"/>
          <w:szCs w:val="24"/>
        </w:rPr>
        <w:t>More details are presented in Table A1. The calculations are based on the authors' estimates and the general reference is the Statistical Center of Iran (2023), and the inflation rate is assumed to be about 2%.</w:t>
      </w:r>
    </w:p>
    <w:p w14:paraId="489340B2" w14:textId="77777777" w:rsidR="00D2477F" w:rsidRPr="00043750" w:rsidRDefault="00D2477F" w:rsidP="00D2477F">
      <w:pPr>
        <w:spacing w:line="480" w:lineRule="auto"/>
        <w:jc w:val="both"/>
        <w:rPr>
          <w:rFonts w:asciiTheme="majorBidi" w:hAnsiTheme="majorBidi" w:cstheme="majorBidi"/>
          <w:sz w:val="20"/>
          <w:szCs w:val="20"/>
        </w:rPr>
      </w:pPr>
      <w:r w:rsidRPr="00043750">
        <w:rPr>
          <w:rFonts w:asciiTheme="majorBidi" w:hAnsiTheme="majorBidi" w:cstheme="majorBidi"/>
          <w:b/>
          <w:bCs/>
          <w:sz w:val="20"/>
          <w:szCs w:val="20"/>
        </w:rPr>
        <w:t>Table A1.</w:t>
      </w:r>
      <w:r w:rsidRPr="00043750">
        <w:rPr>
          <w:rFonts w:asciiTheme="majorBidi" w:hAnsiTheme="majorBidi" w:cstheme="majorBidi"/>
          <w:sz w:val="20"/>
          <w:szCs w:val="20"/>
        </w:rPr>
        <w:t xml:space="preserve"> Cost estimate for salt extraction from the evaporation pond of a project with a capacity of 1 MCM of desalinated water.</w:t>
      </w:r>
    </w:p>
    <w:tbl>
      <w:tblPr>
        <w:tblW w:w="10079" w:type="dxa"/>
        <w:tblInd w:w="-142" w:type="dxa"/>
        <w:tblLook w:val="04A0" w:firstRow="1" w:lastRow="0" w:firstColumn="1" w:lastColumn="0" w:noHBand="0" w:noVBand="1"/>
      </w:tblPr>
      <w:tblGrid>
        <w:gridCol w:w="901"/>
        <w:gridCol w:w="3373"/>
        <w:gridCol w:w="1844"/>
        <w:gridCol w:w="1362"/>
        <w:gridCol w:w="1401"/>
        <w:gridCol w:w="1198"/>
      </w:tblGrid>
      <w:tr w:rsidR="00D2477F" w:rsidRPr="006D711F" w14:paraId="7302B226" w14:textId="77777777" w:rsidTr="008E49A2">
        <w:trPr>
          <w:trHeight w:val="298"/>
        </w:trPr>
        <w:tc>
          <w:tcPr>
            <w:tcW w:w="901" w:type="dxa"/>
            <w:tcBorders>
              <w:top w:val="single" w:sz="4" w:space="0" w:color="auto"/>
              <w:bottom w:val="single" w:sz="4" w:space="0" w:color="auto"/>
            </w:tcBorders>
            <w:shd w:val="clear" w:color="auto" w:fill="auto"/>
            <w:noWrap/>
            <w:vAlign w:val="center"/>
            <w:hideMark/>
          </w:tcPr>
          <w:p w14:paraId="5425D7BC" w14:textId="77777777" w:rsidR="00D2477F" w:rsidRPr="00043750" w:rsidRDefault="00D2477F" w:rsidP="008E49A2">
            <w:pPr>
              <w:spacing w:after="0" w:line="480" w:lineRule="auto"/>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 </w:t>
            </w:r>
          </w:p>
        </w:tc>
        <w:tc>
          <w:tcPr>
            <w:tcW w:w="3373" w:type="dxa"/>
            <w:tcBorders>
              <w:top w:val="single" w:sz="4" w:space="0" w:color="auto"/>
              <w:bottom w:val="single" w:sz="4" w:space="0" w:color="auto"/>
            </w:tcBorders>
            <w:shd w:val="clear" w:color="auto" w:fill="auto"/>
            <w:vAlign w:val="center"/>
          </w:tcPr>
          <w:p w14:paraId="4AD236CA" w14:textId="77777777" w:rsidR="00D2477F" w:rsidRPr="00043750" w:rsidRDefault="00D2477F" w:rsidP="008E49A2">
            <w:pPr>
              <w:spacing w:after="0" w:line="480" w:lineRule="auto"/>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Description</w:t>
            </w:r>
          </w:p>
        </w:tc>
        <w:tc>
          <w:tcPr>
            <w:tcW w:w="1844" w:type="dxa"/>
            <w:tcBorders>
              <w:top w:val="single" w:sz="4" w:space="0" w:color="auto"/>
              <w:bottom w:val="single" w:sz="4" w:space="0" w:color="auto"/>
            </w:tcBorders>
            <w:shd w:val="clear" w:color="auto" w:fill="auto"/>
            <w:vAlign w:val="center"/>
          </w:tcPr>
          <w:p w14:paraId="7D8CC802"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p>
        </w:tc>
        <w:tc>
          <w:tcPr>
            <w:tcW w:w="1362" w:type="dxa"/>
            <w:tcBorders>
              <w:top w:val="single" w:sz="4" w:space="0" w:color="auto"/>
              <w:bottom w:val="single" w:sz="4" w:space="0" w:color="auto"/>
            </w:tcBorders>
            <w:shd w:val="clear" w:color="auto" w:fill="auto"/>
            <w:vAlign w:val="center"/>
          </w:tcPr>
          <w:p w14:paraId="1CE1F2C2"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Cost (USD)</w:t>
            </w:r>
          </w:p>
        </w:tc>
        <w:tc>
          <w:tcPr>
            <w:tcW w:w="1401" w:type="dxa"/>
            <w:tcBorders>
              <w:top w:val="single" w:sz="4" w:space="0" w:color="auto"/>
              <w:bottom w:val="single" w:sz="4" w:space="0" w:color="auto"/>
            </w:tcBorders>
            <w:shd w:val="clear" w:color="auto" w:fill="auto"/>
            <w:vAlign w:val="center"/>
          </w:tcPr>
          <w:p w14:paraId="232AC409"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Design Lifetime (yr)</w:t>
            </w:r>
          </w:p>
        </w:tc>
        <w:tc>
          <w:tcPr>
            <w:tcW w:w="1198" w:type="dxa"/>
            <w:tcBorders>
              <w:top w:val="single" w:sz="4" w:space="0" w:color="auto"/>
              <w:bottom w:val="single" w:sz="4" w:space="0" w:color="auto"/>
            </w:tcBorders>
            <w:shd w:val="clear" w:color="auto" w:fill="auto"/>
            <w:vAlign w:val="center"/>
          </w:tcPr>
          <w:p w14:paraId="3AAF52A7"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Cost (USD/yr)</w:t>
            </w:r>
          </w:p>
        </w:tc>
      </w:tr>
      <w:tr w:rsidR="00D2477F" w:rsidRPr="006D711F" w14:paraId="17052E3B" w14:textId="77777777" w:rsidTr="008E49A2">
        <w:trPr>
          <w:trHeight w:val="421"/>
        </w:trPr>
        <w:tc>
          <w:tcPr>
            <w:tcW w:w="901" w:type="dxa"/>
            <w:vMerge w:val="restart"/>
            <w:tcBorders>
              <w:top w:val="single" w:sz="4" w:space="0" w:color="auto"/>
            </w:tcBorders>
            <w:shd w:val="clear" w:color="auto" w:fill="auto"/>
            <w:noWrap/>
            <w:textDirection w:val="btLr"/>
            <w:vAlign w:val="center"/>
            <w:hideMark/>
          </w:tcPr>
          <w:p w14:paraId="497941B5"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tl/>
              </w:rPr>
            </w:pPr>
            <w:r w:rsidRPr="00043750">
              <w:rPr>
                <w:rFonts w:asciiTheme="majorBidi" w:eastAsia="Times New Roman" w:hAnsiTheme="majorBidi" w:cstheme="majorBidi"/>
                <w:b/>
                <w:bCs/>
                <w:sz w:val="20"/>
                <w:szCs w:val="20"/>
              </w:rPr>
              <w:t>Construction cost</w:t>
            </w:r>
          </w:p>
        </w:tc>
        <w:tc>
          <w:tcPr>
            <w:tcW w:w="3373" w:type="dxa"/>
            <w:tcBorders>
              <w:top w:val="single" w:sz="4" w:space="0" w:color="auto"/>
            </w:tcBorders>
            <w:shd w:val="clear" w:color="auto" w:fill="auto"/>
            <w:vAlign w:val="center"/>
            <w:hideMark/>
          </w:tcPr>
          <w:p w14:paraId="4BDA97CB" w14:textId="77777777" w:rsidR="00D2477F" w:rsidRPr="00043750" w:rsidRDefault="00D2477F" w:rsidP="008E49A2">
            <w:pPr>
              <w:spacing w:after="0" w:line="480" w:lineRule="auto"/>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Cost of land (pools, access road, service road, building)</w:t>
            </w:r>
          </w:p>
        </w:tc>
        <w:tc>
          <w:tcPr>
            <w:tcW w:w="1844" w:type="dxa"/>
            <w:tcBorders>
              <w:top w:val="single" w:sz="4" w:space="0" w:color="auto"/>
            </w:tcBorders>
            <w:shd w:val="clear" w:color="auto" w:fill="auto"/>
            <w:vAlign w:val="center"/>
          </w:tcPr>
          <w:p w14:paraId="1BFE14D3"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tcBorders>
              <w:top w:val="single" w:sz="4" w:space="0" w:color="auto"/>
            </w:tcBorders>
            <w:shd w:val="clear" w:color="auto" w:fill="auto"/>
            <w:vAlign w:val="center"/>
            <w:hideMark/>
          </w:tcPr>
          <w:p w14:paraId="7D71A077"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16,715,000.0</w:t>
            </w:r>
          </w:p>
        </w:tc>
        <w:tc>
          <w:tcPr>
            <w:tcW w:w="1401" w:type="dxa"/>
            <w:tcBorders>
              <w:top w:val="single" w:sz="4" w:space="0" w:color="auto"/>
            </w:tcBorders>
            <w:shd w:val="clear" w:color="auto" w:fill="auto"/>
            <w:vAlign w:val="center"/>
            <w:hideMark/>
          </w:tcPr>
          <w:p w14:paraId="0B25EFD1"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tcBorders>
              <w:top w:val="single" w:sz="4" w:space="0" w:color="auto"/>
            </w:tcBorders>
            <w:shd w:val="clear" w:color="auto" w:fill="auto"/>
            <w:noWrap/>
            <w:vAlign w:val="center"/>
            <w:hideMark/>
          </w:tcPr>
          <w:p w14:paraId="496DDEB2"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668,600</w:t>
            </w:r>
          </w:p>
        </w:tc>
      </w:tr>
      <w:tr w:rsidR="00D2477F" w:rsidRPr="006D711F" w14:paraId="7E0137C1" w14:textId="77777777" w:rsidTr="008E49A2">
        <w:trPr>
          <w:trHeight w:val="563"/>
        </w:trPr>
        <w:tc>
          <w:tcPr>
            <w:tcW w:w="901" w:type="dxa"/>
            <w:vMerge/>
            <w:shd w:val="clear" w:color="auto" w:fill="auto"/>
            <w:vAlign w:val="center"/>
            <w:hideMark/>
          </w:tcPr>
          <w:p w14:paraId="3CCB3F90"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3373" w:type="dxa"/>
            <w:shd w:val="clear" w:color="auto" w:fill="auto"/>
            <w:vAlign w:val="center"/>
            <w:hideMark/>
          </w:tcPr>
          <w:p w14:paraId="5C523EA5"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 xml:space="preserve">Cost of construction and lining </w:t>
            </w:r>
          </w:p>
        </w:tc>
        <w:tc>
          <w:tcPr>
            <w:tcW w:w="1844" w:type="dxa"/>
            <w:shd w:val="clear" w:color="auto" w:fill="auto"/>
            <w:vAlign w:val="center"/>
          </w:tcPr>
          <w:p w14:paraId="5A3A16C8"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shd w:val="clear" w:color="auto" w:fill="auto"/>
            <w:vAlign w:val="center"/>
            <w:hideMark/>
          </w:tcPr>
          <w:p w14:paraId="0188E481"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372,000.0</w:t>
            </w:r>
          </w:p>
        </w:tc>
        <w:tc>
          <w:tcPr>
            <w:tcW w:w="1401" w:type="dxa"/>
            <w:shd w:val="clear" w:color="auto" w:fill="auto"/>
            <w:vAlign w:val="center"/>
            <w:hideMark/>
          </w:tcPr>
          <w:p w14:paraId="7BB2E746"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shd w:val="clear" w:color="auto" w:fill="auto"/>
            <w:noWrap/>
            <w:vAlign w:val="center"/>
            <w:hideMark/>
          </w:tcPr>
          <w:p w14:paraId="195F7466"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14,880</w:t>
            </w:r>
          </w:p>
        </w:tc>
      </w:tr>
      <w:tr w:rsidR="00D2477F" w:rsidRPr="006D711F" w14:paraId="7A0D36B9" w14:textId="77777777" w:rsidTr="008E49A2">
        <w:trPr>
          <w:trHeight w:val="723"/>
        </w:trPr>
        <w:tc>
          <w:tcPr>
            <w:tcW w:w="901" w:type="dxa"/>
            <w:vMerge/>
            <w:shd w:val="clear" w:color="auto" w:fill="auto"/>
            <w:vAlign w:val="center"/>
            <w:hideMark/>
          </w:tcPr>
          <w:p w14:paraId="0FC4EAFE"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3373" w:type="dxa"/>
            <w:shd w:val="clear" w:color="auto" w:fill="auto"/>
            <w:vAlign w:val="center"/>
            <w:hideMark/>
          </w:tcPr>
          <w:p w14:paraId="1077B9C4"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 xml:space="preserve">Cost of electro pump and electricity subscription </w:t>
            </w:r>
          </w:p>
        </w:tc>
        <w:tc>
          <w:tcPr>
            <w:tcW w:w="1844" w:type="dxa"/>
            <w:shd w:val="clear" w:color="auto" w:fill="auto"/>
            <w:vAlign w:val="center"/>
          </w:tcPr>
          <w:p w14:paraId="5C1E3D1D"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shd w:val="clear" w:color="auto" w:fill="auto"/>
            <w:vAlign w:val="center"/>
            <w:hideMark/>
          </w:tcPr>
          <w:p w14:paraId="0F1B621F"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865,000.0</w:t>
            </w:r>
          </w:p>
        </w:tc>
        <w:tc>
          <w:tcPr>
            <w:tcW w:w="1401" w:type="dxa"/>
            <w:shd w:val="clear" w:color="auto" w:fill="auto"/>
            <w:vAlign w:val="center"/>
            <w:hideMark/>
          </w:tcPr>
          <w:p w14:paraId="288FF7E9"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shd w:val="clear" w:color="auto" w:fill="auto"/>
            <w:noWrap/>
            <w:vAlign w:val="center"/>
            <w:hideMark/>
          </w:tcPr>
          <w:p w14:paraId="36266569"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34,600</w:t>
            </w:r>
          </w:p>
        </w:tc>
      </w:tr>
      <w:tr w:rsidR="00D2477F" w:rsidRPr="006D711F" w14:paraId="780B72BE" w14:textId="77777777" w:rsidTr="008E49A2">
        <w:trPr>
          <w:trHeight w:val="563"/>
        </w:trPr>
        <w:tc>
          <w:tcPr>
            <w:tcW w:w="901" w:type="dxa"/>
            <w:vMerge/>
            <w:shd w:val="clear" w:color="auto" w:fill="auto"/>
            <w:vAlign w:val="center"/>
            <w:hideMark/>
          </w:tcPr>
          <w:p w14:paraId="67F93F48"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3373" w:type="dxa"/>
            <w:shd w:val="clear" w:color="auto" w:fill="auto"/>
            <w:vAlign w:val="center"/>
            <w:hideMark/>
          </w:tcPr>
          <w:p w14:paraId="5FFD9288"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 xml:space="preserve">Cost of plumbing and facilities </w:t>
            </w:r>
          </w:p>
        </w:tc>
        <w:tc>
          <w:tcPr>
            <w:tcW w:w="1844" w:type="dxa"/>
            <w:shd w:val="clear" w:color="auto" w:fill="auto"/>
            <w:vAlign w:val="center"/>
          </w:tcPr>
          <w:p w14:paraId="1DEB6265"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shd w:val="clear" w:color="auto" w:fill="auto"/>
            <w:vAlign w:val="center"/>
            <w:hideMark/>
          </w:tcPr>
          <w:p w14:paraId="6A2A8140"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180,000.0</w:t>
            </w:r>
          </w:p>
        </w:tc>
        <w:tc>
          <w:tcPr>
            <w:tcW w:w="1401" w:type="dxa"/>
            <w:shd w:val="clear" w:color="auto" w:fill="auto"/>
            <w:vAlign w:val="center"/>
            <w:hideMark/>
          </w:tcPr>
          <w:p w14:paraId="7BAD55CE"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shd w:val="clear" w:color="auto" w:fill="auto"/>
            <w:noWrap/>
            <w:vAlign w:val="center"/>
            <w:hideMark/>
          </w:tcPr>
          <w:p w14:paraId="43C1ACB5"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7,200</w:t>
            </w:r>
          </w:p>
        </w:tc>
      </w:tr>
      <w:tr w:rsidR="00D2477F" w:rsidRPr="006D711F" w14:paraId="3BD71B4C" w14:textId="77777777" w:rsidTr="008E49A2">
        <w:trPr>
          <w:trHeight w:val="563"/>
        </w:trPr>
        <w:tc>
          <w:tcPr>
            <w:tcW w:w="901" w:type="dxa"/>
            <w:vMerge/>
            <w:shd w:val="clear" w:color="auto" w:fill="auto"/>
            <w:vAlign w:val="center"/>
            <w:hideMark/>
          </w:tcPr>
          <w:p w14:paraId="6A3DDECD"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3373" w:type="dxa"/>
            <w:shd w:val="clear" w:color="auto" w:fill="auto"/>
            <w:vAlign w:val="center"/>
            <w:hideMark/>
          </w:tcPr>
          <w:p w14:paraId="6299615F"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Cost of relevant buildings</w:t>
            </w:r>
          </w:p>
        </w:tc>
        <w:tc>
          <w:tcPr>
            <w:tcW w:w="1844" w:type="dxa"/>
            <w:shd w:val="clear" w:color="auto" w:fill="auto"/>
            <w:vAlign w:val="center"/>
          </w:tcPr>
          <w:p w14:paraId="31395FDD"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shd w:val="clear" w:color="auto" w:fill="auto"/>
            <w:vAlign w:val="center"/>
            <w:hideMark/>
          </w:tcPr>
          <w:p w14:paraId="011F7FC6"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6,631,000.0</w:t>
            </w:r>
          </w:p>
        </w:tc>
        <w:tc>
          <w:tcPr>
            <w:tcW w:w="1401" w:type="dxa"/>
            <w:shd w:val="clear" w:color="auto" w:fill="auto"/>
            <w:vAlign w:val="center"/>
            <w:hideMark/>
          </w:tcPr>
          <w:p w14:paraId="30758448"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shd w:val="clear" w:color="auto" w:fill="auto"/>
            <w:noWrap/>
            <w:vAlign w:val="center"/>
            <w:hideMark/>
          </w:tcPr>
          <w:p w14:paraId="27607E39"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265,240</w:t>
            </w:r>
          </w:p>
        </w:tc>
      </w:tr>
      <w:tr w:rsidR="00D2477F" w:rsidRPr="006D711F" w14:paraId="17415AC6" w14:textId="77777777" w:rsidTr="008E49A2">
        <w:trPr>
          <w:trHeight w:val="355"/>
        </w:trPr>
        <w:tc>
          <w:tcPr>
            <w:tcW w:w="901" w:type="dxa"/>
            <w:vMerge/>
            <w:shd w:val="clear" w:color="auto" w:fill="auto"/>
            <w:vAlign w:val="center"/>
            <w:hideMark/>
          </w:tcPr>
          <w:p w14:paraId="463F18D9"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3373" w:type="dxa"/>
            <w:tcBorders>
              <w:bottom w:val="single" w:sz="4" w:space="0" w:color="auto"/>
            </w:tcBorders>
            <w:shd w:val="clear" w:color="auto" w:fill="auto"/>
            <w:vAlign w:val="center"/>
            <w:hideMark/>
          </w:tcPr>
          <w:p w14:paraId="7DA92414"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Unpredicted costs (9% above costs)</w:t>
            </w:r>
          </w:p>
        </w:tc>
        <w:tc>
          <w:tcPr>
            <w:tcW w:w="1844" w:type="dxa"/>
            <w:tcBorders>
              <w:bottom w:val="single" w:sz="4" w:space="0" w:color="auto"/>
            </w:tcBorders>
            <w:shd w:val="clear" w:color="auto" w:fill="auto"/>
            <w:vAlign w:val="center"/>
          </w:tcPr>
          <w:p w14:paraId="5CDA1F01"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tcBorders>
              <w:bottom w:val="single" w:sz="4" w:space="0" w:color="auto"/>
            </w:tcBorders>
            <w:shd w:val="clear" w:color="auto" w:fill="auto"/>
            <w:vAlign w:val="center"/>
            <w:hideMark/>
          </w:tcPr>
          <w:p w14:paraId="36E4606D"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2,228,670.0</w:t>
            </w:r>
          </w:p>
        </w:tc>
        <w:tc>
          <w:tcPr>
            <w:tcW w:w="1401" w:type="dxa"/>
            <w:tcBorders>
              <w:bottom w:val="single" w:sz="4" w:space="0" w:color="auto"/>
            </w:tcBorders>
            <w:shd w:val="clear" w:color="auto" w:fill="auto"/>
            <w:vAlign w:val="center"/>
            <w:hideMark/>
          </w:tcPr>
          <w:p w14:paraId="7254011F"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tcBorders>
              <w:bottom w:val="single" w:sz="4" w:space="0" w:color="auto"/>
            </w:tcBorders>
            <w:shd w:val="clear" w:color="auto" w:fill="auto"/>
            <w:noWrap/>
            <w:vAlign w:val="center"/>
            <w:hideMark/>
          </w:tcPr>
          <w:p w14:paraId="1BBC0610"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89,147</w:t>
            </w:r>
          </w:p>
        </w:tc>
      </w:tr>
      <w:tr w:rsidR="00D2477F" w:rsidRPr="006D711F" w14:paraId="22367C7C" w14:textId="77777777" w:rsidTr="008E49A2">
        <w:trPr>
          <w:trHeight w:val="355"/>
        </w:trPr>
        <w:tc>
          <w:tcPr>
            <w:tcW w:w="901" w:type="dxa"/>
            <w:vMerge/>
            <w:shd w:val="clear" w:color="auto" w:fill="auto"/>
            <w:vAlign w:val="center"/>
          </w:tcPr>
          <w:p w14:paraId="414411EE"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3373" w:type="dxa"/>
            <w:tcBorders>
              <w:bottom w:val="single" w:sz="4" w:space="0" w:color="auto"/>
            </w:tcBorders>
            <w:shd w:val="clear" w:color="auto" w:fill="auto"/>
            <w:vAlign w:val="center"/>
          </w:tcPr>
          <w:p w14:paraId="6B70B38C"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Overhead costs (30% above costs)</w:t>
            </w:r>
          </w:p>
        </w:tc>
        <w:tc>
          <w:tcPr>
            <w:tcW w:w="1844" w:type="dxa"/>
            <w:tcBorders>
              <w:bottom w:val="single" w:sz="4" w:space="0" w:color="auto"/>
            </w:tcBorders>
            <w:shd w:val="clear" w:color="auto" w:fill="auto"/>
            <w:vAlign w:val="center"/>
          </w:tcPr>
          <w:p w14:paraId="5DA4E4C3"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p>
        </w:tc>
        <w:tc>
          <w:tcPr>
            <w:tcW w:w="1362" w:type="dxa"/>
            <w:tcBorders>
              <w:bottom w:val="single" w:sz="4" w:space="0" w:color="auto"/>
            </w:tcBorders>
            <w:shd w:val="clear" w:color="auto" w:fill="auto"/>
            <w:vAlign w:val="center"/>
          </w:tcPr>
          <w:p w14:paraId="19E9040E"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10,100,000.0</w:t>
            </w:r>
          </w:p>
        </w:tc>
        <w:tc>
          <w:tcPr>
            <w:tcW w:w="1401" w:type="dxa"/>
            <w:tcBorders>
              <w:bottom w:val="single" w:sz="4" w:space="0" w:color="auto"/>
            </w:tcBorders>
            <w:shd w:val="clear" w:color="auto" w:fill="auto"/>
            <w:vAlign w:val="center"/>
          </w:tcPr>
          <w:p w14:paraId="1B4D4031"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tcBorders>
              <w:bottom w:val="single" w:sz="4" w:space="0" w:color="auto"/>
            </w:tcBorders>
            <w:shd w:val="clear" w:color="auto" w:fill="auto"/>
            <w:noWrap/>
            <w:vAlign w:val="center"/>
          </w:tcPr>
          <w:p w14:paraId="7DA446A1"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404,000</w:t>
            </w:r>
          </w:p>
        </w:tc>
      </w:tr>
      <w:tr w:rsidR="00D2477F" w:rsidRPr="006D711F" w14:paraId="7E3B9588" w14:textId="77777777" w:rsidTr="008E49A2">
        <w:trPr>
          <w:trHeight w:val="355"/>
        </w:trPr>
        <w:tc>
          <w:tcPr>
            <w:tcW w:w="901" w:type="dxa"/>
            <w:vMerge/>
            <w:tcBorders>
              <w:bottom w:val="single" w:sz="4" w:space="0" w:color="auto"/>
            </w:tcBorders>
            <w:shd w:val="clear" w:color="auto" w:fill="auto"/>
            <w:vAlign w:val="center"/>
            <w:hideMark/>
          </w:tcPr>
          <w:p w14:paraId="1F526D67" w14:textId="77777777" w:rsidR="00D2477F" w:rsidRPr="00043750" w:rsidRDefault="00D2477F" w:rsidP="008E49A2">
            <w:pPr>
              <w:spacing w:after="0" w:line="480" w:lineRule="auto"/>
              <w:rPr>
                <w:rFonts w:asciiTheme="majorBidi" w:eastAsia="Times New Roman" w:hAnsiTheme="majorBidi" w:cstheme="majorBidi"/>
                <w:b/>
                <w:bCs/>
                <w:sz w:val="20"/>
                <w:szCs w:val="20"/>
              </w:rPr>
            </w:pPr>
          </w:p>
        </w:tc>
        <w:tc>
          <w:tcPr>
            <w:tcW w:w="7980" w:type="dxa"/>
            <w:gridSpan w:val="4"/>
            <w:tcBorders>
              <w:top w:val="single" w:sz="4" w:space="0" w:color="auto"/>
              <w:bottom w:val="single" w:sz="4" w:space="0" w:color="auto"/>
            </w:tcBorders>
            <w:shd w:val="clear" w:color="auto" w:fill="auto"/>
            <w:vAlign w:val="center"/>
            <w:hideMark/>
          </w:tcPr>
          <w:p w14:paraId="383BBF6B"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Total Annual Construction Costs</w:t>
            </w:r>
          </w:p>
        </w:tc>
        <w:tc>
          <w:tcPr>
            <w:tcW w:w="1198" w:type="dxa"/>
            <w:tcBorders>
              <w:top w:val="single" w:sz="4" w:space="0" w:color="auto"/>
              <w:bottom w:val="single" w:sz="4" w:space="0" w:color="auto"/>
            </w:tcBorders>
            <w:shd w:val="clear" w:color="auto" w:fill="auto"/>
            <w:noWrap/>
            <w:vAlign w:val="center"/>
            <w:hideMark/>
          </w:tcPr>
          <w:p w14:paraId="672B2BC8" w14:textId="77777777" w:rsidR="00D2477F" w:rsidRPr="00043750" w:rsidRDefault="00D2477F" w:rsidP="008E49A2">
            <w:pPr>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1,483,667</w:t>
            </w:r>
          </w:p>
        </w:tc>
      </w:tr>
      <w:tr w:rsidR="00D2477F" w:rsidRPr="006D711F" w14:paraId="627742A2" w14:textId="77777777" w:rsidTr="008E49A2">
        <w:trPr>
          <w:trHeight w:val="689"/>
        </w:trPr>
        <w:tc>
          <w:tcPr>
            <w:tcW w:w="901" w:type="dxa"/>
            <w:vMerge w:val="restart"/>
            <w:tcBorders>
              <w:top w:val="single" w:sz="4" w:space="0" w:color="auto"/>
            </w:tcBorders>
            <w:shd w:val="clear" w:color="auto" w:fill="auto"/>
            <w:noWrap/>
            <w:textDirection w:val="btLr"/>
            <w:vAlign w:val="center"/>
            <w:hideMark/>
          </w:tcPr>
          <w:p w14:paraId="4EE4889A"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Operation and maintenance cost</w:t>
            </w:r>
          </w:p>
        </w:tc>
        <w:tc>
          <w:tcPr>
            <w:tcW w:w="3373" w:type="dxa"/>
            <w:tcBorders>
              <w:top w:val="single" w:sz="4" w:space="0" w:color="auto"/>
            </w:tcBorders>
            <w:shd w:val="clear" w:color="auto" w:fill="auto"/>
            <w:vAlign w:val="center"/>
            <w:hideMark/>
          </w:tcPr>
          <w:p w14:paraId="30596213" w14:textId="77777777" w:rsidR="00D2477F" w:rsidRPr="00043750" w:rsidRDefault="00D2477F" w:rsidP="008E49A2">
            <w:pPr>
              <w:spacing w:after="0" w:line="480" w:lineRule="auto"/>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Human resources: 6 workers, 6 staff, 7 drivers, and 2 supervisors</w:t>
            </w:r>
          </w:p>
        </w:tc>
        <w:tc>
          <w:tcPr>
            <w:tcW w:w="1844" w:type="dxa"/>
            <w:tcBorders>
              <w:top w:val="single" w:sz="4" w:space="0" w:color="auto"/>
            </w:tcBorders>
            <w:shd w:val="clear" w:color="auto" w:fill="auto"/>
            <w:noWrap/>
            <w:vAlign w:val="center"/>
            <w:hideMark/>
          </w:tcPr>
          <w:p w14:paraId="70143C7B"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191625</w:t>
            </w:r>
          </w:p>
        </w:tc>
        <w:tc>
          <w:tcPr>
            <w:tcW w:w="1362" w:type="dxa"/>
            <w:tcBorders>
              <w:top w:val="single" w:sz="4" w:space="0" w:color="auto"/>
            </w:tcBorders>
            <w:shd w:val="clear" w:color="auto" w:fill="auto"/>
            <w:vAlign w:val="center"/>
            <w:hideMark/>
          </w:tcPr>
          <w:p w14:paraId="536122C2"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200000.0</w:t>
            </w:r>
          </w:p>
        </w:tc>
        <w:tc>
          <w:tcPr>
            <w:tcW w:w="1401" w:type="dxa"/>
            <w:tcBorders>
              <w:top w:val="single" w:sz="4" w:space="0" w:color="auto"/>
            </w:tcBorders>
            <w:shd w:val="clear" w:color="auto" w:fill="auto"/>
            <w:noWrap/>
            <w:vAlign w:val="center"/>
            <w:hideMark/>
          </w:tcPr>
          <w:p w14:paraId="507F51DB"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w:t>
            </w:r>
          </w:p>
        </w:tc>
        <w:tc>
          <w:tcPr>
            <w:tcW w:w="1198" w:type="dxa"/>
            <w:tcBorders>
              <w:top w:val="single" w:sz="4" w:space="0" w:color="auto"/>
            </w:tcBorders>
            <w:shd w:val="clear" w:color="auto" w:fill="auto"/>
            <w:noWrap/>
            <w:vAlign w:val="center"/>
            <w:hideMark/>
          </w:tcPr>
          <w:p w14:paraId="3F740F2F"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200000</w:t>
            </w:r>
          </w:p>
        </w:tc>
      </w:tr>
      <w:tr w:rsidR="00D2477F" w:rsidRPr="006D711F" w14:paraId="6B77C370" w14:textId="77777777" w:rsidTr="008E49A2">
        <w:trPr>
          <w:trHeight w:val="563"/>
        </w:trPr>
        <w:tc>
          <w:tcPr>
            <w:tcW w:w="901" w:type="dxa"/>
            <w:vMerge/>
            <w:shd w:val="clear" w:color="auto" w:fill="auto"/>
            <w:vAlign w:val="center"/>
            <w:hideMark/>
          </w:tcPr>
          <w:p w14:paraId="14442269" w14:textId="77777777" w:rsidR="00D2477F" w:rsidRPr="00043750" w:rsidRDefault="00D2477F" w:rsidP="008E49A2">
            <w:pPr>
              <w:spacing w:after="0" w:line="480" w:lineRule="auto"/>
              <w:rPr>
                <w:rFonts w:asciiTheme="majorBidi" w:eastAsia="Times New Roman" w:hAnsiTheme="majorBidi" w:cstheme="majorBidi"/>
                <w:sz w:val="20"/>
                <w:szCs w:val="20"/>
              </w:rPr>
            </w:pPr>
          </w:p>
        </w:tc>
        <w:tc>
          <w:tcPr>
            <w:tcW w:w="3373" w:type="dxa"/>
            <w:shd w:val="clear" w:color="auto" w:fill="auto"/>
            <w:vAlign w:val="center"/>
            <w:hideMark/>
          </w:tcPr>
          <w:p w14:paraId="14E8DCA8"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Machinery (machine purchase and maintenance and repairs)</w:t>
            </w:r>
          </w:p>
        </w:tc>
        <w:tc>
          <w:tcPr>
            <w:tcW w:w="1844" w:type="dxa"/>
            <w:shd w:val="clear" w:color="auto" w:fill="auto"/>
            <w:vAlign w:val="center"/>
            <w:hideMark/>
          </w:tcPr>
          <w:p w14:paraId="4465C996"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1,184,500.0</w:t>
            </w:r>
          </w:p>
        </w:tc>
        <w:tc>
          <w:tcPr>
            <w:tcW w:w="1362" w:type="dxa"/>
            <w:shd w:val="clear" w:color="auto" w:fill="auto"/>
            <w:vAlign w:val="center"/>
            <w:hideMark/>
          </w:tcPr>
          <w:p w14:paraId="0FF34DF2"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1,200,000.0</w:t>
            </w:r>
          </w:p>
        </w:tc>
        <w:tc>
          <w:tcPr>
            <w:tcW w:w="1401" w:type="dxa"/>
            <w:shd w:val="clear" w:color="auto" w:fill="auto"/>
            <w:noWrap/>
            <w:vAlign w:val="center"/>
            <w:hideMark/>
          </w:tcPr>
          <w:p w14:paraId="0401F736"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25</w:t>
            </w:r>
          </w:p>
        </w:tc>
        <w:tc>
          <w:tcPr>
            <w:tcW w:w="1198" w:type="dxa"/>
            <w:shd w:val="clear" w:color="auto" w:fill="auto"/>
            <w:noWrap/>
            <w:vAlign w:val="center"/>
            <w:hideMark/>
          </w:tcPr>
          <w:p w14:paraId="5A75923B"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48000</w:t>
            </w:r>
          </w:p>
        </w:tc>
      </w:tr>
      <w:tr w:rsidR="00D2477F" w:rsidRPr="006D711F" w14:paraId="3B40DF0B" w14:textId="77777777" w:rsidTr="008E49A2">
        <w:trPr>
          <w:trHeight w:val="332"/>
        </w:trPr>
        <w:tc>
          <w:tcPr>
            <w:tcW w:w="901" w:type="dxa"/>
            <w:vMerge/>
            <w:shd w:val="clear" w:color="auto" w:fill="auto"/>
            <w:vAlign w:val="center"/>
            <w:hideMark/>
          </w:tcPr>
          <w:p w14:paraId="6C919001" w14:textId="77777777" w:rsidR="00D2477F" w:rsidRPr="00043750" w:rsidRDefault="00D2477F" w:rsidP="008E49A2">
            <w:pPr>
              <w:spacing w:after="0" w:line="480" w:lineRule="auto"/>
              <w:rPr>
                <w:rFonts w:asciiTheme="majorBidi" w:eastAsia="Times New Roman" w:hAnsiTheme="majorBidi" w:cstheme="majorBidi"/>
                <w:sz w:val="20"/>
                <w:szCs w:val="20"/>
              </w:rPr>
            </w:pPr>
          </w:p>
        </w:tc>
        <w:tc>
          <w:tcPr>
            <w:tcW w:w="3373" w:type="dxa"/>
            <w:shd w:val="clear" w:color="auto" w:fill="auto"/>
            <w:noWrap/>
            <w:vAlign w:val="center"/>
            <w:hideMark/>
          </w:tcPr>
          <w:p w14:paraId="274E5AFE"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Workers' equipment and supplies</w:t>
            </w:r>
          </w:p>
        </w:tc>
        <w:tc>
          <w:tcPr>
            <w:tcW w:w="1844" w:type="dxa"/>
            <w:shd w:val="clear" w:color="auto" w:fill="auto"/>
            <w:vAlign w:val="center"/>
            <w:hideMark/>
          </w:tcPr>
          <w:p w14:paraId="04059A05"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p>
        </w:tc>
        <w:tc>
          <w:tcPr>
            <w:tcW w:w="1362" w:type="dxa"/>
            <w:shd w:val="clear" w:color="auto" w:fill="auto"/>
            <w:vAlign w:val="center"/>
            <w:hideMark/>
          </w:tcPr>
          <w:p w14:paraId="65F259D3"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p>
        </w:tc>
        <w:tc>
          <w:tcPr>
            <w:tcW w:w="1401" w:type="dxa"/>
            <w:shd w:val="clear" w:color="auto" w:fill="auto"/>
            <w:noWrap/>
            <w:vAlign w:val="center"/>
            <w:hideMark/>
          </w:tcPr>
          <w:p w14:paraId="1D6CF3B5"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p>
        </w:tc>
        <w:tc>
          <w:tcPr>
            <w:tcW w:w="1198" w:type="dxa"/>
            <w:shd w:val="clear" w:color="auto" w:fill="auto"/>
            <w:noWrap/>
            <w:vAlign w:val="center"/>
            <w:hideMark/>
          </w:tcPr>
          <w:p w14:paraId="77CE2A7C"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170000</w:t>
            </w:r>
          </w:p>
        </w:tc>
      </w:tr>
      <w:tr w:rsidR="00D2477F" w:rsidRPr="006D711F" w14:paraId="122195D1" w14:textId="77777777" w:rsidTr="008E49A2">
        <w:trPr>
          <w:trHeight w:val="332"/>
        </w:trPr>
        <w:tc>
          <w:tcPr>
            <w:tcW w:w="901" w:type="dxa"/>
            <w:vMerge/>
            <w:shd w:val="clear" w:color="auto" w:fill="auto"/>
            <w:vAlign w:val="center"/>
            <w:hideMark/>
          </w:tcPr>
          <w:p w14:paraId="42B9768C" w14:textId="77777777" w:rsidR="00D2477F" w:rsidRPr="00043750" w:rsidRDefault="00D2477F" w:rsidP="008E49A2">
            <w:pPr>
              <w:spacing w:after="0" w:line="480" w:lineRule="auto"/>
              <w:rPr>
                <w:rFonts w:asciiTheme="majorBidi" w:eastAsia="Times New Roman" w:hAnsiTheme="majorBidi" w:cstheme="majorBidi"/>
                <w:sz w:val="20"/>
                <w:szCs w:val="20"/>
              </w:rPr>
            </w:pPr>
          </w:p>
        </w:tc>
        <w:tc>
          <w:tcPr>
            <w:tcW w:w="3373" w:type="dxa"/>
            <w:shd w:val="clear" w:color="auto" w:fill="auto"/>
            <w:noWrap/>
            <w:vAlign w:val="center"/>
            <w:hideMark/>
          </w:tcPr>
          <w:p w14:paraId="6005B29F"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Energy (electricity and fuel)</w:t>
            </w:r>
          </w:p>
        </w:tc>
        <w:tc>
          <w:tcPr>
            <w:tcW w:w="1844" w:type="dxa"/>
            <w:shd w:val="clear" w:color="auto" w:fill="auto"/>
            <w:vAlign w:val="center"/>
            <w:hideMark/>
          </w:tcPr>
          <w:p w14:paraId="55A26ED4"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68416</w:t>
            </w:r>
          </w:p>
        </w:tc>
        <w:tc>
          <w:tcPr>
            <w:tcW w:w="1362" w:type="dxa"/>
            <w:shd w:val="clear" w:color="auto" w:fill="auto"/>
            <w:vAlign w:val="center"/>
            <w:hideMark/>
          </w:tcPr>
          <w:p w14:paraId="53829886"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100000.0</w:t>
            </w:r>
          </w:p>
        </w:tc>
        <w:tc>
          <w:tcPr>
            <w:tcW w:w="1401" w:type="dxa"/>
            <w:shd w:val="clear" w:color="auto" w:fill="auto"/>
            <w:noWrap/>
            <w:vAlign w:val="center"/>
            <w:hideMark/>
          </w:tcPr>
          <w:p w14:paraId="542240E4"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w:t>
            </w:r>
          </w:p>
        </w:tc>
        <w:tc>
          <w:tcPr>
            <w:tcW w:w="1198" w:type="dxa"/>
            <w:shd w:val="clear" w:color="auto" w:fill="auto"/>
            <w:noWrap/>
            <w:vAlign w:val="center"/>
            <w:hideMark/>
          </w:tcPr>
          <w:p w14:paraId="41206077"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100000</w:t>
            </w:r>
          </w:p>
        </w:tc>
      </w:tr>
      <w:tr w:rsidR="00D2477F" w:rsidRPr="006D711F" w14:paraId="005A42F7" w14:textId="77777777" w:rsidTr="008E49A2">
        <w:trPr>
          <w:trHeight w:val="43"/>
        </w:trPr>
        <w:tc>
          <w:tcPr>
            <w:tcW w:w="901" w:type="dxa"/>
            <w:vMerge/>
            <w:shd w:val="clear" w:color="auto" w:fill="auto"/>
            <w:vAlign w:val="center"/>
            <w:hideMark/>
          </w:tcPr>
          <w:p w14:paraId="2D7D2B93" w14:textId="77777777" w:rsidR="00D2477F" w:rsidRPr="00043750" w:rsidRDefault="00D2477F" w:rsidP="008E49A2">
            <w:pPr>
              <w:spacing w:after="0" w:line="480" w:lineRule="auto"/>
              <w:rPr>
                <w:rFonts w:asciiTheme="majorBidi" w:eastAsia="Times New Roman" w:hAnsiTheme="majorBidi" w:cstheme="majorBidi"/>
                <w:sz w:val="20"/>
                <w:szCs w:val="20"/>
              </w:rPr>
            </w:pPr>
          </w:p>
        </w:tc>
        <w:tc>
          <w:tcPr>
            <w:tcW w:w="3373" w:type="dxa"/>
            <w:tcBorders>
              <w:bottom w:val="single" w:sz="4" w:space="0" w:color="auto"/>
            </w:tcBorders>
            <w:shd w:val="clear" w:color="auto" w:fill="auto"/>
            <w:noWrap/>
            <w:vAlign w:val="center"/>
            <w:hideMark/>
          </w:tcPr>
          <w:p w14:paraId="35FD662B" w14:textId="77777777" w:rsidR="00D2477F" w:rsidRPr="00043750" w:rsidRDefault="00D2477F" w:rsidP="008E49A2">
            <w:pPr>
              <w:spacing w:after="0" w:line="480" w:lineRule="auto"/>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Overhead costs 41%</w:t>
            </w:r>
          </w:p>
        </w:tc>
        <w:tc>
          <w:tcPr>
            <w:tcW w:w="1844" w:type="dxa"/>
            <w:tcBorders>
              <w:bottom w:val="single" w:sz="4" w:space="0" w:color="auto"/>
            </w:tcBorders>
            <w:shd w:val="clear" w:color="auto" w:fill="auto"/>
            <w:vAlign w:val="center"/>
            <w:hideMark/>
          </w:tcPr>
          <w:p w14:paraId="55454933" w14:textId="77777777" w:rsidR="00D2477F" w:rsidRPr="00043750" w:rsidRDefault="00D2477F" w:rsidP="008E49A2">
            <w:pPr>
              <w:spacing w:after="0" w:line="480" w:lineRule="auto"/>
              <w:jc w:val="center"/>
              <w:rPr>
                <w:rFonts w:asciiTheme="majorBidi" w:eastAsia="Times New Roman" w:hAnsiTheme="majorBidi" w:cstheme="majorBidi"/>
                <w:sz w:val="20"/>
                <w:szCs w:val="20"/>
                <w:rtl/>
                <w:lang w:bidi="fa-IR"/>
              </w:rPr>
            </w:pPr>
          </w:p>
        </w:tc>
        <w:tc>
          <w:tcPr>
            <w:tcW w:w="1362" w:type="dxa"/>
            <w:tcBorders>
              <w:bottom w:val="single" w:sz="4" w:space="0" w:color="auto"/>
            </w:tcBorders>
            <w:shd w:val="clear" w:color="auto" w:fill="auto"/>
            <w:vAlign w:val="center"/>
            <w:hideMark/>
          </w:tcPr>
          <w:p w14:paraId="5E16119A"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p>
        </w:tc>
        <w:tc>
          <w:tcPr>
            <w:tcW w:w="1401" w:type="dxa"/>
            <w:tcBorders>
              <w:bottom w:val="single" w:sz="4" w:space="0" w:color="auto"/>
            </w:tcBorders>
            <w:shd w:val="clear" w:color="auto" w:fill="auto"/>
            <w:noWrap/>
            <w:vAlign w:val="center"/>
            <w:hideMark/>
          </w:tcPr>
          <w:p w14:paraId="0FAE2640"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p>
        </w:tc>
        <w:tc>
          <w:tcPr>
            <w:tcW w:w="1198" w:type="dxa"/>
            <w:tcBorders>
              <w:bottom w:val="single" w:sz="4" w:space="0" w:color="auto"/>
            </w:tcBorders>
            <w:shd w:val="clear" w:color="auto" w:fill="auto"/>
            <w:noWrap/>
            <w:vAlign w:val="center"/>
            <w:hideMark/>
          </w:tcPr>
          <w:p w14:paraId="26FE2EE8"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208946</w:t>
            </w:r>
          </w:p>
        </w:tc>
      </w:tr>
      <w:tr w:rsidR="00D2477F" w:rsidRPr="006D711F" w14:paraId="5192B4AD" w14:textId="77777777" w:rsidTr="008E49A2">
        <w:trPr>
          <w:trHeight w:val="139"/>
        </w:trPr>
        <w:tc>
          <w:tcPr>
            <w:tcW w:w="901" w:type="dxa"/>
            <w:vMerge/>
            <w:tcBorders>
              <w:bottom w:val="single" w:sz="4" w:space="0" w:color="auto"/>
            </w:tcBorders>
            <w:shd w:val="clear" w:color="auto" w:fill="auto"/>
            <w:vAlign w:val="center"/>
            <w:hideMark/>
          </w:tcPr>
          <w:p w14:paraId="21C7B88D" w14:textId="77777777" w:rsidR="00D2477F" w:rsidRPr="00043750" w:rsidRDefault="00D2477F" w:rsidP="008E49A2">
            <w:pPr>
              <w:spacing w:after="0" w:line="480" w:lineRule="auto"/>
              <w:rPr>
                <w:rFonts w:asciiTheme="majorBidi" w:eastAsia="Times New Roman" w:hAnsiTheme="majorBidi" w:cstheme="majorBidi"/>
                <w:sz w:val="20"/>
                <w:szCs w:val="20"/>
              </w:rPr>
            </w:pPr>
          </w:p>
        </w:tc>
        <w:tc>
          <w:tcPr>
            <w:tcW w:w="7980" w:type="dxa"/>
            <w:gridSpan w:val="4"/>
            <w:tcBorders>
              <w:top w:val="single" w:sz="4" w:space="0" w:color="auto"/>
              <w:bottom w:val="single" w:sz="4" w:space="0" w:color="auto"/>
            </w:tcBorders>
            <w:shd w:val="clear" w:color="auto" w:fill="auto"/>
            <w:vAlign w:val="center"/>
            <w:hideMark/>
          </w:tcPr>
          <w:p w14:paraId="05FFC342" w14:textId="77777777" w:rsidR="00D2477F" w:rsidRPr="00043750" w:rsidRDefault="00D2477F" w:rsidP="008E49A2">
            <w:pPr>
              <w:spacing w:after="0" w:line="480" w:lineRule="auto"/>
              <w:jc w:val="center"/>
              <w:rPr>
                <w:rFonts w:asciiTheme="majorBidi" w:eastAsia="Times New Roman" w:hAnsiTheme="majorBidi" w:cstheme="majorBidi"/>
                <w:b/>
                <w:bCs/>
                <w:sz w:val="20"/>
                <w:szCs w:val="20"/>
              </w:rPr>
            </w:pPr>
            <w:r w:rsidRPr="00043750">
              <w:rPr>
                <w:rFonts w:asciiTheme="majorBidi" w:eastAsia="Times New Roman" w:hAnsiTheme="majorBidi" w:cstheme="majorBidi"/>
                <w:b/>
                <w:bCs/>
                <w:sz w:val="20"/>
                <w:szCs w:val="20"/>
              </w:rPr>
              <w:t>Total Annual Maintenance and Operation Costs</w:t>
            </w:r>
          </w:p>
        </w:tc>
        <w:tc>
          <w:tcPr>
            <w:tcW w:w="1198" w:type="dxa"/>
            <w:tcBorders>
              <w:top w:val="single" w:sz="4" w:space="0" w:color="auto"/>
              <w:bottom w:val="single" w:sz="4" w:space="0" w:color="auto"/>
            </w:tcBorders>
            <w:shd w:val="clear" w:color="auto" w:fill="auto"/>
            <w:noWrap/>
            <w:vAlign w:val="center"/>
            <w:hideMark/>
          </w:tcPr>
          <w:p w14:paraId="3FF26829"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726946</w:t>
            </w:r>
          </w:p>
        </w:tc>
      </w:tr>
      <w:tr w:rsidR="00D2477F" w:rsidRPr="006D711F" w14:paraId="1B6A7C68" w14:textId="77777777" w:rsidTr="008E49A2">
        <w:trPr>
          <w:trHeight w:val="355"/>
        </w:trPr>
        <w:tc>
          <w:tcPr>
            <w:tcW w:w="6118" w:type="dxa"/>
            <w:gridSpan w:val="3"/>
            <w:tcBorders>
              <w:top w:val="single" w:sz="4" w:space="0" w:color="auto"/>
            </w:tcBorders>
            <w:shd w:val="clear" w:color="auto" w:fill="auto"/>
            <w:noWrap/>
            <w:vAlign w:val="center"/>
            <w:hideMark/>
          </w:tcPr>
          <w:p w14:paraId="042A2B24"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Total cost (USD)</w:t>
            </w:r>
          </w:p>
        </w:tc>
        <w:tc>
          <w:tcPr>
            <w:tcW w:w="3961" w:type="dxa"/>
            <w:gridSpan w:val="3"/>
            <w:tcBorders>
              <w:top w:val="single" w:sz="4" w:space="0" w:color="auto"/>
            </w:tcBorders>
            <w:shd w:val="clear" w:color="auto" w:fill="auto"/>
            <w:noWrap/>
            <w:vAlign w:val="center"/>
            <w:hideMark/>
          </w:tcPr>
          <w:p w14:paraId="60C5B2D5"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2,210,613</w:t>
            </w:r>
          </w:p>
        </w:tc>
      </w:tr>
      <w:tr w:rsidR="00D2477F" w:rsidRPr="006D711F" w14:paraId="15C44B62" w14:textId="77777777" w:rsidTr="008E49A2">
        <w:trPr>
          <w:trHeight w:val="355"/>
        </w:trPr>
        <w:tc>
          <w:tcPr>
            <w:tcW w:w="6118" w:type="dxa"/>
            <w:gridSpan w:val="3"/>
            <w:shd w:val="clear" w:color="auto" w:fill="auto"/>
            <w:noWrap/>
            <w:vAlign w:val="center"/>
            <w:hideMark/>
          </w:tcPr>
          <w:p w14:paraId="5F337241"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Total salt produced, including 60% precipitation (kg)</w:t>
            </w:r>
          </w:p>
        </w:tc>
        <w:tc>
          <w:tcPr>
            <w:tcW w:w="3961" w:type="dxa"/>
            <w:gridSpan w:val="3"/>
            <w:shd w:val="clear" w:color="auto" w:fill="auto"/>
            <w:noWrap/>
            <w:vAlign w:val="center"/>
            <w:hideMark/>
          </w:tcPr>
          <w:p w14:paraId="53B30499"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49420000</w:t>
            </w:r>
          </w:p>
        </w:tc>
      </w:tr>
      <w:tr w:rsidR="00D2477F" w:rsidRPr="006D711F" w14:paraId="59F17FE6" w14:textId="77777777" w:rsidTr="008E49A2">
        <w:trPr>
          <w:trHeight w:val="43"/>
        </w:trPr>
        <w:tc>
          <w:tcPr>
            <w:tcW w:w="6118" w:type="dxa"/>
            <w:gridSpan w:val="3"/>
            <w:tcBorders>
              <w:bottom w:val="single" w:sz="4" w:space="0" w:color="auto"/>
            </w:tcBorders>
            <w:shd w:val="clear" w:color="auto" w:fill="auto"/>
            <w:noWrap/>
            <w:vAlign w:val="center"/>
            <w:hideMark/>
          </w:tcPr>
          <w:p w14:paraId="268CB45D" w14:textId="77777777" w:rsidR="00D2477F" w:rsidRPr="00043750" w:rsidRDefault="00D2477F" w:rsidP="008E49A2">
            <w:pPr>
              <w:spacing w:after="0" w:line="480" w:lineRule="auto"/>
              <w:jc w:val="center"/>
              <w:rPr>
                <w:rFonts w:asciiTheme="majorBidi" w:eastAsia="Times New Roman" w:hAnsiTheme="majorBidi" w:cstheme="majorBidi"/>
                <w:sz w:val="20"/>
                <w:szCs w:val="20"/>
              </w:rPr>
            </w:pPr>
            <w:r w:rsidRPr="00043750">
              <w:rPr>
                <w:rFonts w:asciiTheme="majorBidi" w:eastAsia="Times New Roman" w:hAnsiTheme="majorBidi" w:cstheme="majorBidi"/>
                <w:sz w:val="20"/>
                <w:szCs w:val="20"/>
              </w:rPr>
              <w:t xml:space="preserve">Unit Cost </w:t>
            </w:r>
            <w:r w:rsidRPr="00043750">
              <w:rPr>
                <w:rFonts w:eastAsia="Times New Roman"/>
                <w:sz w:val="20"/>
                <w:szCs w:val="20"/>
              </w:rPr>
              <w:t>(</w:t>
            </w:r>
            <w:r w:rsidRPr="00043750">
              <w:rPr>
                <w:rFonts w:asciiTheme="majorBidi" w:eastAsia="Times New Roman" w:hAnsiTheme="majorBidi" w:cstheme="majorBidi"/>
                <w:sz w:val="20"/>
                <w:szCs w:val="20"/>
              </w:rPr>
              <w:t>USD/kg)</w:t>
            </w:r>
          </w:p>
        </w:tc>
        <w:tc>
          <w:tcPr>
            <w:tcW w:w="3961" w:type="dxa"/>
            <w:gridSpan w:val="3"/>
            <w:tcBorders>
              <w:bottom w:val="single" w:sz="4" w:space="0" w:color="auto"/>
            </w:tcBorders>
            <w:shd w:val="clear" w:color="auto" w:fill="auto"/>
            <w:noWrap/>
            <w:vAlign w:val="center"/>
            <w:hideMark/>
          </w:tcPr>
          <w:p w14:paraId="7EF00B61" w14:textId="77777777" w:rsidR="00D2477F" w:rsidRPr="00043750" w:rsidRDefault="00D2477F" w:rsidP="008E49A2">
            <w:pPr>
              <w:spacing w:after="0" w:line="480" w:lineRule="auto"/>
              <w:jc w:val="center"/>
              <w:rPr>
                <w:rFonts w:asciiTheme="majorBidi" w:eastAsia="Times New Roman" w:hAnsiTheme="majorBidi" w:cstheme="majorBidi"/>
                <w:sz w:val="20"/>
                <w:szCs w:val="20"/>
                <w:rtl/>
              </w:rPr>
            </w:pPr>
            <w:r w:rsidRPr="00043750">
              <w:rPr>
                <w:rFonts w:asciiTheme="majorBidi" w:eastAsia="Times New Roman" w:hAnsiTheme="majorBidi" w:cstheme="majorBidi"/>
                <w:sz w:val="20"/>
                <w:szCs w:val="20"/>
              </w:rPr>
              <w:t>0.045</w:t>
            </w:r>
          </w:p>
        </w:tc>
      </w:tr>
    </w:tbl>
    <w:p w14:paraId="20C4778B" w14:textId="77777777" w:rsidR="00D2477F" w:rsidRPr="006D711F" w:rsidRDefault="00D2477F" w:rsidP="00D2477F">
      <w:pPr>
        <w:spacing w:before="360" w:line="480" w:lineRule="auto"/>
        <w:jc w:val="both"/>
        <w:rPr>
          <w:rFonts w:asciiTheme="majorBidi" w:hAnsiTheme="majorBidi" w:cstheme="majorBidi"/>
          <w:sz w:val="24"/>
          <w:szCs w:val="24"/>
        </w:rPr>
      </w:pPr>
      <w:r w:rsidRPr="006D711F">
        <w:rPr>
          <w:rFonts w:asciiTheme="majorBidi" w:hAnsiTheme="majorBidi" w:cstheme="majorBidi"/>
          <w:sz w:val="24"/>
          <w:szCs w:val="24"/>
        </w:rPr>
        <w:t>The final cost of 0.04, is represented in Table 3 (for Sodium Chloride).</w:t>
      </w:r>
    </w:p>
    <w:p w14:paraId="0DF65EE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77F"/>
    <w:rsid w:val="006333CF"/>
    <w:rsid w:val="007278E4"/>
    <w:rsid w:val="00A3738C"/>
    <w:rsid w:val="00CB270D"/>
    <w:rsid w:val="00D2477F"/>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88AD2"/>
  <w15:chartTrackingRefBased/>
  <w15:docId w15:val="{E59D23E8-1227-40D0-8801-0A0F4F4CF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77F"/>
    <w:pPr>
      <w:spacing w:line="259" w:lineRule="auto"/>
    </w:pPr>
    <w:rPr>
      <w:kern w:val="0"/>
      <w:sz w:val="22"/>
      <w:szCs w:val="22"/>
      <w14:ligatures w14:val="none"/>
    </w:rPr>
  </w:style>
  <w:style w:type="paragraph" w:styleId="Heading1">
    <w:name w:val="heading 1"/>
    <w:basedOn w:val="Normal"/>
    <w:next w:val="Normal"/>
    <w:link w:val="Heading1Char"/>
    <w:uiPriority w:val="9"/>
    <w:qFormat/>
    <w:rsid w:val="00D2477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2477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2477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2477F"/>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2477F"/>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2477F"/>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2477F"/>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2477F"/>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2477F"/>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7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47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47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47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47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47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7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7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77F"/>
    <w:rPr>
      <w:rFonts w:eastAsiaTheme="majorEastAsia" w:cstheme="majorBidi"/>
      <w:color w:val="272727" w:themeColor="text1" w:themeTint="D8"/>
    </w:rPr>
  </w:style>
  <w:style w:type="paragraph" w:styleId="Title">
    <w:name w:val="Title"/>
    <w:basedOn w:val="Normal"/>
    <w:next w:val="Normal"/>
    <w:link w:val="TitleChar"/>
    <w:uiPriority w:val="10"/>
    <w:qFormat/>
    <w:rsid w:val="00D2477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247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477F"/>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247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477F"/>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2477F"/>
    <w:rPr>
      <w:i/>
      <w:iCs/>
      <w:color w:val="404040" w:themeColor="text1" w:themeTint="BF"/>
    </w:rPr>
  </w:style>
  <w:style w:type="paragraph" w:styleId="ListParagraph">
    <w:name w:val="List Paragraph"/>
    <w:basedOn w:val="Normal"/>
    <w:uiPriority w:val="34"/>
    <w:qFormat/>
    <w:rsid w:val="00D2477F"/>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D2477F"/>
    <w:rPr>
      <w:i/>
      <w:iCs/>
      <w:color w:val="0F4761" w:themeColor="accent1" w:themeShade="BF"/>
    </w:rPr>
  </w:style>
  <w:style w:type="paragraph" w:styleId="IntenseQuote">
    <w:name w:val="Intense Quote"/>
    <w:basedOn w:val="Normal"/>
    <w:next w:val="Normal"/>
    <w:link w:val="IntenseQuoteChar"/>
    <w:uiPriority w:val="30"/>
    <w:qFormat/>
    <w:rsid w:val="00D2477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2477F"/>
    <w:rPr>
      <w:i/>
      <w:iCs/>
      <w:color w:val="0F4761" w:themeColor="accent1" w:themeShade="BF"/>
    </w:rPr>
  </w:style>
  <w:style w:type="character" w:styleId="IntenseReference">
    <w:name w:val="Intense Reference"/>
    <w:basedOn w:val="DefaultParagraphFont"/>
    <w:uiPriority w:val="32"/>
    <w:qFormat/>
    <w:rsid w:val="00D247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334</Words>
  <Characters>1906</Characters>
  <Application>Microsoft Office Word</Application>
  <DocSecurity>0</DocSecurity>
  <Lines>15</Lines>
  <Paragraphs>4</Paragraphs>
  <ScaleCrop>false</ScaleCrop>
  <Company>Springer Nature</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2025-04-15T09:24:00Z</dcterms:created>
  <dcterms:modified xsi:type="dcterms:W3CDTF">2025-04-15T09:24:00Z</dcterms:modified>
</cp:coreProperties>
</file>