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B7EA01" w14:textId="77777777" w:rsidR="002B3F4C" w:rsidRPr="0015448A" w:rsidRDefault="002B3F4C" w:rsidP="002B3F4C">
      <w:pPr>
        <w:spacing w:line="360" w:lineRule="auto"/>
        <w:jc w:val="center"/>
        <w:rPr>
          <w:rFonts w:ascii="Arial" w:eastAsia="等线" w:hAnsi="Arial" w:cs="Arial"/>
          <w:b/>
          <w:color w:val="000000" w:themeColor="text1"/>
          <w:sz w:val="32"/>
          <w:szCs w:val="32"/>
        </w:rPr>
      </w:pPr>
      <w:bookmarkStart w:id="0" w:name="_Hlk58702569"/>
      <w:r w:rsidRPr="0015448A">
        <w:rPr>
          <w:rFonts w:ascii="Arial" w:eastAsia="等线" w:hAnsi="Arial" w:cs="Arial"/>
          <w:b/>
          <w:color w:val="000000" w:themeColor="text1"/>
          <w:sz w:val="32"/>
          <w:szCs w:val="32"/>
        </w:rPr>
        <w:t>Supplemental Material</w:t>
      </w:r>
    </w:p>
    <w:p w14:paraId="3355776D" w14:textId="69CA7DFA" w:rsidR="00786CA3" w:rsidRPr="00DE72C2" w:rsidRDefault="00786CA3" w:rsidP="00C85D7B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F774D9">
        <w:rPr>
          <w:rFonts w:ascii="Arial" w:hAnsi="Arial" w:cs="Arial"/>
          <w:b/>
          <w:color w:val="000000" w:themeColor="text1"/>
          <w:sz w:val="24"/>
          <w:szCs w:val="24"/>
        </w:rPr>
        <w:t>Figure legends</w:t>
      </w:r>
    </w:p>
    <w:p w14:paraId="70D35B26" w14:textId="77777777" w:rsidR="00786CA3" w:rsidRPr="00F774D9" w:rsidRDefault="00786CA3" w:rsidP="00786CA3">
      <w:pPr>
        <w:widowControl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EFBA63E" w14:textId="127E9FBF" w:rsidR="00786CA3" w:rsidRPr="00F774D9" w:rsidRDefault="00F95A17" w:rsidP="00786CA3">
      <w:pPr>
        <w:widowControl/>
        <w:rPr>
          <w:rFonts w:ascii="Arial" w:hAnsi="Arial" w:cs="Arial"/>
          <w:color w:val="000000" w:themeColor="text1"/>
        </w:rPr>
      </w:pPr>
      <w:r>
        <w:rPr>
          <w:noProof/>
        </w:rPr>
        <w:drawing>
          <wp:inline distT="0" distB="0" distL="0" distR="0" wp14:anchorId="5AE8BAF1" wp14:editId="4C17498C">
            <wp:extent cx="5274310" cy="5730240"/>
            <wp:effectExtent l="0" t="0" r="2540" b="3810"/>
            <wp:docPr id="1165639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73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DECE4" w14:textId="1580C92A" w:rsidR="001B661B" w:rsidRPr="001B661B" w:rsidRDefault="001B661B" w:rsidP="001B661B">
      <w:pPr>
        <w:widowControl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B661B">
        <w:rPr>
          <w:rFonts w:ascii="Arial" w:hAnsi="Arial" w:cs="Arial"/>
          <w:b/>
          <w:bCs/>
          <w:color w:val="000000" w:themeColor="text1"/>
          <w:sz w:val="24"/>
          <w:szCs w:val="24"/>
        </w:rPr>
        <w:t>Figure</w:t>
      </w:r>
      <w:r w:rsidR="0014221B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 xml:space="preserve"> S1</w:t>
      </w:r>
      <w:r w:rsidRPr="001B661B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. </w:t>
      </w:r>
    </w:p>
    <w:p w14:paraId="630B0EC2" w14:textId="2431B21C" w:rsidR="00D94183" w:rsidRDefault="00DA6EB7" w:rsidP="001B661B">
      <w:pPr>
        <w:widowControl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>Changes in autophagy levels</w:t>
      </w:r>
      <w:r w:rsidR="00DE7F73" w:rsidRPr="0070526C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 xml:space="preserve"> and CCR5 levels</w:t>
      </w:r>
      <w:r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after application of </w:t>
      </w:r>
      <w:r w:rsidR="00A62FD9"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>clodronate-liposomes</w:t>
      </w:r>
      <w:r w:rsidR="00A62FD9" w:rsidRPr="0070526C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 xml:space="preserve"> (Clo-Lip)</w:t>
      </w:r>
      <w:r w:rsidR="0070526C">
        <w:rPr>
          <w:rFonts w:ascii="Arial" w:hAnsi="Arial" w:cs="Arial" w:hint="eastAsia"/>
          <w:color w:val="000000" w:themeColor="text1"/>
          <w:sz w:val="24"/>
          <w:szCs w:val="24"/>
        </w:rPr>
        <w:t>.</w:t>
      </w:r>
      <w:r w:rsidR="00786CA3" w:rsidRPr="0070526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961DD"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5961DD" w:rsidRPr="0070526C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A</w:t>
      </w:r>
      <w:r w:rsidR="005961DD"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and </w:t>
      </w:r>
      <w:r w:rsidR="005961DD" w:rsidRPr="0070526C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B</w:t>
      </w:r>
      <w:r w:rsidR="005961DD"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="005961DD" w:rsidRPr="005961D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F790C" w:rsidRPr="007F790C">
        <w:rPr>
          <w:rFonts w:ascii="Arial" w:hAnsi="Arial" w:cs="Arial"/>
          <w:color w:val="000000" w:themeColor="text1"/>
          <w:sz w:val="24"/>
          <w:szCs w:val="24"/>
        </w:rPr>
        <w:t xml:space="preserve">Compared with the Sham group, </w:t>
      </w:r>
      <w:r w:rsidR="004A177C">
        <w:rPr>
          <w:rFonts w:ascii="Arial" w:hAnsi="Arial" w:cs="Arial" w:hint="eastAsia"/>
          <w:color w:val="000000" w:themeColor="text1"/>
          <w:sz w:val="24"/>
          <w:szCs w:val="24"/>
        </w:rPr>
        <w:t>t</w:t>
      </w:r>
      <w:r w:rsidR="004A177C" w:rsidRPr="004A177C">
        <w:rPr>
          <w:rFonts w:ascii="Arial" w:hAnsi="Arial" w:cs="Arial"/>
          <w:color w:val="000000" w:themeColor="text1"/>
          <w:sz w:val="24"/>
          <w:szCs w:val="24"/>
        </w:rPr>
        <w:t xml:space="preserve">he expression levels of autophagy-related proteins, including LC3-II, Beclin 1, </w:t>
      </w:r>
      <w:r w:rsidR="00D94183">
        <w:rPr>
          <w:rFonts w:ascii="Arial" w:hAnsi="Arial" w:cs="Arial" w:hint="eastAsia"/>
          <w:color w:val="000000" w:themeColor="text1"/>
          <w:sz w:val="24"/>
          <w:szCs w:val="24"/>
        </w:rPr>
        <w:t xml:space="preserve">and </w:t>
      </w:r>
      <w:r w:rsidR="004A177C" w:rsidRPr="004A177C">
        <w:rPr>
          <w:rFonts w:ascii="Arial" w:hAnsi="Arial" w:cs="Arial"/>
          <w:color w:val="000000" w:themeColor="text1"/>
          <w:sz w:val="24"/>
          <w:szCs w:val="24"/>
        </w:rPr>
        <w:t>ATG5</w:t>
      </w:r>
      <w:r w:rsidR="007F790C" w:rsidRPr="007F790C">
        <w:rPr>
          <w:rFonts w:ascii="Arial" w:hAnsi="Arial" w:cs="Arial"/>
          <w:color w:val="000000" w:themeColor="text1"/>
          <w:sz w:val="24"/>
          <w:szCs w:val="24"/>
        </w:rPr>
        <w:t xml:space="preserve"> were clearly increased in DHCA group, indicating that autophagy was activated after DHCA.</w:t>
      </w:r>
      <w:r w:rsidR="007F790C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="00D94183" w:rsidRPr="00D94183">
        <w:rPr>
          <w:rFonts w:ascii="Arial" w:hAnsi="Arial" w:cs="Arial"/>
          <w:color w:val="000000" w:themeColor="text1"/>
          <w:sz w:val="24"/>
          <w:szCs w:val="24"/>
        </w:rPr>
        <w:t>In contrast, after the administration of Clo-Lip, rats showed a recovery of autophagy-related protein expression</w:t>
      </w:r>
      <w:r w:rsidR="0019583D">
        <w:rPr>
          <w:rFonts w:ascii="Arial" w:hAnsi="Arial" w:cs="Arial" w:hint="eastAsia"/>
          <w:color w:val="000000" w:themeColor="text1"/>
          <w:sz w:val="24"/>
          <w:szCs w:val="24"/>
        </w:rPr>
        <w:t>,</w:t>
      </w:r>
      <w:r w:rsidR="0019583D" w:rsidRPr="0019583D">
        <w:t xml:space="preserve"> </w:t>
      </w:r>
      <w:r w:rsidR="0019583D" w:rsidRPr="0019583D">
        <w:rPr>
          <w:rFonts w:ascii="Arial" w:hAnsi="Arial" w:cs="Arial"/>
          <w:color w:val="000000" w:themeColor="text1"/>
          <w:sz w:val="24"/>
          <w:szCs w:val="24"/>
        </w:rPr>
        <w:t xml:space="preserve">which was </w:t>
      </w:r>
      <w:r w:rsidR="0019583D" w:rsidRPr="0019583D">
        <w:rPr>
          <w:rFonts w:ascii="Arial" w:hAnsi="Arial" w:cs="Arial"/>
          <w:color w:val="000000" w:themeColor="text1"/>
          <w:sz w:val="24"/>
          <w:szCs w:val="24"/>
        </w:rPr>
        <w:lastRenderedPageBreak/>
        <w:t>eventually even approached the autophagy level in the Sham group.</w:t>
      </w:r>
      <w:r w:rsidR="00724CA9" w:rsidRPr="00724CA9">
        <w:t xml:space="preserve"> </w:t>
      </w:r>
      <w:r w:rsidR="00724CA9" w:rsidRPr="00724CA9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724CA9" w:rsidRPr="00724CA9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C</w:t>
      </w:r>
      <w:r w:rsidR="00724CA9" w:rsidRPr="00724CA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and </w:t>
      </w:r>
      <w:r w:rsidR="00724CA9" w:rsidRPr="00724CA9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D</w:t>
      </w:r>
      <w:r w:rsidR="00724CA9" w:rsidRPr="00724CA9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) </w:t>
      </w:r>
      <w:r w:rsidR="00724CA9" w:rsidRPr="00724CA9">
        <w:rPr>
          <w:rFonts w:ascii="Arial" w:hAnsi="Arial" w:cs="Arial"/>
          <w:color w:val="000000" w:themeColor="text1"/>
          <w:sz w:val="24"/>
          <w:szCs w:val="24"/>
        </w:rPr>
        <w:t>C</w:t>
      </w:r>
      <w:r w:rsidR="006B0F3D" w:rsidRPr="006B0F3D">
        <w:rPr>
          <w:rFonts w:ascii="Arial" w:hAnsi="Arial" w:cs="Arial"/>
          <w:color w:val="000000" w:themeColor="text1"/>
          <w:sz w:val="24"/>
          <w:szCs w:val="24"/>
        </w:rPr>
        <w:t xml:space="preserve">ompared with the Sham group, the expression level of </w:t>
      </w:r>
      <w:r w:rsidR="006B0F3D">
        <w:rPr>
          <w:rFonts w:ascii="Arial" w:hAnsi="Arial" w:cs="Arial" w:hint="eastAsia"/>
          <w:color w:val="000000" w:themeColor="text1"/>
          <w:sz w:val="24"/>
          <w:szCs w:val="24"/>
        </w:rPr>
        <w:t xml:space="preserve">CCR5 </w:t>
      </w:r>
      <w:r w:rsidR="006B0F3D" w:rsidRPr="006B0F3D">
        <w:rPr>
          <w:rFonts w:ascii="Arial" w:hAnsi="Arial" w:cs="Arial"/>
          <w:color w:val="000000" w:themeColor="text1"/>
          <w:sz w:val="24"/>
          <w:szCs w:val="24"/>
        </w:rPr>
        <w:t>w</w:t>
      </w:r>
      <w:r w:rsidR="006B0F3D">
        <w:rPr>
          <w:rFonts w:ascii="Arial" w:hAnsi="Arial" w:cs="Arial" w:hint="eastAsia"/>
          <w:color w:val="000000" w:themeColor="text1"/>
          <w:sz w:val="24"/>
          <w:szCs w:val="24"/>
        </w:rPr>
        <w:t>as</w:t>
      </w:r>
      <w:r w:rsidR="006B0F3D" w:rsidRPr="006B0F3D">
        <w:rPr>
          <w:rFonts w:ascii="Arial" w:hAnsi="Arial" w:cs="Arial"/>
          <w:color w:val="000000" w:themeColor="text1"/>
          <w:sz w:val="24"/>
          <w:szCs w:val="24"/>
        </w:rPr>
        <w:t xml:space="preserve"> clearly increased in DHCA group. </w:t>
      </w:r>
      <w:r w:rsidR="00D14D2E">
        <w:rPr>
          <w:rFonts w:ascii="Arial" w:hAnsi="Arial" w:cs="Arial" w:hint="eastAsia"/>
          <w:color w:val="000000" w:themeColor="text1"/>
          <w:sz w:val="24"/>
          <w:szCs w:val="24"/>
        </w:rPr>
        <w:t>Notably</w:t>
      </w:r>
      <w:r w:rsidR="006B0F3D" w:rsidRPr="006B0F3D">
        <w:rPr>
          <w:rFonts w:ascii="Arial" w:hAnsi="Arial" w:cs="Arial"/>
          <w:color w:val="000000" w:themeColor="text1"/>
          <w:sz w:val="24"/>
          <w:szCs w:val="24"/>
        </w:rPr>
        <w:t xml:space="preserve">, after the administration of </w:t>
      </w:r>
      <w:r w:rsidR="00D14D2E">
        <w:rPr>
          <w:rFonts w:ascii="Arial" w:hAnsi="Arial" w:cs="Arial" w:hint="eastAsia"/>
          <w:color w:val="000000" w:themeColor="text1"/>
          <w:sz w:val="24"/>
          <w:szCs w:val="24"/>
        </w:rPr>
        <w:t>maraviroc (MVC)</w:t>
      </w:r>
      <w:r w:rsidR="006B0F3D" w:rsidRPr="006B0F3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595FA6" w:rsidRPr="00595FA6">
        <w:rPr>
          <w:rFonts w:ascii="Arial" w:hAnsi="Arial" w:cs="Arial"/>
          <w:color w:val="000000" w:themeColor="text1"/>
          <w:sz w:val="24"/>
          <w:szCs w:val="24"/>
        </w:rPr>
        <w:t>the expression level of CCR5</w:t>
      </w:r>
      <w:r w:rsidR="00595FA6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="00D14D2E" w:rsidRPr="00D14D2E">
        <w:rPr>
          <w:rFonts w:ascii="Arial" w:hAnsi="Arial" w:cs="Arial"/>
          <w:color w:val="000000" w:themeColor="text1"/>
          <w:sz w:val="24"/>
          <w:szCs w:val="24"/>
        </w:rPr>
        <w:t>was suppressed after DHCA.</w:t>
      </w:r>
    </w:p>
    <w:bookmarkEnd w:id="0"/>
    <w:p w14:paraId="513A2F1D" w14:textId="7604EB6A" w:rsidR="00CA2745" w:rsidRDefault="00F47D56" w:rsidP="002151D4">
      <w:pPr>
        <w:widowControl/>
        <w:tabs>
          <w:tab w:val="center" w:pos="4153"/>
        </w:tabs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90D01A" wp14:editId="35C83B44">
            <wp:extent cx="4832350" cy="8863330"/>
            <wp:effectExtent l="0" t="0" r="6350" b="0"/>
            <wp:docPr id="16863502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34B68" w14:textId="6DB65F7C" w:rsidR="00CA2745" w:rsidRDefault="00CA2745" w:rsidP="002151D4">
      <w:pPr>
        <w:widowControl/>
        <w:tabs>
          <w:tab w:val="center" w:pos="4153"/>
        </w:tabs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CA2745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Figure </w:t>
      </w:r>
      <w:r w:rsidR="0014221B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S2</w:t>
      </w:r>
      <w:r w:rsidRPr="00CA2745"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34C148F9" w14:textId="487E83CE" w:rsidR="0070526C" w:rsidRPr="002151D4" w:rsidRDefault="0070526C" w:rsidP="002151D4">
      <w:pPr>
        <w:widowControl/>
        <w:tabs>
          <w:tab w:val="center" w:pos="4153"/>
        </w:tabs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0526C">
        <w:rPr>
          <w:rFonts w:ascii="Arial" w:hAnsi="Arial" w:cs="Arial"/>
          <w:b/>
          <w:bCs/>
          <w:color w:val="000000" w:themeColor="text1"/>
          <w:sz w:val="24"/>
          <w:szCs w:val="24"/>
        </w:rPr>
        <w:t>Full-length gels and blots. (A)</w:t>
      </w:r>
      <w:r w:rsidR="002151D4">
        <w:rPr>
          <w:rFonts w:ascii="Arial" w:hAnsi="Arial" w:cs="Arial"/>
          <w:b/>
          <w:bCs/>
          <w:color w:val="000000" w:themeColor="text1"/>
          <w:sz w:val="24"/>
          <w:szCs w:val="24"/>
        </w:rPr>
        <w:tab/>
      </w:r>
      <w:r w:rsidR="002151D4" w:rsidRPr="002151D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0D170A" w:rsidRPr="000D170A">
        <w:rPr>
          <w:rFonts w:ascii="Arial" w:hAnsi="Arial" w:cs="Arial" w:hint="eastAsia"/>
          <w:color w:val="000000" w:themeColor="text1"/>
          <w:sz w:val="24"/>
          <w:szCs w:val="24"/>
        </w:rPr>
        <w:t>CCR5 and</w:t>
      </w:r>
      <w:r w:rsidR="000D170A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 xml:space="preserve"> </w:t>
      </w:r>
      <w:r w:rsidR="00C77103">
        <w:rPr>
          <w:rFonts w:ascii="Arial" w:hAnsi="Arial" w:cs="Arial" w:hint="eastAsia"/>
          <w:color w:val="000000" w:themeColor="text1"/>
          <w:sz w:val="24"/>
          <w:szCs w:val="24"/>
        </w:rPr>
        <w:t>a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 xml:space="preserve"> set of autophagy machinery proteins including LC3-II, Beclin 1, ATG5, and p62 ha</w:t>
      </w:r>
      <w:r w:rsidR="00C77103">
        <w:rPr>
          <w:rFonts w:ascii="Arial" w:hAnsi="Arial" w:cs="Arial" w:hint="eastAsia"/>
          <w:color w:val="000000" w:themeColor="text1"/>
          <w:sz w:val="24"/>
          <w:szCs w:val="24"/>
        </w:rPr>
        <w:t>ve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 xml:space="preserve"> been measured using lung tissue obtained from different designated group rats (Sham group, DHCA </w:t>
      </w:r>
      <w:r w:rsidR="00164D0A">
        <w:rPr>
          <w:rFonts w:ascii="Arial" w:hAnsi="Arial" w:cs="Arial" w:hint="eastAsia"/>
          <w:color w:val="000000" w:themeColor="text1"/>
          <w:sz w:val="24"/>
          <w:szCs w:val="24"/>
        </w:rPr>
        <w:t>6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 xml:space="preserve">h group, </w:t>
      </w:r>
      <w:r w:rsidR="001A6A75">
        <w:rPr>
          <w:rFonts w:ascii="Arial" w:hAnsi="Arial" w:cs="Arial" w:hint="eastAsia"/>
          <w:color w:val="000000" w:themeColor="text1"/>
          <w:sz w:val="24"/>
          <w:szCs w:val="24"/>
        </w:rPr>
        <w:t xml:space="preserve">and </w:t>
      </w:r>
      <w:r w:rsidR="00164D0A">
        <w:rPr>
          <w:rFonts w:ascii="Arial" w:hAnsi="Arial" w:cs="Arial" w:hint="eastAsia"/>
          <w:color w:val="000000" w:themeColor="text1"/>
          <w:sz w:val="24"/>
          <w:szCs w:val="24"/>
        </w:rPr>
        <w:t>Clo-Lip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 xml:space="preserve"> group</w:t>
      </w:r>
      <w:r w:rsidR="001A6A75">
        <w:rPr>
          <w:rFonts w:ascii="Arial" w:hAnsi="Arial" w:cs="Arial" w:hint="eastAsia"/>
          <w:color w:val="000000" w:themeColor="text1"/>
          <w:sz w:val="24"/>
          <w:szCs w:val="24"/>
        </w:rPr>
        <w:t>)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 xml:space="preserve"> to assess </w:t>
      </w:r>
      <w:r w:rsidR="00F42C30">
        <w:rPr>
          <w:rFonts w:ascii="Arial" w:hAnsi="Arial" w:cs="Arial" w:hint="eastAsia"/>
          <w:color w:val="000000" w:themeColor="text1"/>
          <w:sz w:val="24"/>
          <w:szCs w:val="24"/>
        </w:rPr>
        <w:t xml:space="preserve">CCR5 expression and </w:t>
      </w:r>
      <w:r w:rsidR="002151D4" w:rsidRPr="002151D4">
        <w:rPr>
          <w:rFonts w:ascii="Arial" w:hAnsi="Arial" w:cs="Arial"/>
          <w:color w:val="000000" w:themeColor="text1"/>
          <w:sz w:val="24"/>
          <w:szCs w:val="24"/>
        </w:rPr>
        <w:t>autophagy activity.</w:t>
      </w:r>
      <w:r w:rsidR="002C253B" w:rsidRPr="002C253B">
        <w:t xml:space="preserve"> </w:t>
      </w:r>
      <w:r w:rsidR="002C253B" w:rsidRPr="00F47D56">
        <w:rPr>
          <w:rFonts w:ascii="Arial" w:hAnsi="Arial" w:cs="Arial"/>
          <w:b/>
          <w:bCs/>
          <w:color w:val="000000" w:themeColor="text1"/>
          <w:sz w:val="24"/>
          <w:szCs w:val="24"/>
        </w:rPr>
        <w:t>(</w:t>
      </w:r>
      <w:r w:rsidR="000D170A" w:rsidRPr="00F47D56">
        <w:rPr>
          <w:rFonts w:ascii="Arial" w:hAnsi="Arial" w:cs="Arial" w:hint="eastAsia"/>
          <w:b/>
          <w:bCs/>
          <w:color w:val="000000" w:themeColor="text1"/>
          <w:sz w:val="24"/>
          <w:szCs w:val="24"/>
        </w:rPr>
        <w:t>B</w:t>
      </w:r>
      <w:r w:rsidR="002C253B" w:rsidRPr="00F47D56">
        <w:rPr>
          <w:rFonts w:ascii="Arial" w:hAnsi="Arial" w:cs="Arial"/>
          <w:b/>
          <w:bCs/>
          <w:color w:val="000000" w:themeColor="text1"/>
          <w:sz w:val="24"/>
          <w:szCs w:val="24"/>
        </w:rPr>
        <w:t>)</w:t>
      </w:r>
      <w:r w:rsidR="000D170A">
        <w:rPr>
          <w:rFonts w:ascii="Arial" w:hAnsi="Arial" w:cs="Arial" w:hint="eastAsia"/>
          <w:color w:val="000000" w:themeColor="text1"/>
          <w:sz w:val="24"/>
          <w:szCs w:val="24"/>
        </w:rPr>
        <w:t xml:space="preserve"> </w:t>
      </w:r>
      <w:r w:rsidR="00C77103">
        <w:rPr>
          <w:rFonts w:ascii="Arial" w:hAnsi="Arial" w:cs="Arial" w:hint="eastAsia"/>
          <w:color w:val="000000" w:themeColor="text1"/>
          <w:sz w:val="24"/>
          <w:szCs w:val="24"/>
        </w:rPr>
        <w:t>CCR5 and a</w:t>
      </w:r>
      <w:r w:rsidR="002C253B" w:rsidRPr="002C253B">
        <w:rPr>
          <w:rFonts w:ascii="Arial" w:hAnsi="Arial" w:cs="Arial"/>
          <w:color w:val="000000" w:themeColor="text1"/>
          <w:sz w:val="24"/>
          <w:szCs w:val="24"/>
        </w:rPr>
        <w:t xml:space="preserve"> set of autophagy machinery proteins including LC3-II, Beclin 1, ATG5, and p62 ha</w:t>
      </w:r>
      <w:r w:rsidR="00C77103">
        <w:rPr>
          <w:rFonts w:ascii="Arial" w:hAnsi="Arial" w:cs="Arial" w:hint="eastAsia"/>
          <w:color w:val="000000" w:themeColor="text1"/>
          <w:sz w:val="24"/>
          <w:szCs w:val="24"/>
        </w:rPr>
        <w:t>ve</w:t>
      </w:r>
      <w:r w:rsidR="002C253B" w:rsidRPr="002C253B">
        <w:rPr>
          <w:rFonts w:ascii="Arial" w:hAnsi="Arial" w:cs="Arial"/>
          <w:color w:val="000000" w:themeColor="text1"/>
          <w:sz w:val="24"/>
          <w:szCs w:val="24"/>
        </w:rPr>
        <w:t xml:space="preserve"> been measured using lung tissue obtained from different designated group rats (Sham group, DHCA 6h group, and MVC group) to assess </w:t>
      </w:r>
      <w:r w:rsidR="00F42C30">
        <w:rPr>
          <w:rFonts w:ascii="Arial" w:hAnsi="Arial" w:cs="Arial" w:hint="eastAsia"/>
          <w:color w:val="000000" w:themeColor="text1"/>
          <w:sz w:val="24"/>
          <w:szCs w:val="24"/>
        </w:rPr>
        <w:t xml:space="preserve">CCR5 expression and </w:t>
      </w:r>
      <w:r w:rsidR="002C253B" w:rsidRPr="002C253B">
        <w:rPr>
          <w:rFonts w:ascii="Arial" w:hAnsi="Arial" w:cs="Arial"/>
          <w:color w:val="000000" w:themeColor="text1"/>
          <w:sz w:val="24"/>
          <w:szCs w:val="24"/>
        </w:rPr>
        <w:t>autophagy activity.</w:t>
      </w:r>
    </w:p>
    <w:sectPr w:rsidR="0070526C" w:rsidRPr="002151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D4CFA8" w14:textId="77777777" w:rsidR="009201E7" w:rsidRDefault="009201E7" w:rsidP="00616C77">
      <w:pPr>
        <w:rPr>
          <w:rFonts w:hint="eastAsia"/>
        </w:rPr>
      </w:pPr>
      <w:r>
        <w:separator/>
      </w:r>
    </w:p>
  </w:endnote>
  <w:endnote w:type="continuationSeparator" w:id="0">
    <w:p w14:paraId="3AAFE104" w14:textId="77777777" w:rsidR="009201E7" w:rsidRDefault="009201E7" w:rsidP="00616C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D991B" w14:textId="77777777" w:rsidR="009201E7" w:rsidRDefault="009201E7" w:rsidP="00616C77">
      <w:pPr>
        <w:rPr>
          <w:rFonts w:hint="eastAsia"/>
        </w:rPr>
      </w:pPr>
      <w:r>
        <w:separator/>
      </w:r>
    </w:p>
  </w:footnote>
  <w:footnote w:type="continuationSeparator" w:id="0">
    <w:p w14:paraId="13F25815" w14:textId="77777777" w:rsidR="009201E7" w:rsidRDefault="009201E7" w:rsidP="00616C7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935D44"/>
    <w:multiLevelType w:val="hybridMultilevel"/>
    <w:tmpl w:val="3CC82E74"/>
    <w:lvl w:ilvl="0" w:tplc="39B43672">
      <w:start w:val="1"/>
      <w:numFmt w:val="upperLetter"/>
      <w:lvlText w:val="(%1)"/>
      <w:lvlJc w:val="left"/>
      <w:pPr>
        <w:ind w:left="399" w:hanging="399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16522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IzMzUxMTewNDM0MDZS0lEKTi0uzszPAykwqwUAWFYRsSwAAAA="/>
  </w:docVars>
  <w:rsids>
    <w:rsidRoot w:val="00786CA3"/>
    <w:rsid w:val="00001244"/>
    <w:rsid w:val="000175E8"/>
    <w:rsid w:val="00025CAC"/>
    <w:rsid w:val="00026360"/>
    <w:rsid w:val="00054452"/>
    <w:rsid w:val="00076254"/>
    <w:rsid w:val="00083D34"/>
    <w:rsid w:val="0009647C"/>
    <w:rsid w:val="00097FA9"/>
    <w:rsid w:val="000A7DDF"/>
    <w:rsid w:val="000C6E0A"/>
    <w:rsid w:val="000D170A"/>
    <w:rsid w:val="000D1B5C"/>
    <w:rsid w:val="000E0C77"/>
    <w:rsid w:val="0011313B"/>
    <w:rsid w:val="001362E3"/>
    <w:rsid w:val="0014221B"/>
    <w:rsid w:val="001444BE"/>
    <w:rsid w:val="001468F1"/>
    <w:rsid w:val="001517C3"/>
    <w:rsid w:val="00157CB0"/>
    <w:rsid w:val="00160F86"/>
    <w:rsid w:val="00161806"/>
    <w:rsid w:val="00164D0A"/>
    <w:rsid w:val="00170450"/>
    <w:rsid w:val="0017313F"/>
    <w:rsid w:val="00176831"/>
    <w:rsid w:val="001803BE"/>
    <w:rsid w:val="00187BC2"/>
    <w:rsid w:val="0019583D"/>
    <w:rsid w:val="001A6A75"/>
    <w:rsid w:val="001B661B"/>
    <w:rsid w:val="001B78CE"/>
    <w:rsid w:val="001C5365"/>
    <w:rsid w:val="001E753E"/>
    <w:rsid w:val="001F27B7"/>
    <w:rsid w:val="001F6A19"/>
    <w:rsid w:val="00203225"/>
    <w:rsid w:val="00206B87"/>
    <w:rsid w:val="0021215F"/>
    <w:rsid w:val="002146FF"/>
    <w:rsid w:val="002151D4"/>
    <w:rsid w:val="00226434"/>
    <w:rsid w:val="002300AC"/>
    <w:rsid w:val="002355DA"/>
    <w:rsid w:val="00236B9E"/>
    <w:rsid w:val="00240849"/>
    <w:rsid w:val="00243056"/>
    <w:rsid w:val="002447FF"/>
    <w:rsid w:val="00251ADA"/>
    <w:rsid w:val="00283478"/>
    <w:rsid w:val="002837FA"/>
    <w:rsid w:val="002A39DD"/>
    <w:rsid w:val="002A6E56"/>
    <w:rsid w:val="002B3F4C"/>
    <w:rsid w:val="002B4F85"/>
    <w:rsid w:val="002B67EA"/>
    <w:rsid w:val="002C253B"/>
    <w:rsid w:val="002D5396"/>
    <w:rsid w:val="002E0234"/>
    <w:rsid w:val="002F5A1C"/>
    <w:rsid w:val="002F7ED2"/>
    <w:rsid w:val="003021A5"/>
    <w:rsid w:val="00326D39"/>
    <w:rsid w:val="00337B31"/>
    <w:rsid w:val="00356CBA"/>
    <w:rsid w:val="00357CD8"/>
    <w:rsid w:val="00365501"/>
    <w:rsid w:val="00373012"/>
    <w:rsid w:val="00375E4A"/>
    <w:rsid w:val="00387C71"/>
    <w:rsid w:val="003962DE"/>
    <w:rsid w:val="003E7DBD"/>
    <w:rsid w:val="003F32F6"/>
    <w:rsid w:val="003F4D13"/>
    <w:rsid w:val="00423657"/>
    <w:rsid w:val="00445C36"/>
    <w:rsid w:val="0045316F"/>
    <w:rsid w:val="00455335"/>
    <w:rsid w:val="00457C43"/>
    <w:rsid w:val="00464AF2"/>
    <w:rsid w:val="00471A6E"/>
    <w:rsid w:val="004751CD"/>
    <w:rsid w:val="0049768A"/>
    <w:rsid w:val="004A177C"/>
    <w:rsid w:val="004A4CEB"/>
    <w:rsid w:val="004A4FBF"/>
    <w:rsid w:val="004A5D88"/>
    <w:rsid w:val="004A640D"/>
    <w:rsid w:val="004B3D8D"/>
    <w:rsid w:val="004B6EF7"/>
    <w:rsid w:val="004B74B0"/>
    <w:rsid w:val="004B7AF4"/>
    <w:rsid w:val="004D0C99"/>
    <w:rsid w:val="004D6EF9"/>
    <w:rsid w:val="004E55EF"/>
    <w:rsid w:val="004F593F"/>
    <w:rsid w:val="00511797"/>
    <w:rsid w:val="00512B6D"/>
    <w:rsid w:val="0052351C"/>
    <w:rsid w:val="00542BD7"/>
    <w:rsid w:val="005441A1"/>
    <w:rsid w:val="00561B89"/>
    <w:rsid w:val="00564384"/>
    <w:rsid w:val="00591E4F"/>
    <w:rsid w:val="00593838"/>
    <w:rsid w:val="00595FA6"/>
    <w:rsid w:val="005961DD"/>
    <w:rsid w:val="00596739"/>
    <w:rsid w:val="005B7526"/>
    <w:rsid w:val="005C588D"/>
    <w:rsid w:val="005D5255"/>
    <w:rsid w:val="005F0B80"/>
    <w:rsid w:val="005F728C"/>
    <w:rsid w:val="006007C3"/>
    <w:rsid w:val="00602323"/>
    <w:rsid w:val="00616C77"/>
    <w:rsid w:val="00625376"/>
    <w:rsid w:val="00627182"/>
    <w:rsid w:val="006400A4"/>
    <w:rsid w:val="00640A3C"/>
    <w:rsid w:val="006410FB"/>
    <w:rsid w:val="00642DE8"/>
    <w:rsid w:val="0064400E"/>
    <w:rsid w:val="0064700B"/>
    <w:rsid w:val="00655B29"/>
    <w:rsid w:val="00670658"/>
    <w:rsid w:val="006830F6"/>
    <w:rsid w:val="0068443C"/>
    <w:rsid w:val="00685D7F"/>
    <w:rsid w:val="00695D4C"/>
    <w:rsid w:val="006B0F3D"/>
    <w:rsid w:val="006B5C2B"/>
    <w:rsid w:val="006C303D"/>
    <w:rsid w:val="006C4CC8"/>
    <w:rsid w:val="006C6CD2"/>
    <w:rsid w:val="006D21EB"/>
    <w:rsid w:val="006D4AFD"/>
    <w:rsid w:val="006F1ED3"/>
    <w:rsid w:val="006F64A8"/>
    <w:rsid w:val="0070526C"/>
    <w:rsid w:val="00711995"/>
    <w:rsid w:val="00724CA9"/>
    <w:rsid w:val="0073317F"/>
    <w:rsid w:val="007550CF"/>
    <w:rsid w:val="007628ED"/>
    <w:rsid w:val="007668AC"/>
    <w:rsid w:val="007847C5"/>
    <w:rsid w:val="00786CA3"/>
    <w:rsid w:val="007912D1"/>
    <w:rsid w:val="007A0911"/>
    <w:rsid w:val="007A0D40"/>
    <w:rsid w:val="007A56E0"/>
    <w:rsid w:val="007A64A0"/>
    <w:rsid w:val="007A6A23"/>
    <w:rsid w:val="007B5AA7"/>
    <w:rsid w:val="007E7A09"/>
    <w:rsid w:val="007F3D54"/>
    <w:rsid w:val="007F790C"/>
    <w:rsid w:val="008010AF"/>
    <w:rsid w:val="0080351E"/>
    <w:rsid w:val="00804708"/>
    <w:rsid w:val="00805FC1"/>
    <w:rsid w:val="00836738"/>
    <w:rsid w:val="00836E97"/>
    <w:rsid w:val="0084767E"/>
    <w:rsid w:val="0086215D"/>
    <w:rsid w:val="00875F79"/>
    <w:rsid w:val="00890435"/>
    <w:rsid w:val="008A77EA"/>
    <w:rsid w:val="008B3F72"/>
    <w:rsid w:val="008B7123"/>
    <w:rsid w:val="008C0AC7"/>
    <w:rsid w:val="008E75F3"/>
    <w:rsid w:val="008F79FC"/>
    <w:rsid w:val="00902898"/>
    <w:rsid w:val="00906AD5"/>
    <w:rsid w:val="009164FB"/>
    <w:rsid w:val="009201E7"/>
    <w:rsid w:val="009316FF"/>
    <w:rsid w:val="009373DD"/>
    <w:rsid w:val="0094591B"/>
    <w:rsid w:val="00953890"/>
    <w:rsid w:val="009717BB"/>
    <w:rsid w:val="00972ECB"/>
    <w:rsid w:val="009962CC"/>
    <w:rsid w:val="009B6025"/>
    <w:rsid w:val="009C11D3"/>
    <w:rsid w:val="009D6404"/>
    <w:rsid w:val="009D6C88"/>
    <w:rsid w:val="009D7260"/>
    <w:rsid w:val="00A014F6"/>
    <w:rsid w:val="00A01710"/>
    <w:rsid w:val="00A039DF"/>
    <w:rsid w:val="00A144F6"/>
    <w:rsid w:val="00A151E6"/>
    <w:rsid w:val="00A20A22"/>
    <w:rsid w:val="00A2539C"/>
    <w:rsid w:val="00A62FD9"/>
    <w:rsid w:val="00A72207"/>
    <w:rsid w:val="00A8080F"/>
    <w:rsid w:val="00A80CF2"/>
    <w:rsid w:val="00AC25A2"/>
    <w:rsid w:val="00AD3A36"/>
    <w:rsid w:val="00AF0EC5"/>
    <w:rsid w:val="00B023B4"/>
    <w:rsid w:val="00B07D46"/>
    <w:rsid w:val="00B1230E"/>
    <w:rsid w:val="00B204E9"/>
    <w:rsid w:val="00B2056D"/>
    <w:rsid w:val="00B25FFB"/>
    <w:rsid w:val="00B4758F"/>
    <w:rsid w:val="00B50C0E"/>
    <w:rsid w:val="00B62C09"/>
    <w:rsid w:val="00B648E3"/>
    <w:rsid w:val="00B8222D"/>
    <w:rsid w:val="00B86E91"/>
    <w:rsid w:val="00B9685E"/>
    <w:rsid w:val="00BB00E5"/>
    <w:rsid w:val="00BC3816"/>
    <w:rsid w:val="00BE4F3E"/>
    <w:rsid w:val="00BE63AC"/>
    <w:rsid w:val="00BF11D9"/>
    <w:rsid w:val="00C07025"/>
    <w:rsid w:val="00C230CE"/>
    <w:rsid w:val="00C35FF7"/>
    <w:rsid w:val="00C5632B"/>
    <w:rsid w:val="00C6009E"/>
    <w:rsid w:val="00C77103"/>
    <w:rsid w:val="00C77BA6"/>
    <w:rsid w:val="00C8573C"/>
    <w:rsid w:val="00C85D7B"/>
    <w:rsid w:val="00CA2745"/>
    <w:rsid w:val="00CA4F72"/>
    <w:rsid w:val="00CB1D0A"/>
    <w:rsid w:val="00CB480C"/>
    <w:rsid w:val="00CB57A8"/>
    <w:rsid w:val="00CB7B5F"/>
    <w:rsid w:val="00CE6CD3"/>
    <w:rsid w:val="00D0420A"/>
    <w:rsid w:val="00D13483"/>
    <w:rsid w:val="00D14D2E"/>
    <w:rsid w:val="00D262A2"/>
    <w:rsid w:val="00D31BE6"/>
    <w:rsid w:val="00D367F6"/>
    <w:rsid w:val="00D551F7"/>
    <w:rsid w:val="00D60CD4"/>
    <w:rsid w:val="00D62FD8"/>
    <w:rsid w:val="00D70B54"/>
    <w:rsid w:val="00D73454"/>
    <w:rsid w:val="00D82F6E"/>
    <w:rsid w:val="00D90A3C"/>
    <w:rsid w:val="00D94183"/>
    <w:rsid w:val="00D94EC6"/>
    <w:rsid w:val="00DA0FF4"/>
    <w:rsid w:val="00DA6EB7"/>
    <w:rsid w:val="00DC2090"/>
    <w:rsid w:val="00DD3049"/>
    <w:rsid w:val="00DE61DE"/>
    <w:rsid w:val="00DE72C2"/>
    <w:rsid w:val="00DE7F73"/>
    <w:rsid w:val="00DF3EE2"/>
    <w:rsid w:val="00E00139"/>
    <w:rsid w:val="00E16951"/>
    <w:rsid w:val="00E16C2C"/>
    <w:rsid w:val="00E17EA4"/>
    <w:rsid w:val="00E2184B"/>
    <w:rsid w:val="00E412BD"/>
    <w:rsid w:val="00E422C8"/>
    <w:rsid w:val="00E423F6"/>
    <w:rsid w:val="00E44652"/>
    <w:rsid w:val="00E61518"/>
    <w:rsid w:val="00E62FB5"/>
    <w:rsid w:val="00E82CEF"/>
    <w:rsid w:val="00E82D55"/>
    <w:rsid w:val="00E876A0"/>
    <w:rsid w:val="00E908C2"/>
    <w:rsid w:val="00E94B13"/>
    <w:rsid w:val="00EA0370"/>
    <w:rsid w:val="00EA5865"/>
    <w:rsid w:val="00EB071D"/>
    <w:rsid w:val="00EB1B7F"/>
    <w:rsid w:val="00EB54DC"/>
    <w:rsid w:val="00EB6C92"/>
    <w:rsid w:val="00EC0EBC"/>
    <w:rsid w:val="00EC1FA6"/>
    <w:rsid w:val="00EC3E0B"/>
    <w:rsid w:val="00EC5367"/>
    <w:rsid w:val="00ED305C"/>
    <w:rsid w:val="00ED5899"/>
    <w:rsid w:val="00EF1EE7"/>
    <w:rsid w:val="00EF2B5F"/>
    <w:rsid w:val="00F078E5"/>
    <w:rsid w:val="00F23652"/>
    <w:rsid w:val="00F3172D"/>
    <w:rsid w:val="00F339B8"/>
    <w:rsid w:val="00F367E3"/>
    <w:rsid w:val="00F37CC3"/>
    <w:rsid w:val="00F40B1A"/>
    <w:rsid w:val="00F42C30"/>
    <w:rsid w:val="00F454E4"/>
    <w:rsid w:val="00F459DB"/>
    <w:rsid w:val="00F45E0C"/>
    <w:rsid w:val="00F47D56"/>
    <w:rsid w:val="00F52BFF"/>
    <w:rsid w:val="00F641AE"/>
    <w:rsid w:val="00F71E76"/>
    <w:rsid w:val="00F746BD"/>
    <w:rsid w:val="00F82793"/>
    <w:rsid w:val="00F82B1F"/>
    <w:rsid w:val="00F87DE4"/>
    <w:rsid w:val="00F95A17"/>
    <w:rsid w:val="00F970FE"/>
    <w:rsid w:val="00FA4E36"/>
    <w:rsid w:val="00FA61E2"/>
    <w:rsid w:val="00FB67E3"/>
    <w:rsid w:val="00FC2D30"/>
    <w:rsid w:val="00FC321E"/>
    <w:rsid w:val="00FC3E9B"/>
    <w:rsid w:val="00FF1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EB987B"/>
  <w15:chartTrackingRefBased/>
  <w15:docId w15:val="{09EE58E1-22AB-49FA-9C2D-4ECA47EF9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72C2"/>
    <w:pPr>
      <w:widowControl w:val="0"/>
      <w:jc w:val="both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70B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70B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70B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70B5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86CA3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86CA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561B8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561B8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561B89"/>
    <w:rPr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61B8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561B89"/>
    <w:rPr>
      <w:b/>
      <w:bCs/>
      <w:szCs w:val="22"/>
    </w:rPr>
  </w:style>
  <w:style w:type="paragraph" w:styleId="ae">
    <w:name w:val="List Paragraph"/>
    <w:basedOn w:val="a"/>
    <w:uiPriority w:val="34"/>
    <w:qFormat/>
    <w:rsid w:val="005B75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1745</TotalTime>
  <Pages>4</Pages>
  <Words>202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Dong</dc:creator>
  <cp:keywords/>
  <dc:description/>
  <cp:lastModifiedBy>Dong D</cp:lastModifiedBy>
  <cp:revision>280</cp:revision>
  <cp:lastPrinted>2024-07-07T02:34:00Z</cp:lastPrinted>
  <dcterms:created xsi:type="dcterms:W3CDTF">2020-12-17T07:57:00Z</dcterms:created>
  <dcterms:modified xsi:type="dcterms:W3CDTF">2024-07-25T13:43:00Z</dcterms:modified>
</cp:coreProperties>
</file>