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D35B1" w14:textId="70AD48E0" w:rsidR="00FE5674" w:rsidRPr="002A4BDA" w:rsidRDefault="00FE5674" w:rsidP="00FE5674">
      <w:pPr>
        <w:pStyle w:val="TableTitle"/>
        <w:rPr>
          <w:rFonts w:ascii="Aptos" w:hAnsi="Aptos"/>
          <w:b/>
          <w:bCs/>
          <w:szCs w:val="24"/>
        </w:rPr>
      </w:pPr>
      <w:r w:rsidRPr="002A4BDA">
        <w:rPr>
          <w:rFonts w:ascii="Aptos" w:hAnsi="Aptos"/>
          <w:b/>
          <w:bCs/>
          <w:szCs w:val="24"/>
        </w:rPr>
        <w:t>SUPPLEMENTARY MATERIALS #</w:t>
      </w:r>
      <w:r>
        <w:rPr>
          <w:rFonts w:ascii="Aptos" w:hAnsi="Aptos"/>
          <w:b/>
          <w:bCs/>
          <w:szCs w:val="24"/>
        </w:rPr>
        <w:t>4</w:t>
      </w:r>
    </w:p>
    <w:p w14:paraId="50BF4F17" w14:textId="77777777" w:rsidR="00FE5674" w:rsidRDefault="00FE5674"/>
    <w:p w14:paraId="7D4013CA" w14:textId="4CBB83E2" w:rsidR="0000552D" w:rsidRDefault="00A53EAB">
      <w:r>
        <w:t>Standardised and unstandardised mortality</w:t>
      </w:r>
      <w:r w:rsidR="00863B55">
        <w:t xml:space="preserve"> (adults)</w:t>
      </w:r>
    </w:p>
    <w:p w14:paraId="370A5AC9" w14:textId="77777777" w:rsidR="00863B55" w:rsidRPr="00784FC2" w:rsidRDefault="00863B55" w:rsidP="00863B55">
      <w:r w:rsidRPr="00784FC2">
        <w:rPr>
          <w:noProof/>
        </w:rPr>
        <w:drawing>
          <wp:inline distT="0" distB="0" distL="0" distR="0" wp14:anchorId="5AD39B1D" wp14:editId="42D1AEB6">
            <wp:extent cx="5805495" cy="7917180"/>
            <wp:effectExtent l="0" t="0" r="0" b="0"/>
            <wp:docPr id="868254466" name="Picture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254466" name="Picture 8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955" cy="7917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9A1DF" w14:textId="77777777" w:rsidR="00863B55" w:rsidRDefault="00863B55" w:rsidP="00863B55">
      <w:pPr>
        <w:pStyle w:val="Caption"/>
        <w:rPr>
          <w:lang w:val="en-GB"/>
        </w:rPr>
      </w:pPr>
      <w:r>
        <w:lastRenderedPageBreak/>
        <w:t>Unstandardised and standardized mortality rates among siblings of the respondents or their spouses, by period, sex and age stratum. Points and labels indicate point estimates, and vertical brackets 95%CIs.</w:t>
      </w:r>
    </w:p>
    <w:p w14:paraId="1290BDFF" w14:textId="77777777" w:rsidR="0000552D" w:rsidRDefault="0000552D"/>
    <w:sectPr w:rsidR="000055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552D"/>
    <w:rsid w:val="0000552D"/>
    <w:rsid w:val="003027AE"/>
    <w:rsid w:val="00330F52"/>
    <w:rsid w:val="00393836"/>
    <w:rsid w:val="005B0A96"/>
    <w:rsid w:val="005D1ED5"/>
    <w:rsid w:val="006B5488"/>
    <w:rsid w:val="007023F7"/>
    <w:rsid w:val="00863B55"/>
    <w:rsid w:val="008F4909"/>
    <w:rsid w:val="009967A6"/>
    <w:rsid w:val="00A4442C"/>
    <w:rsid w:val="00A53EAB"/>
    <w:rsid w:val="00FC11CC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96BE4"/>
  <w15:chartTrackingRefBased/>
  <w15:docId w15:val="{52A4A451-BE5F-4164-8CF6-90A10C403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63B55"/>
    <w:pPr>
      <w:spacing w:after="200" w:line="240" w:lineRule="auto"/>
    </w:pPr>
    <w:rPr>
      <w:rFonts w:ascii="Arial Nova" w:hAnsi="Arial Nova"/>
      <w:i/>
      <w:iCs/>
      <w:color w:val="44546A" w:themeColor="text2"/>
      <w:sz w:val="18"/>
      <w:szCs w:val="18"/>
      <w:lang w:val="en-US"/>
    </w:rPr>
  </w:style>
  <w:style w:type="paragraph" w:customStyle="1" w:styleId="TableTitle">
    <w:name w:val="TableTitle"/>
    <w:basedOn w:val="Normal"/>
    <w:rsid w:val="00FE5674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McGowan</dc:creator>
  <cp:keywords/>
  <dc:description/>
  <cp:lastModifiedBy>Catherine McGowan</cp:lastModifiedBy>
  <cp:revision>8</cp:revision>
  <dcterms:created xsi:type="dcterms:W3CDTF">2025-01-10T20:44:00Z</dcterms:created>
  <dcterms:modified xsi:type="dcterms:W3CDTF">2025-03-03T12:47:00Z</dcterms:modified>
</cp:coreProperties>
</file>