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C8542" w14:textId="77777777" w:rsidR="009C6B34" w:rsidRDefault="009C6B34" w:rsidP="009C6B34">
      <w:pPr>
        <w:rPr>
          <w:rFonts w:ascii="Arial" w:hAnsi="Arial" w:cs="Arial"/>
          <w:b/>
          <w:bCs/>
          <w:szCs w:val="24"/>
        </w:rPr>
      </w:pPr>
      <w:r w:rsidRPr="003667B0">
        <w:rPr>
          <w:rFonts w:ascii="Arial" w:hAnsi="Arial" w:cs="Arial"/>
          <w:b/>
          <w:bCs/>
          <w:szCs w:val="24"/>
        </w:rPr>
        <w:t>Supplementary information</w:t>
      </w:r>
    </w:p>
    <w:p w14:paraId="5541127C" w14:textId="77777777" w:rsidR="009C6B34" w:rsidRDefault="009C6B34" w:rsidP="009C6B34">
      <w:pPr>
        <w:rPr>
          <w:rFonts w:ascii="Arial" w:hAnsi="Arial" w:cs="Arial"/>
          <w:b/>
          <w:bCs/>
          <w:sz w:val="22"/>
        </w:rPr>
      </w:pPr>
      <w:r w:rsidRPr="003667B0">
        <w:rPr>
          <w:rFonts w:ascii="Arial" w:hAnsi="Arial" w:cs="Arial"/>
          <w:b/>
          <w:bCs/>
          <w:sz w:val="22"/>
        </w:rPr>
        <w:t>Statistical analysis.</w:t>
      </w:r>
    </w:p>
    <w:p w14:paraId="3C6F1343" w14:textId="77777777" w:rsidR="009C6B34" w:rsidRPr="003667B0" w:rsidRDefault="009C6B34" w:rsidP="009C6B34">
      <w:pPr>
        <w:spacing w:line="360" w:lineRule="auto"/>
        <w:rPr>
          <w:rFonts w:ascii="Arial" w:hAnsi="Arial" w:cs="Arial"/>
          <w:b/>
          <w:bCs/>
          <w:sz w:val="22"/>
        </w:rPr>
      </w:pPr>
      <w:r w:rsidRPr="003667B0">
        <w:rPr>
          <w:rFonts w:ascii="Arial" w:hAnsi="Arial" w:cs="Arial"/>
          <w:sz w:val="22"/>
        </w:rPr>
        <w:t xml:space="preserve">We deviated from the analysis in </w:t>
      </w:r>
      <w:hyperlink r:id="rId4" w:history="1">
        <w:r w:rsidRPr="003667B0">
          <w:rPr>
            <w:rStyle w:val="Hyperlink"/>
            <w:rFonts w:ascii="Arial" w:hAnsi="Arial" w:cs="Arial"/>
            <w:sz w:val="22"/>
          </w:rPr>
          <w:t>https://www.animalstudyregistry.org/10.17590/asr.0000305</w:t>
        </w:r>
      </w:hyperlink>
      <w:r w:rsidRPr="003667B0">
        <w:rPr>
          <w:rFonts w:ascii="Arial" w:hAnsi="Arial" w:cs="Arial"/>
          <w:sz w:val="22"/>
        </w:rPr>
        <w:t xml:space="preserve"> due to the complexity of the dataset. We realized that data distribution, repeated measures within subjects, multiple experimental protocols, and interacting factors would not be adequately analyzed within a traditional hypothesis-testing framework. Instead, we decided to fit Generalized Linear Mixed Models (GLMMs) to the data, allowing for a more comprehensive and accurate analysis.</w:t>
      </w:r>
    </w:p>
    <w:p w14:paraId="0C42C09E" w14:textId="77777777" w:rsidR="009C6B34" w:rsidRDefault="009C6B34" w:rsidP="009C6B34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Comparisons across experiments – C1 &amp; C2</w:t>
      </w:r>
    </w:p>
    <w:p w14:paraId="77E4279D" w14:textId="77777777" w:rsidR="009C6B34" w:rsidRDefault="009C6B34" w:rsidP="009C6B34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noProof/>
          <w:sz w:val="22"/>
          <w14:ligatures w14:val="standardContextual"/>
        </w:rPr>
        <w:drawing>
          <wp:inline distT="0" distB="0" distL="0" distR="0" wp14:anchorId="1018F6E9" wp14:editId="2B58FCC9">
            <wp:extent cx="5760720" cy="1570355"/>
            <wp:effectExtent l="0" t="0" r="0" b="0"/>
            <wp:docPr id="103339853" name="Picture 1" descr="A comparison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39853" name="Picture 1" descr="A comparison of a diagram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3E3E3" w14:textId="06D0B769" w:rsidR="00755780" w:rsidRDefault="009C6B34" w:rsidP="009C6B34">
      <w:r w:rsidRPr="008364C4">
        <w:rPr>
          <w:rFonts w:ascii="Arial" w:hAnsi="Arial" w:cs="Arial"/>
          <w:i/>
          <w:iCs/>
          <w:sz w:val="20"/>
          <w:szCs w:val="20"/>
        </w:rPr>
        <w:t>Fig. SI</w:t>
      </w:r>
      <w:r>
        <w:rPr>
          <w:rFonts w:ascii="Arial" w:hAnsi="Arial" w:cs="Arial"/>
          <w:i/>
          <w:iCs/>
          <w:sz w:val="20"/>
          <w:szCs w:val="20"/>
        </w:rPr>
        <w:t>1</w:t>
      </w:r>
      <w:r w:rsidRPr="008364C4">
        <w:rPr>
          <w:rFonts w:ascii="Arial" w:hAnsi="Arial" w:cs="Arial"/>
          <w:i/>
          <w:iCs/>
          <w:sz w:val="20"/>
          <w:szCs w:val="20"/>
        </w:rPr>
        <w:t>. (A) Local contexts: The low continuity context (local) displayed contextual information only during the choice screen, while the high continuity context (local+) showed contextual information during both screens, including the initiation of the task. (B) Spatial contexts: The low salience spatial context (spatial context) was illuminated by white LED light and displayed landmarks against a black background. The high salience spatial context (spatial+, referred to as environmental context in the study) featured differentiated LED lights for each arm of the arena, and the monitors at the end of each arm had a background that matched the light while displaying the landmark</w:t>
      </w:r>
      <w:r>
        <w:rPr>
          <w:rFonts w:ascii="Arial" w:hAnsi="Arial" w:cs="Arial"/>
          <w:i/>
          <w:iCs/>
          <w:sz w:val="20"/>
          <w:szCs w:val="20"/>
        </w:rPr>
        <w:t>s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B34"/>
    <w:rsid w:val="00331A6B"/>
    <w:rsid w:val="004C7A7D"/>
    <w:rsid w:val="00755780"/>
    <w:rsid w:val="00857596"/>
    <w:rsid w:val="009C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9347A"/>
  <w15:chartTrackingRefBased/>
  <w15:docId w15:val="{070B9944-A947-4A32-8E6C-5D5E28BE0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B34"/>
    <w:pPr>
      <w:spacing w:line="240" w:lineRule="auto"/>
      <w:jc w:val="both"/>
    </w:pPr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6B34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6B34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6B34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6B34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6B34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6B34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6B34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6B34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6B34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B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6B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6B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6B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6B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6B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6B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6B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6B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6B34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6B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6B34"/>
    <w:pPr>
      <w:numPr>
        <w:ilvl w:val="1"/>
      </w:numPr>
      <w:spacing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6B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6B34"/>
    <w:pPr>
      <w:spacing w:before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6B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6B34"/>
    <w:pPr>
      <w:spacing w:line="259" w:lineRule="auto"/>
      <w:ind w:left="720"/>
      <w:contextualSpacing/>
      <w:jc w:val="left"/>
    </w:pPr>
    <w:rPr>
      <w:rFonts w:asciiTheme="minorHAnsi" w:hAnsiTheme="minorHAns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6B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6B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6B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6B3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C6B3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animalstudyregistry.org/10.17590/asr.000030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1132</Characters>
  <Application>Microsoft Office Word</Application>
  <DocSecurity>0</DocSecurity>
  <Lines>9</Lines>
  <Paragraphs>2</Paragraphs>
  <ScaleCrop>false</ScaleCrop>
  <Company>Springer Nature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2025-03-19T04:51:00Z</dcterms:created>
  <dcterms:modified xsi:type="dcterms:W3CDTF">2025-03-19T04:51:00Z</dcterms:modified>
</cp:coreProperties>
</file>