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i w:val="0"/>
          <w:iCs/>
          <w:sz w:val="30"/>
          <w:szCs w:val="30"/>
        </w:rPr>
      </w:pPr>
      <w:bookmarkStart w:id="1" w:name="_GoBack"/>
      <w:r>
        <w:rPr>
          <w:rFonts w:hint="default" w:ascii="Times New Roman" w:hAnsi="Times New Roman" w:cs="Times New Roman"/>
          <w:i w:val="0"/>
          <w:iCs/>
          <w:sz w:val="30"/>
          <w:szCs w:val="30"/>
        </w:rPr>
        <w:t>Supplementar</w:t>
      </w:r>
      <w:r>
        <w:rPr>
          <w:rFonts w:hint="default" w:ascii="Times New Roman" w:hAnsi="Times New Roman" w:eastAsia="宋体" w:cs="Times New Roman"/>
          <w:i w:val="0"/>
          <w:iCs/>
          <w:sz w:val="30"/>
          <w:szCs w:val="30"/>
          <w:lang w:val="en-US" w:eastAsia="zh-CN"/>
        </w:rPr>
        <w:t xml:space="preserve">y  </w:t>
      </w:r>
      <w:r>
        <w:rPr>
          <w:rFonts w:hint="default" w:ascii="Times New Roman" w:hAnsi="Times New Roman" w:cs="Times New Roman"/>
          <w:i w:val="0"/>
          <w:iCs/>
          <w:sz w:val="30"/>
          <w:szCs w:val="30"/>
        </w:rPr>
        <w:t xml:space="preserve">Figures </w:t>
      </w:r>
    </w:p>
    <w:bookmarkEnd w:id="1"/>
    <w:p>
      <w:pPr>
        <w:rPr>
          <w:i w:val="0"/>
          <w:iCs/>
          <w:sz w:val="30"/>
          <w:szCs w:val="30"/>
        </w:rPr>
      </w:pPr>
    </w:p>
    <w:p>
      <w:pPr>
        <w:rPr>
          <w:rFonts w:hint="eastAsia" w:eastAsia="宋体" w:cs="Times New Roman"/>
          <w:szCs w:val="24"/>
          <w:lang w:val="en-US" w:eastAsia="zh-CN"/>
        </w:rPr>
      </w:pPr>
      <w:r>
        <w:rPr>
          <w:rFonts w:hint="eastAsia" w:eastAsia="宋体" w:cs="Times New Roman"/>
          <w:szCs w:val="24"/>
          <w:lang w:eastAsia="zh-CN"/>
        </w:rPr>
        <w:drawing>
          <wp:inline distT="0" distB="0" distL="114300" distR="114300">
            <wp:extent cx="5600065" cy="5475605"/>
            <wp:effectExtent l="0" t="0" r="635" b="10795"/>
            <wp:docPr id="4" name="图片 4" descr="Supplementary Figure S2 without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 S2 without label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0065" cy="547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 w:cs="Times New Roman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S</w:t>
      </w:r>
      <w:r>
        <w:rPr>
          <w:rFonts w:hint="default" w:ascii="Times New Roman" w:hAnsi="Times New Roman" w:cs="Times New Roman"/>
          <w:b/>
          <w:bCs/>
          <w:sz w:val="21"/>
          <w:szCs w:val="21"/>
        </w:rPr>
        <w:t>upplementary Figure S1|</w:t>
      </w:r>
      <w:r>
        <w:rPr>
          <w:rFonts w:hint="default" w:ascii="Times New Roman" w:hAnsi="Times New Roman" w:cs="Times New Roman"/>
          <w:sz w:val="21"/>
          <w:szCs w:val="21"/>
        </w:rPr>
        <w:t xml:space="preserve"> Validation of the EMT-LPS-Based Nomogram and Calibration in ICGC dataset. (A) Nomogram based on risk score, Gender, Age, T_stage and N_stage. (B–D) Calibration plots of the nomogram for predicting the probability of OS at 1, 2, and 3 years in the ICGC dataset. (E–G) Time-dependent receiver operating characteristic (ROC) curves for the nomogram, risk score, age and grade in the ICGC dataset (for predicting 1, 2, and 3-year OS).</w:t>
      </w:r>
    </w:p>
    <w:p>
      <w:pPr>
        <w:pStyle w:val="5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/>
        <w:textAlignment w:val="auto"/>
        <w:rPr>
          <w:rFonts w:hint="eastAsia" w:eastAsia="宋体" w:cs="Times New Roman"/>
          <w:szCs w:val="24"/>
          <w:lang w:eastAsia="zh-CN"/>
        </w:rPr>
      </w:pPr>
      <w:r>
        <w:rPr>
          <w:rFonts w:hint="eastAsia" w:eastAsia="宋体" w:cs="Times New Roman"/>
          <w:szCs w:val="24"/>
          <w:lang w:eastAsia="zh-CN"/>
        </w:rPr>
        <w:drawing>
          <wp:inline distT="0" distB="0" distL="114300" distR="114300">
            <wp:extent cx="5845810" cy="6694170"/>
            <wp:effectExtent l="0" t="0" r="8890" b="11430"/>
            <wp:docPr id="5" name="图片 5" descr="Supplementary Figure S1 without lab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ary Figure S1 without labels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5810" cy="669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1"/>
          <w:szCs w:val="21"/>
          <w:lang w:eastAsia="zh-CN"/>
        </w:rPr>
      </w:pPr>
      <w:bookmarkStart w:id="0" w:name="OLE_LINK4"/>
      <w:r>
        <w:rPr>
          <w:rFonts w:hint="eastAsia"/>
          <w:b/>
          <w:bCs/>
          <w:sz w:val="21"/>
          <w:szCs w:val="21"/>
          <w:lang w:eastAsia="zh-CN"/>
        </w:rPr>
        <w:t>Supplementary Figure S2|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(A-B)Principal Component Analysis of EMT-LPS in TCGA and ICGC dataset. (C)Heatmap of the associations between the expression levels of the eleven EMT-related lncRNAs and clinicopathological features in the ICGC dataset. (D-G)Stratification Analysis of the EMT-LPS in ICGC patients with different clincial characteristic.</w:t>
      </w:r>
    </w:p>
    <w:bookmarkEnd w:id="0"/>
    <w:p>
      <w:pPr>
        <w:spacing w:before="240"/>
      </w:pP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3F205BE"/>
    <w:rsid w:val="108B729C"/>
    <w:rsid w:val="1A1560ED"/>
    <w:rsid w:val="35857084"/>
    <w:rsid w:val="5BCC6FD5"/>
    <w:rsid w:val="72B8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Balloon Text Char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tiff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A95B22-B4E8-4C8E-ABCB-1E2B9143F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2</Pages>
  <Words>123</Words>
  <Characters>704</Characters>
  <Lines>11</Lines>
  <Paragraphs>3</Paragraphs>
  <TotalTime>1</TotalTime>
  <ScaleCrop>false</ScaleCrop>
  <LinksUpToDate>false</LinksUpToDate>
  <CharactersWithSpaces>822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2018-11-23T08:58:00Z</dcterms:created>
  <dc:creator>Frontiers Media SA</dc:creator>
  <cp:lastModifiedBy>蔡婷婷</cp:lastModifiedBy>
  <cp:lastPrinted>2013-10-03T12:51:00Z</cp:lastPrinted>
  <dcterms:modified xsi:type="dcterms:W3CDTF">2021-06-10T14:31:14Z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8028E0DFCA8443AD896473B3954B7EDF</vt:lpwstr>
  </property>
</Properties>
</file>