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B219E0" w14:textId="07D766CE" w:rsidR="001B2B98" w:rsidRDefault="001B2B98" w:rsidP="00AE0D71">
      <w:pPr>
        <w:pStyle w:val="Heading1"/>
        <w:ind w:left="360"/>
      </w:pPr>
      <w:r w:rsidRPr="001B2B98">
        <w:t>Annexes</w:t>
      </w:r>
    </w:p>
    <w:p w14:paraId="508D145B" w14:textId="001DA0F9" w:rsidR="00D111DC" w:rsidRDefault="00D111DC" w:rsidP="00B1145F">
      <w:pPr>
        <w:pStyle w:val="Tabletitle"/>
      </w:pPr>
      <w:bookmarkStart w:id="0" w:name="_Ref188705080"/>
      <w:bookmarkStart w:id="1" w:name="_Ref188888798"/>
      <w:r w:rsidRPr="00B1145F">
        <w:rPr>
          <w:b/>
          <w:bCs/>
        </w:rPr>
        <w:t xml:space="preserve">Table </w:t>
      </w:r>
      <w:r w:rsidRPr="00B1145F">
        <w:rPr>
          <w:b/>
          <w:bCs/>
        </w:rPr>
        <w:fldChar w:fldCharType="begin"/>
      </w:r>
      <w:r w:rsidRPr="00B1145F">
        <w:rPr>
          <w:b/>
          <w:bCs/>
        </w:rPr>
        <w:instrText xml:space="preserve"> SEQ Table \* ARABIC </w:instrText>
      </w:r>
      <w:r w:rsidRPr="00B1145F">
        <w:rPr>
          <w:b/>
          <w:bCs/>
        </w:rPr>
        <w:fldChar w:fldCharType="separate"/>
      </w:r>
      <w:r w:rsidR="00077109">
        <w:rPr>
          <w:b/>
          <w:bCs/>
          <w:noProof/>
        </w:rPr>
        <w:t>6</w:t>
      </w:r>
      <w:r w:rsidRPr="00B1145F">
        <w:rPr>
          <w:b/>
          <w:bCs/>
        </w:rPr>
        <w:fldChar w:fldCharType="end"/>
      </w:r>
      <w:bookmarkEnd w:id="0"/>
      <w:r w:rsidR="00B1145F">
        <w:t xml:space="preserve"> </w:t>
      </w:r>
      <w:r>
        <w:t xml:space="preserve"> Categories found in the literature review classified by similar names, citation frequency and dimension</w:t>
      </w:r>
      <w:bookmarkEnd w:id="1"/>
    </w:p>
    <w:tbl>
      <w:tblPr>
        <w:tblW w:w="5000" w:type="pct"/>
        <w:tblLayout w:type="fixed"/>
        <w:tblCellMar>
          <w:left w:w="70" w:type="dxa"/>
          <w:right w:w="70" w:type="dxa"/>
        </w:tblCellMar>
        <w:tblLook w:val="04A0" w:firstRow="1" w:lastRow="0" w:firstColumn="1" w:lastColumn="0" w:noHBand="0" w:noVBand="1"/>
      </w:tblPr>
      <w:tblGrid>
        <w:gridCol w:w="1697"/>
        <w:gridCol w:w="569"/>
        <w:gridCol w:w="568"/>
        <w:gridCol w:w="565"/>
        <w:gridCol w:w="568"/>
        <w:gridCol w:w="565"/>
        <w:gridCol w:w="574"/>
        <w:gridCol w:w="560"/>
        <w:gridCol w:w="565"/>
        <w:gridCol w:w="568"/>
        <w:gridCol w:w="568"/>
        <w:gridCol w:w="568"/>
        <w:gridCol w:w="568"/>
        <w:gridCol w:w="557"/>
        <w:gridCol w:w="487"/>
        <w:gridCol w:w="543"/>
        <w:gridCol w:w="526"/>
        <w:gridCol w:w="582"/>
        <w:gridCol w:w="588"/>
        <w:gridCol w:w="546"/>
        <w:gridCol w:w="568"/>
        <w:gridCol w:w="568"/>
        <w:gridCol w:w="526"/>
      </w:tblGrid>
      <w:tr w:rsidR="001B2B98" w:rsidRPr="00141BA3" w14:paraId="6B7FB045" w14:textId="77777777" w:rsidTr="00D111DC">
        <w:trPr>
          <w:trHeight w:val="1450"/>
        </w:trPr>
        <w:tc>
          <w:tcPr>
            <w:tcW w:w="60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2E32611" w14:textId="77777777" w:rsidR="001B2B98" w:rsidRPr="009A4EA5" w:rsidRDefault="001B2B98" w:rsidP="00191B2F">
            <w:pPr>
              <w:spacing w:line="240" w:lineRule="auto"/>
              <w:rPr>
                <w:b/>
                <w:bCs/>
                <w:color w:val="000000"/>
                <w:sz w:val="16"/>
                <w:szCs w:val="16"/>
                <w:lang w:eastAsia="es-ES"/>
              </w:rPr>
            </w:pPr>
            <w:r w:rsidRPr="009A4EA5">
              <w:rPr>
                <w:b/>
                <w:bCs/>
                <w:color w:val="000000"/>
                <w:sz w:val="16"/>
                <w:szCs w:val="16"/>
                <w:lang w:eastAsia="es-ES"/>
              </w:rPr>
              <w:t>Categories/Themes</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F382BD8" w14:textId="446F98D4"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Buenk et al., 2019</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8F6FD39" w14:textId="7662A990" w:rsidR="001B2B98" w:rsidRPr="009A4EA5" w:rsidRDefault="00DD794F" w:rsidP="00191B2F">
            <w:pPr>
              <w:spacing w:line="240" w:lineRule="auto"/>
              <w:jc w:val="center"/>
              <w:rPr>
                <w:color w:val="000000"/>
                <w:sz w:val="16"/>
                <w:szCs w:val="16"/>
                <w:lang w:val="en-US" w:eastAsia="es-ES"/>
              </w:rPr>
            </w:pPr>
            <w:r>
              <w:rPr>
                <w:color w:val="000000"/>
                <w:sz w:val="16"/>
                <w:szCs w:val="16"/>
                <w:lang w:val="en-US" w:eastAsia="es-ES"/>
              </w:rPr>
              <w:t>Haghshenas &amp; Vaziri, 2012</w:t>
            </w: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265D4202" w14:textId="6D9AAEE0"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Illahi &amp; Mir, 2020</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2BA1972" w14:textId="69B99CAA"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Jeon et al., 2013</w:t>
            </w: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86F18A3" w14:textId="74E2A20C"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Karjalainen &amp; Juhola, 2021</w:t>
            </w:r>
          </w:p>
        </w:tc>
        <w:tc>
          <w:tcPr>
            <w:tcW w:w="20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910E01B" w14:textId="7AEBA05B"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Kolak &amp; Feyzioglu, 2016</w:t>
            </w:r>
          </w:p>
        </w:tc>
        <w:tc>
          <w:tcPr>
            <w:tcW w:w="20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772632C" w14:textId="760BBA99"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Krombach et al., 2024</w:t>
            </w:r>
          </w:p>
        </w:tc>
        <w:tc>
          <w:tcPr>
            <w:tcW w:w="20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A53501A" w14:textId="03C8E376"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Litman, 2019</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934A301" w14:textId="4CC9FD95"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S. Lu &amp; Liu, 2018</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35E21A0" w14:textId="5E7A3530"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X. Lu et al., 2022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D3CBCD0" w14:textId="6727751D"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Oses et al., 2018</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E242830" w14:textId="3DBC0E36"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Rajak et al., 2016</w:t>
            </w:r>
          </w:p>
        </w:tc>
        <w:tc>
          <w:tcPr>
            <w:tcW w:w="19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C26B537" w14:textId="549AA644"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Sdoukopoulos &amp; Pitsiava-Latinopoulou, 2017</w:t>
            </w:r>
          </w:p>
        </w:tc>
        <w:tc>
          <w:tcPr>
            <w:tcW w:w="17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40301E1" w14:textId="23E6F60F"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Senne et al., 2021</w:t>
            </w:r>
          </w:p>
        </w:tc>
        <w:tc>
          <w:tcPr>
            <w:tcW w:w="194"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326BFB2B" w14:textId="16ED7A7B"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Tafidis et al., 2017</w:t>
            </w:r>
          </w:p>
        </w:tc>
        <w:tc>
          <w:tcPr>
            <w:tcW w:w="18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38F5FC8" w14:textId="51540883"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Verma et al., 2015</w:t>
            </w:r>
          </w:p>
        </w:tc>
        <w:tc>
          <w:tcPr>
            <w:tcW w:w="20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E5A8094" w14:textId="666C3D30"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Yannis et al., 2020</w:t>
            </w:r>
          </w:p>
        </w:tc>
        <w:tc>
          <w:tcPr>
            <w:tcW w:w="210"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51039098" w14:textId="2D165B21"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Yucesan et al., 2024</w:t>
            </w:r>
          </w:p>
        </w:tc>
        <w:tc>
          <w:tcPr>
            <w:tcW w:w="19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CF0777" w14:textId="20BD4F04"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Zapolskytė et al., 2022</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715E1773" w14:textId="2827F42C"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Zheng et al., 2013</w:t>
            </w:r>
          </w:p>
        </w:tc>
        <w:tc>
          <w:tcPr>
            <w:tcW w:w="203"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1B691F6" w14:textId="712D568B" w:rsidR="001B2B98" w:rsidRPr="009A4EA5" w:rsidRDefault="00DD794F" w:rsidP="00191B2F">
            <w:pPr>
              <w:spacing w:line="240" w:lineRule="auto"/>
              <w:jc w:val="center"/>
              <w:rPr>
                <w:color w:val="000000"/>
                <w:sz w:val="16"/>
                <w:szCs w:val="16"/>
                <w:lang w:val="es-ES" w:eastAsia="es-ES"/>
              </w:rPr>
            </w:pPr>
            <w:r>
              <w:rPr>
                <w:color w:val="000000"/>
                <w:sz w:val="16"/>
                <w:szCs w:val="16"/>
                <w:lang w:val="es-ES" w:eastAsia="es-ES"/>
              </w:rPr>
              <w:t>Zito &amp; Salvo, 2011</w:t>
            </w:r>
          </w:p>
        </w:tc>
        <w:tc>
          <w:tcPr>
            <w:tcW w:w="188"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40A5586" w14:textId="5A1191B5" w:rsidR="001B2B98" w:rsidRPr="00141BA3" w:rsidRDefault="00DD794F" w:rsidP="00191B2F">
            <w:pPr>
              <w:spacing w:line="240" w:lineRule="auto"/>
              <w:jc w:val="center"/>
              <w:rPr>
                <w:color w:val="000000"/>
                <w:sz w:val="16"/>
                <w:szCs w:val="16"/>
                <w:lang w:val="en-US" w:eastAsia="es-ES"/>
              </w:rPr>
            </w:pPr>
            <w:r>
              <w:rPr>
                <w:color w:val="000000"/>
                <w:sz w:val="16"/>
                <w:szCs w:val="16"/>
                <w:lang w:val="en-US" w:eastAsia="es-ES"/>
              </w:rPr>
              <w:t>Zope et al., 2019</w:t>
            </w:r>
          </w:p>
        </w:tc>
      </w:tr>
      <w:tr w:rsidR="001B2B98" w:rsidRPr="00141BA3" w14:paraId="65EC30F7" w14:textId="77777777" w:rsidTr="00191B2F">
        <w:trPr>
          <w:trHeight w:val="300"/>
        </w:trPr>
        <w:tc>
          <w:tcPr>
            <w:tcW w:w="5000" w:type="pct"/>
            <w:gridSpan w:val="23"/>
            <w:tcBorders>
              <w:top w:val="single" w:sz="4" w:space="0" w:color="auto"/>
              <w:left w:val="single" w:sz="8" w:space="0" w:color="auto"/>
              <w:bottom w:val="single" w:sz="8" w:space="0" w:color="auto"/>
              <w:right w:val="nil"/>
            </w:tcBorders>
            <w:shd w:val="clear" w:color="000000" w:fill="F7C7AC"/>
            <w:vAlign w:val="center"/>
            <w:hideMark/>
          </w:tcPr>
          <w:p w14:paraId="1C9A48EB" w14:textId="77777777" w:rsidR="001B2B98" w:rsidRPr="00141BA3" w:rsidRDefault="001B2B98" w:rsidP="00191B2F">
            <w:pPr>
              <w:spacing w:line="240" w:lineRule="auto"/>
              <w:jc w:val="center"/>
              <w:rPr>
                <w:b/>
                <w:bCs/>
                <w:color w:val="000000"/>
                <w:sz w:val="16"/>
                <w:szCs w:val="16"/>
                <w:lang w:val="en-US" w:eastAsia="es-ES"/>
              </w:rPr>
            </w:pPr>
            <w:r w:rsidRPr="00141BA3">
              <w:rPr>
                <w:b/>
                <w:bCs/>
                <w:color w:val="000000"/>
                <w:sz w:val="20"/>
                <w:szCs w:val="20"/>
                <w:lang w:val="en-US" w:eastAsia="es-ES"/>
              </w:rPr>
              <w:t>System Effectiveness</w:t>
            </w:r>
          </w:p>
        </w:tc>
      </w:tr>
      <w:tr w:rsidR="001B2B98" w:rsidRPr="00141BA3" w14:paraId="39733648" w14:textId="77777777" w:rsidTr="00A729C7">
        <w:trPr>
          <w:trHeight w:val="1939"/>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311F6C84" w14:textId="77777777" w:rsidR="001B2B98" w:rsidRPr="00141BA3" w:rsidRDefault="001B2B98" w:rsidP="00191B2F">
            <w:pPr>
              <w:spacing w:line="240" w:lineRule="auto"/>
              <w:rPr>
                <w:color w:val="000000"/>
                <w:sz w:val="16"/>
                <w:szCs w:val="16"/>
                <w:lang w:val="en-US" w:eastAsia="es-ES"/>
              </w:rPr>
            </w:pPr>
            <w:r w:rsidRPr="00141BA3">
              <w:rPr>
                <w:color w:val="000000"/>
                <w:sz w:val="16"/>
                <w:szCs w:val="16"/>
                <w:lang w:val="en-US" w:eastAsia="es-ES"/>
              </w:rPr>
              <w:t>Mobility (Travel and Transfer); Occupancy of transportation; Load factor for freight transport; Transport demand and Intensity; Travel time and traffic flow; Trips; Motorization rate; Transport efficiency</w:t>
            </w:r>
          </w:p>
        </w:tc>
        <w:tc>
          <w:tcPr>
            <w:tcW w:w="203" w:type="pct"/>
            <w:tcBorders>
              <w:top w:val="nil"/>
              <w:left w:val="nil"/>
              <w:bottom w:val="single" w:sz="4" w:space="0" w:color="auto"/>
              <w:right w:val="single" w:sz="4" w:space="0" w:color="auto"/>
            </w:tcBorders>
            <w:shd w:val="clear" w:color="000000" w:fill="FBE2D5"/>
            <w:noWrap/>
            <w:vAlign w:val="center"/>
            <w:hideMark/>
          </w:tcPr>
          <w:p w14:paraId="1D92D64D"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2534135A"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59D73331"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2FD3D44A"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6C83ED87"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1C3C3B4C"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4DBB91C6"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FD4377E"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7B619916"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6A3AE9A9"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7122DE38"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000000" w:fill="FBE2D5"/>
            <w:noWrap/>
            <w:vAlign w:val="center"/>
            <w:hideMark/>
          </w:tcPr>
          <w:p w14:paraId="61B404C6"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199" w:type="pct"/>
            <w:tcBorders>
              <w:top w:val="nil"/>
              <w:left w:val="nil"/>
              <w:bottom w:val="single" w:sz="4" w:space="0" w:color="auto"/>
              <w:right w:val="single" w:sz="4" w:space="0" w:color="auto"/>
            </w:tcBorders>
            <w:shd w:val="clear" w:color="000000" w:fill="FBE2D5"/>
            <w:noWrap/>
            <w:vAlign w:val="center"/>
            <w:hideMark/>
          </w:tcPr>
          <w:p w14:paraId="522818A3"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674616F4"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194" w:type="pct"/>
            <w:tcBorders>
              <w:top w:val="nil"/>
              <w:left w:val="nil"/>
              <w:bottom w:val="single" w:sz="4" w:space="0" w:color="auto"/>
              <w:right w:val="single" w:sz="4" w:space="0" w:color="auto"/>
            </w:tcBorders>
            <w:shd w:val="clear" w:color="000000" w:fill="FBE2D5"/>
            <w:noWrap/>
            <w:vAlign w:val="center"/>
            <w:hideMark/>
          </w:tcPr>
          <w:p w14:paraId="06EB8482"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188" w:type="pct"/>
            <w:tcBorders>
              <w:top w:val="nil"/>
              <w:left w:val="nil"/>
              <w:bottom w:val="single" w:sz="4" w:space="0" w:color="auto"/>
              <w:right w:val="single" w:sz="4" w:space="0" w:color="auto"/>
            </w:tcBorders>
            <w:shd w:val="clear" w:color="000000" w:fill="FBE2D5"/>
            <w:noWrap/>
            <w:vAlign w:val="center"/>
            <w:hideMark/>
          </w:tcPr>
          <w:p w14:paraId="144717FE"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208" w:type="pct"/>
            <w:tcBorders>
              <w:top w:val="nil"/>
              <w:left w:val="nil"/>
              <w:bottom w:val="single" w:sz="4" w:space="0" w:color="auto"/>
              <w:right w:val="single" w:sz="4" w:space="0" w:color="auto"/>
            </w:tcBorders>
            <w:shd w:val="clear" w:color="000000" w:fill="FBE2D5"/>
            <w:noWrap/>
            <w:vAlign w:val="center"/>
            <w:hideMark/>
          </w:tcPr>
          <w:p w14:paraId="0670178F"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210" w:type="pct"/>
            <w:tcBorders>
              <w:top w:val="nil"/>
              <w:left w:val="nil"/>
              <w:bottom w:val="single" w:sz="4" w:space="0" w:color="auto"/>
              <w:right w:val="single" w:sz="4" w:space="0" w:color="auto"/>
            </w:tcBorders>
            <w:shd w:val="clear" w:color="auto" w:fill="auto"/>
            <w:noWrap/>
            <w:vAlign w:val="center"/>
            <w:hideMark/>
          </w:tcPr>
          <w:p w14:paraId="154489D7"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0168BC20" w14:textId="77777777" w:rsidR="001B2B98" w:rsidRPr="00141BA3" w:rsidRDefault="001B2B98" w:rsidP="00191B2F">
            <w:pPr>
              <w:spacing w:line="240" w:lineRule="auto"/>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2A05C1E3" w14:textId="77777777" w:rsidR="001B2B98" w:rsidRPr="00141BA3" w:rsidRDefault="001B2B98" w:rsidP="00191B2F">
            <w:pPr>
              <w:spacing w:line="240" w:lineRule="auto"/>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39EBE607"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188" w:type="pct"/>
            <w:tcBorders>
              <w:top w:val="nil"/>
              <w:left w:val="nil"/>
              <w:bottom w:val="single" w:sz="4" w:space="0" w:color="auto"/>
              <w:right w:val="single" w:sz="8" w:space="0" w:color="auto"/>
            </w:tcBorders>
            <w:shd w:val="clear" w:color="000000" w:fill="FBE2D5"/>
            <w:noWrap/>
            <w:vAlign w:val="center"/>
            <w:hideMark/>
          </w:tcPr>
          <w:p w14:paraId="29E4613D"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r>
      <w:tr w:rsidR="001B2B98" w:rsidRPr="00141BA3" w14:paraId="62108757" w14:textId="77777777" w:rsidTr="00A729C7">
        <w:trPr>
          <w:trHeight w:val="671"/>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13F628D3" w14:textId="77777777" w:rsidR="001B2B98" w:rsidRPr="00141BA3" w:rsidRDefault="001B2B98" w:rsidP="00191B2F">
            <w:pPr>
              <w:spacing w:line="240" w:lineRule="auto"/>
              <w:rPr>
                <w:color w:val="000000"/>
                <w:sz w:val="16"/>
                <w:szCs w:val="16"/>
                <w:lang w:val="en-US" w:eastAsia="es-ES"/>
              </w:rPr>
            </w:pPr>
            <w:r w:rsidRPr="00141BA3">
              <w:rPr>
                <w:color w:val="000000"/>
                <w:sz w:val="16"/>
                <w:szCs w:val="16"/>
                <w:lang w:val="en-US" w:eastAsia="es-ES"/>
              </w:rPr>
              <w:t>Characteristics of transportation networks; Parking</w:t>
            </w:r>
          </w:p>
        </w:tc>
        <w:tc>
          <w:tcPr>
            <w:tcW w:w="203" w:type="pct"/>
            <w:tcBorders>
              <w:top w:val="nil"/>
              <w:left w:val="nil"/>
              <w:bottom w:val="single" w:sz="4" w:space="0" w:color="auto"/>
              <w:right w:val="single" w:sz="4" w:space="0" w:color="auto"/>
            </w:tcBorders>
            <w:shd w:val="clear" w:color="auto" w:fill="auto"/>
            <w:noWrap/>
            <w:vAlign w:val="center"/>
            <w:hideMark/>
          </w:tcPr>
          <w:p w14:paraId="6588D0C3"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CBDA5D3"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28F7974"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5331CE5"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44E88184"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26BD7667"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4D7411E7"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8DFA581"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6DD36DB"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F8E4619"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7024256A"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35BC48C6"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000000" w:fill="FBE2D5"/>
            <w:noWrap/>
            <w:vAlign w:val="center"/>
            <w:hideMark/>
          </w:tcPr>
          <w:p w14:paraId="134091C0"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2F24209C"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1803BA72"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62145C9D"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4231CB87" w14:textId="77777777" w:rsidR="001B2B98" w:rsidRPr="00141BA3" w:rsidRDefault="001B2B98" w:rsidP="00191B2F">
            <w:pPr>
              <w:spacing w:line="240" w:lineRule="auto"/>
              <w:rPr>
                <w:color w:val="000000"/>
                <w:sz w:val="16"/>
                <w:szCs w:val="16"/>
                <w:lang w:val="en-US" w:eastAsia="es-ES"/>
              </w:rPr>
            </w:pPr>
            <w:r w:rsidRPr="00141BA3">
              <w:rPr>
                <w:color w:val="000000"/>
                <w:sz w:val="16"/>
                <w:szCs w:val="16"/>
                <w:lang w:val="en-US" w:eastAsia="es-ES"/>
              </w:rPr>
              <w:t> </w:t>
            </w:r>
          </w:p>
        </w:tc>
        <w:tc>
          <w:tcPr>
            <w:tcW w:w="210" w:type="pct"/>
            <w:tcBorders>
              <w:top w:val="nil"/>
              <w:left w:val="nil"/>
              <w:bottom w:val="single" w:sz="4" w:space="0" w:color="auto"/>
              <w:right w:val="single" w:sz="4" w:space="0" w:color="auto"/>
            </w:tcBorders>
            <w:shd w:val="clear" w:color="000000" w:fill="FBE2D5"/>
            <w:noWrap/>
            <w:vAlign w:val="center"/>
            <w:hideMark/>
          </w:tcPr>
          <w:p w14:paraId="0B59C161" w14:textId="77777777" w:rsidR="001B2B98" w:rsidRPr="00141BA3" w:rsidRDefault="001B2B98" w:rsidP="00191B2F">
            <w:pPr>
              <w:spacing w:line="240" w:lineRule="auto"/>
              <w:jc w:val="center"/>
              <w:rPr>
                <w:color w:val="000000"/>
                <w:sz w:val="16"/>
                <w:szCs w:val="16"/>
                <w:lang w:val="en-US" w:eastAsia="es-ES"/>
              </w:rPr>
            </w:pPr>
            <w:r w:rsidRPr="00141BA3">
              <w:rPr>
                <w:color w:val="000000"/>
                <w:sz w:val="16"/>
                <w:szCs w:val="16"/>
                <w:lang w:val="en-US" w:eastAsia="es-ES"/>
              </w:rPr>
              <w:t>x</w:t>
            </w:r>
          </w:p>
        </w:tc>
        <w:tc>
          <w:tcPr>
            <w:tcW w:w="195" w:type="pct"/>
            <w:tcBorders>
              <w:top w:val="nil"/>
              <w:left w:val="nil"/>
              <w:bottom w:val="single" w:sz="4" w:space="0" w:color="auto"/>
              <w:right w:val="single" w:sz="4" w:space="0" w:color="auto"/>
            </w:tcBorders>
            <w:shd w:val="clear" w:color="auto" w:fill="auto"/>
            <w:noWrap/>
            <w:vAlign w:val="bottom"/>
            <w:hideMark/>
          </w:tcPr>
          <w:p w14:paraId="0D5C56B8" w14:textId="77777777" w:rsidR="001B2B98" w:rsidRPr="00141BA3" w:rsidRDefault="001B2B98" w:rsidP="00191B2F">
            <w:pPr>
              <w:spacing w:line="240" w:lineRule="auto"/>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2A779854" w14:textId="77777777" w:rsidR="001B2B98" w:rsidRPr="00141BA3" w:rsidRDefault="001B2B98" w:rsidP="00191B2F">
            <w:pPr>
              <w:spacing w:line="240" w:lineRule="auto"/>
              <w:rPr>
                <w:color w:val="000000"/>
                <w:sz w:val="16"/>
                <w:szCs w:val="16"/>
                <w:lang w:val="en-US" w:eastAsia="es-ES"/>
              </w:rPr>
            </w:pPr>
            <w:r w:rsidRPr="00141BA3">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491B8CEE" w14:textId="77777777" w:rsidR="001B2B98" w:rsidRPr="00141BA3" w:rsidRDefault="001B2B98" w:rsidP="00191B2F">
            <w:pPr>
              <w:spacing w:line="240" w:lineRule="auto"/>
              <w:rPr>
                <w:color w:val="000000"/>
                <w:sz w:val="16"/>
                <w:szCs w:val="16"/>
                <w:lang w:val="en-US" w:eastAsia="es-ES"/>
              </w:rPr>
            </w:pPr>
            <w:r w:rsidRPr="00141BA3">
              <w:rPr>
                <w:color w:val="000000"/>
                <w:sz w:val="16"/>
                <w:szCs w:val="16"/>
                <w:lang w:val="en-U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40FA6C10" w14:textId="77777777" w:rsidR="001B2B98" w:rsidRPr="00141BA3" w:rsidRDefault="001B2B98" w:rsidP="00191B2F">
            <w:pPr>
              <w:spacing w:line="240" w:lineRule="auto"/>
              <w:rPr>
                <w:color w:val="000000"/>
                <w:sz w:val="16"/>
                <w:szCs w:val="16"/>
                <w:lang w:val="en-US" w:eastAsia="es-ES"/>
              </w:rPr>
            </w:pPr>
            <w:r w:rsidRPr="00141BA3">
              <w:rPr>
                <w:color w:val="000000"/>
                <w:sz w:val="16"/>
                <w:szCs w:val="16"/>
                <w:lang w:val="en-US" w:eastAsia="es-ES"/>
              </w:rPr>
              <w:t> </w:t>
            </w:r>
          </w:p>
        </w:tc>
      </w:tr>
      <w:tr w:rsidR="001B2B98" w:rsidRPr="00247533" w14:paraId="1B404821" w14:textId="77777777" w:rsidTr="00A729C7">
        <w:trPr>
          <w:trHeight w:val="523"/>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2F24F32B"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Modal share; Modal split</w:t>
            </w:r>
          </w:p>
        </w:tc>
        <w:tc>
          <w:tcPr>
            <w:tcW w:w="203" w:type="pct"/>
            <w:tcBorders>
              <w:top w:val="nil"/>
              <w:left w:val="nil"/>
              <w:bottom w:val="single" w:sz="4" w:space="0" w:color="auto"/>
              <w:right w:val="single" w:sz="4" w:space="0" w:color="auto"/>
            </w:tcBorders>
            <w:shd w:val="clear" w:color="auto" w:fill="auto"/>
            <w:noWrap/>
            <w:vAlign w:val="center"/>
            <w:hideMark/>
          </w:tcPr>
          <w:p w14:paraId="379174F0"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23FFD7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4BECB09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23FD80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000000" w:fill="FBE2D5"/>
            <w:noWrap/>
            <w:vAlign w:val="center"/>
            <w:hideMark/>
          </w:tcPr>
          <w:p w14:paraId="764EE3A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4B803B1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000000" w:fill="FBE2D5"/>
            <w:noWrap/>
            <w:vAlign w:val="center"/>
            <w:hideMark/>
          </w:tcPr>
          <w:p w14:paraId="116878E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6FF3776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A37C44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872350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506A42A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178D234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1C8FC76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52E21F2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47D2C9E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7C978FF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5D7B88D1"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10" w:type="pct"/>
            <w:tcBorders>
              <w:top w:val="nil"/>
              <w:left w:val="nil"/>
              <w:bottom w:val="single" w:sz="4" w:space="0" w:color="auto"/>
              <w:right w:val="single" w:sz="4" w:space="0" w:color="auto"/>
            </w:tcBorders>
            <w:shd w:val="clear" w:color="000000" w:fill="FBE2D5"/>
            <w:noWrap/>
            <w:vAlign w:val="center"/>
            <w:hideMark/>
          </w:tcPr>
          <w:p w14:paraId="673CA4D9"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95" w:type="pct"/>
            <w:tcBorders>
              <w:top w:val="nil"/>
              <w:left w:val="nil"/>
              <w:bottom w:val="single" w:sz="4" w:space="0" w:color="auto"/>
              <w:right w:val="single" w:sz="4" w:space="0" w:color="auto"/>
            </w:tcBorders>
            <w:shd w:val="clear" w:color="auto" w:fill="auto"/>
            <w:noWrap/>
            <w:vAlign w:val="bottom"/>
            <w:hideMark/>
          </w:tcPr>
          <w:p w14:paraId="1C8CFA64"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676E94D5"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1850ACA9"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8" w:space="0" w:color="auto"/>
            </w:tcBorders>
            <w:shd w:val="clear" w:color="000000" w:fill="FBE2D5"/>
            <w:noWrap/>
            <w:vAlign w:val="center"/>
            <w:hideMark/>
          </w:tcPr>
          <w:p w14:paraId="69FC9DD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r>
      <w:tr w:rsidR="001B2B98" w:rsidRPr="00247533" w14:paraId="66417E34" w14:textId="77777777" w:rsidTr="00A729C7">
        <w:trPr>
          <w:trHeight w:val="1137"/>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0C1BD99B"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Active mobility; non-motorized transport; More sustainable and nonmotorized modes; Incentives to the use of active modes</w:t>
            </w:r>
          </w:p>
        </w:tc>
        <w:tc>
          <w:tcPr>
            <w:tcW w:w="203" w:type="pct"/>
            <w:tcBorders>
              <w:top w:val="nil"/>
              <w:left w:val="nil"/>
              <w:bottom w:val="single" w:sz="4" w:space="0" w:color="auto"/>
              <w:right w:val="single" w:sz="4" w:space="0" w:color="auto"/>
            </w:tcBorders>
            <w:shd w:val="clear" w:color="auto" w:fill="auto"/>
            <w:noWrap/>
            <w:vAlign w:val="center"/>
            <w:hideMark/>
          </w:tcPr>
          <w:p w14:paraId="2377CAF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5B1BC9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4E9CF7C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6DA37A0"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000000" w:fill="FBE2D5"/>
            <w:noWrap/>
            <w:vAlign w:val="center"/>
            <w:hideMark/>
          </w:tcPr>
          <w:p w14:paraId="2C94E70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676F61E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000000" w:fill="FBE2D5"/>
            <w:noWrap/>
            <w:vAlign w:val="center"/>
            <w:hideMark/>
          </w:tcPr>
          <w:p w14:paraId="370B2EB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430BCF8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724B4C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1638D8A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000000" w:fill="FBE2D5"/>
            <w:noWrap/>
            <w:vAlign w:val="center"/>
            <w:hideMark/>
          </w:tcPr>
          <w:p w14:paraId="1DDBDFF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172B34F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000000" w:fill="FBE2D5"/>
            <w:noWrap/>
            <w:vAlign w:val="center"/>
            <w:hideMark/>
          </w:tcPr>
          <w:p w14:paraId="6F9C7AD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74" w:type="pct"/>
            <w:tcBorders>
              <w:top w:val="nil"/>
              <w:left w:val="nil"/>
              <w:bottom w:val="single" w:sz="4" w:space="0" w:color="auto"/>
              <w:right w:val="single" w:sz="4" w:space="0" w:color="auto"/>
            </w:tcBorders>
            <w:shd w:val="clear" w:color="000000" w:fill="FBE2D5"/>
            <w:noWrap/>
            <w:vAlign w:val="center"/>
            <w:hideMark/>
          </w:tcPr>
          <w:p w14:paraId="61226FE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94" w:type="pct"/>
            <w:tcBorders>
              <w:top w:val="nil"/>
              <w:left w:val="nil"/>
              <w:bottom w:val="single" w:sz="4" w:space="0" w:color="auto"/>
              <w:right w:val="single" w:sz="4" w:space="0" w:color="auto"/>
            </w:tcBorders>
            <w:shd w:val="clear" w:color="000000" w:fill="FBE2D5"/>
            <w:noWrap/>
            <w:vAlign w:val="center"/>
            <w:hideMark/>
          </w:tcPr>
          <w:p w14:paraId="012B3E3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88" w:type="pct"/>
            <w:tcBorders>
              <w:top w:val="nil"/>
              <w:left w:val="nil"/>
              <w:bottom w:val="single" w:sz="4" w:space="0" w:color="auto"/>
              <w:right w:val="single" w:sz="4" w:space="0" w:color="auto"/>
            </w:tcBorders>
            <w:shd w:val="clear" w:color="auto" w:fill="auto"/>
            <w:noWrap/>
            <w:vAlign w:val="center"/>
            <w:hideMark/>
          </w:tcPr>
          <w:p w14:paraId="72FDB8C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0AA5FE51"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1D1A109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5" w:type="pct"/>
            <w:tcBorders>
              <w:top w:val="nil"/>
              <w:left w:val="nil"/>
              <w:bottom w:val="single" w:sz="4" w:space="0" w:color="auto"/>
              <w:right w:val="single" w:sz="4" w:space="0" w:color="auto"/>
            </w:tcBorders>
            <w:shd w:val="clear" w:color="000000" w:fill="FBE2D5"/>
            <w:noWrap/>
            <w:vAlign w:val="center"/>
            <w:hideMark/>
          </w:tcPr>
          <w:p w14:paraId="0BFC30C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000000" w:fill="FBE2D5"/>
            <w:noWrap/>
            <w:vAlign w:val="center"/>
            <w:hideMark/>
          </w:tcPr>
          <w:p w14:paraId="64E8F32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bottom"/>
            <w:hideMark/>
          </w:tcPr>
          <w:p w14:paraId="57C5E2DB"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8" w:space="0" w:color="auto"/>
            </w:tcBorders>
            <w:shd w:val="clear" w:color="000000" w:fill="FBE2D5"/>
            <w:noWrap/>
            <w:vAlign w:val="center"/>
            <w:hideMark/>
          </w:tcPr>
          <w:p w14:paraId="5D9CDFC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r>
      <w:tr w:rsidR="001B2B98" w:rsidRPr="00247533" w14:paraId="0E8B165F" w14:textId="77777777" w:rsidTr="00A729C7">
        <w:trPr>
          <w:trHeight w:val="563"/>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79937178"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Public transportation; Incentives to PT</w:t>
            </w:r>
          </w:p>
        </w:tc>
        <w:tc>
          <w:tcPr>
            <w:tcW w:w="203" w:type="pct"/>
            <w:tcBorders>
              <w:top w:val="nil"/>
              <w:left w:val="nil"/>
              <w:bottom w:val="single" w:sz="4" w:space="0" w:color="auto"/>
              <w:right w:val="single" w:sz="4" w:space="0" w:color="auto"/>
            </w:tcBorders>
            <w:shd w:val="clear" w:color="auto" w:fill="auto"/>
            <w:noWrap/>
            <w:vAlign w:val="center"/>
            <w:hideMark/>
          </w:tcPr>
          <w:p w14:paraId="28750DF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DA5A2D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46659B80"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30B659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000000" w:fill="FBE2D5"/>
            <w:noWrap/>
            <w:vAlign w:val="center"/>
            <w:hideMark/>
          </w:tcPr>
          <w:p w14:paraId="27449DB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0E62F269"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04FA6ED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67A75D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3075CC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7C7EDD1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29F4880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51287A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000000" w:fill="FBE2D5"/>
            <w:noWrap/>
            <w:vAlign w:val="center"/>
            <w:hideMark/>
          </w:tcPr>
          <w:p w14:paraId="52EBAE3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74" w:type="pct"/>
            <w:tcBorders>
              <w:top w:val="nil"/>
              <w:left w:val="nil"/>
              <w:bottom w:val="single" w:sz="4" w:space="0" w:color="auto"/>
              <w:right w:val="single" w:sz="4" w:space="0" w:color="auto"/>
            </w:tcBorders>
            <w:shd w:val="clear" w:color="000000" w:fill="FBE2D5"/>
            <w:noWrap/>
            <w:vAlign w:val="center"/>
            <w:hideMark/>
          </w:tcPr>
          <w:p w14:paraId="36887BC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94" w:type="pct"/>
            <w:tcBorders>
              <w:top w:val="nil"/>
              <w:left w:val="nil"/>
              <w:bottom w:val="single" w:sz="4" w:space="0" w:color="auto"/>
              <w:right w:val="single" w:sz="4" w:space="0" w:color="auto"/>
            </w:tcBorders>
            <w:shd w:val="clear" w:color="000000" w:fill="FBE2D5"/>
            <w:noWrap/>
            <w:vAlign w:val="center"/>
            <w:hideMark/>
          </w:tcPr>
          <w:p w14:paraId="2D0179C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88" w:type="pct"/>
            <w:tcBorders>
              <w:top w:val="nil"/>
              <w:left w:val="nil"/>
              <w:bottom w:val="single" w:sz="4" w:space="0" w:color="auto"/>
              <w:right w:val="single" w:sz="4" w:space="0" w:color="auto"/>
            </w:tcBorders>
            <w:shd w:val="clear" w:color="auto" w:fill="auto"/>
            <w:noWrap/>
            <w:vAlign w:val="center"/>
            <w:hideMark/>
          </w:tcPr>
          <w:p w14:paraId="2CA9A42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030A61DB"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4058B63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5" w:type="pct"/>
            <w:tcBorders>
              <w:top w:val="nil"/>
              <w:left w:val="nil"/>
              <w:bottom w:val="single" w:sz="4" w:space="0" w:color="auto"/>
              <w:right w:val="single" w:sz="4" w:space="0" w:color="auto"/>
            </w:tcBorders>
            <w:shd w:val="clear" w:color="auto" w:fill="auto"/>
            <w:noWrap/>
            <w:vAlign w:val="center"/>
            <w:hideMark/>
          </w:tcPr>
          <w:p w14:paraId="2652796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507473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43440609"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23A8672E"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r>
      <w:tr w:rsidR="001B2B98" w:rsidRPr="00247533" w14:paraId="3C1493A4" w14:textId="77777777" w:rsidTr="00A729C7">
        <w:trPr>
          <w:trHeight w:val="635"/>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08E5F901"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lastRenderedPageBreak/>
              <w:t>Alternative modes; Multimodality; Intermodality</w:t>
            </w:r>
          </w:p>
        </w:tc>
        <w:tc>
          <w:tcPr>
            <w:tcW w:w="203" w:type="pct"/>
            <w:tcBorders>
              <w:top w:val="nil"/>
              <w:left w:val="nil"/>
              <w:bottom w:val="single" w:sz="4" w:space="0" w:color="auto"/>
              <w:right w:val="single" w:sz="4" w:space="0" w:color="auto"/>
            </w:tcBorders>
            <w:shd w:val="clear" w:color="auto" w:fill="auto"/>
            <w:noWrap/>
            <w:vAlign w:val="center"/>
            <w:hideMark/>
          </w:tcPr>
          <w:p w14:paraId="798E619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641FF7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0CF1975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B48107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06AD7F7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4" w:space="0" w:color="auto"/>
              <w:right w:val="single" w:sz="4" w:space="0" w:color="auto"/>
            </w:tcBorders>
            <w:shd w:val="clear" w:color="000000" w:fill="FBE2D5"/>
            <w:noWrap/>
            <w:vAlign w:val="center"/>
            <w:hideMark/>
          </w:tcPr>
          <w:p w14:paraId="49002CA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0" w:type="pct"/>
            <w:tcBorders>
              <w:top w:val="nil"/>
              <w:left w:val="nil"/>
              <w:bottom w:val="single" w:sz="4" w:space="0" w:color="auto"/>
              <w:right w:val="single" w:sz="4" w:space="0" w:color="auto"/>
            </w:tcBorders>
            <w:shd w:val="clear" w:color="000000" w:fill="FBE2D5"/>
            <w:noWrap/>
            <w:vAlign w:val="center"/>
            <w:hideMark/>
          </w:tcPr>
          <w:p w14:paraId="26BE11D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64BFDCD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F872B19"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F8D2A8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5A4A18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7D6A6D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000000" w:fill="FBE2D5"/>
            <w:noWrap/>
            <w:vAlign w:val="center"/>
            <w:hideMark/>
          </w:tcPr>
          <w:p w14:paraId="30CA7EC9"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636EBD3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2A5D927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62C7BA0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2337F170"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3436223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5" w:type="pct"/>
            <w:tcBorders>
              <w:top w:val="nil"/>
              <w:left w:val="nil"/>
              <w:bottom w:val="single" w:sz="4" w:space="0" w:color="auto"/>
              <w:right w:val="single" w:sz="4" w:space="0" w:color="auto"/>
            </w:tcBorders>
            <w:shd w:val="clear" w:color="000000" w:fill="FBE2D5"/>
            <w:noWrap/>
            <w:vAlign w:val="center"/>
            <w:hideMark/>
          </w:tcPr>
          <w:p w14:paraId="1BCA76B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4139E85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6592DD24"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4E3AAD3B"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r>
      <w:tr w:rsidR="001B2B98" w:rsidRPr="00247533" w14:paraId="1A99FEC5" w14:textId="77777777" w:rsidTr="00D111DC">
        <w:trPr>
          <w:trHeight w:val="290"/>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7C70C0EF"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Private motorised transport</w:t>
            </w:r>
          </w:p>
        </w:tc>
        <w:tc>
          <w:tcPr>
            <w:tcW w:w="203" w:type="pct"/>
            <w:tcBorders>
              <w:top w:val="nil"/>
              <w:left w:val="nil"/>
              <w:bottom w:val="single" w:sz="4" w:space="0" w:color="auto"/>
              <w:right w:val="single" w:sz="4" w:space="0" w:color="auto"/>
            </w:tcBorders>
            <w:shd w:val="clear" w:color="auto" w:fill="auto"/>
            <w:noWrap/>
            <w:vAlign w:val="center"/>
            <w:hideMark/>
          </w:tcPr>
          <w:p w14:paraId="0CA6802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A8FC87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90A44B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9FADEE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000000" w:fill="FBE2D5"/>
            <w:noWrap/>
            <w:vAlign w:val="center"/>
            <w:hideMark/>
          </w:tcPr>
          <w:p w14:paraId="7845DCC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2B343D4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0E1F851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6A40A07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C58AD0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00F3B1E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1FFDA1A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02F1AE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0A27B460"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303F755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0D850909"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43B858D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1235F1C7"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3A890A7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5" w:type="pct"/>
            <w:tcBorders>
              <w:top w:val="nil"/>
              <w:left w:val="nil"/>
              <w:bottom w:val="single" w:sz="4" w:space="0" w:color="auto"/>
              <w:right w:val="single" w:sz="4" w:space="0" w:color="auto"/>
            </w:tcBorders>
            <w:shd w:val="clear" w:color="auto" w:fill="auto"/>
            <w:noWrap/>
            <w:vAlign w:val="center"/>
            <w:hideMark/>
          </w:tcPr>
          <w:p w14:paraId="3662CF9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7C2D0B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57CCBAF1"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642C8292"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r>
      <w:tr w:rsidR="001B2B98" w:rsidRPr="00247533" w14:paraId="4921CEA0" w14:textId="77777777" w:rsidTr="00D111DC">
        <w:trPr>
          <w:trHeight w:val="930"/>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20CF9C57"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Freight distribution; Urban freight transport; Logistics and transport sharing</w:t>
            </w:r>
          </w:p>
        </w:tc>
        <w:tc>
          <w:tcPr>
            <w:tcW w:w="203" w:type="pct"/>
            <w:tcBorders>
              <w:top w:val="nil"/>
              <w:left w:val="nil"/>
              <w:bottom w:val="single" w:sz="4" w:space="0" w:color="auto"/>
              <w:right w:val="single" w:sz="4" w:space="0" w:color="auto"/>
            </w:tcBorders>
            <w:shd w:val="clear" w:color="auto" w:fill="auto"/>
            <w:noWrap/>
            <w:vAlign w:val="center"/>
            <w:hideMark/>
          </w:tcPr>
          <w:p w14:paraId="57AD881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74B26C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591ACE1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46164F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576AD69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38B7DCC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009DFB1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47B7572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F98832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8EBAB9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0422531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33DB4D3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000000" w:fill="FBE2D5"/>
            <w:noWrap/>
            <w:vAlign w:val="center"/>
            <w:hideMark/>
          </w:tcPr>
          <w:p w14:paraId="7F2EDE7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74" w:type="pct"/>
            <w:tcBorders>
              <w:top w:val="nil"/>
              <w:left w:val="nil"/>
              <w:bottom w:val="single" w:sz="4" w:space="0" w:color="auto"/>
              <w:right w:val="single" w:sz="4" w:space="0" w:color="auto"/>
            </w:tcBorders>
            <w:shd w:val="clear" w:color="000000" w:fill="FBE2D5"/>
            <w:noWrap/>
            <w:vAlign w:val="center"/>
            <w:hideMark/>
          </w:tcPr>
          <w:p w14:paraId="441A96F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94" w:type="pct"/>
            <w:tcBorders>
              <w:top w:val="nil"/>
              <w:left w:val="nil"/>
              <w:bottom w:val="single" w:sz="4" w:space="0" w:color="auto"/>
              <w:right w:val="single" w:sz="4" w:space="0" w:color="auto"/>
            </w:tcBorders>
            <w:shd w:val="clear" w:color="auto" w:fill="auto"/>
            <w:noWrap/>
            <w:vAlign w:val="center"/>
            <w:hideMark/>
          </w:tcPr>
          <w:p w14:paraId="4B1E39B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61987C2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31E045EE"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03E779C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5" w:type="pct"/>
            <w:tcBorders>
              <w:top w:val="nil"/>
              <w:left w:val="nil"/>
              <w:bottom w:val="single" w:sz="4" w:space="0" w:color="auto"/>
              <w:right w:val="single" w:sz="4" w:space="0" w:color="auto"/>
            </w:tcBorders>
            <w:shd w:val="clear" w:color="auto" w:fill="auto"/>
            <w:noWrap/>
            <w:vAlign w:val="center"/>
            <w:hideMark/>
          </w:tcPr>
          <w:p w14:paraId="62388C1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E63D17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466753B0"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05026D25"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r>
      <w:tr w:rsidR="001B2B98" w:rsidRPr="00247533" w14:paraId="3F3DA074" w14:textId="77777777" w:rsidTr="00D111DC">
        <w:trPr>
          <w:trHeight w:val="290"/>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3100B415"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Transport variety</w:t>
            </w:r>
          </w:p>
        </w:tc>
        <w:tc>
          <w:tcPr>
            <w:tcW w:w="203" w:type="pct"/>
            <w:tcBorders>
              <w:top w:val="nil"/>
              <w:left w:val="nil"/>
              <w:bottom w:val="single" w:sz="4" w:space="0" w:color="auto"/>
              <w:right w:val="single" w:sz="4" w:space="0" w:color="auto"/>
            </w:tcBorders>
            <w:shd w:val="clear" w:color="auto" w:fill="auto"/>
            <w:noWrap/>
            <w:vAlign w:val="center"/>
            <w:hideMark/>
          </w:tcPr>
          <w:p w14:paraId="030948F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1640320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37CCD0C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7731C2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60C735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46B1A2A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27B9B68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A9C85C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1C40AB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8DCD56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AF34A4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275545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7A308F0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33ECC79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1DB15B4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380846F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3097D2E4"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4B82482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5" w:type="pct"/>
            <w:tcBorders>
              <w:top w:val="nil"/>
              <w:left w:val="nil"/>
              <w:bottom w:val="single" w:sz="4" w:space="0" w:color="auto"/>
              <w:right w:val="single" w:sz="4" w:space="0" w:color="auto"/>
            </w:tcBorders>
            <w:shd w:val="clear" w:color="auto" w:fill="auto"/>
            <w:noWrap/>
            <w:vAlign w:val="center"/>
            <w:hideMark/>
          </w:tcPr>
          <w:p w14:paraId="6016B30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1DF93A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59301B4C"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25942434"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r>
      <w:tr w:rsidR="001B2B98" w:rsidRPr="00247533" w14:paraId="7F507BC5" w14:textId="77777777" w:rsidTr="00A729C7">
        <w:trPr>
          <w:trHeight w:val="797"/>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3A415982"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New &amp; smart technologies; Traffic management tools &amp; services</w:t>
            </w:r>
          </w:p>
        </w:tc>
        <w:tc>
          <w:tcPr>
            <w:tcW w:w="203" w:type="pct"/>
            <w:tcBorders>
              <w:top w:val="nil"/>
              <w:left w:val="nil"/>
              <w:bottom w:val="single" w:sz="4" w:space="0" w:color="auto"/>
              <w:right w:val="single" w:sz="4" w:space="0" w:color="auto"/>
            </w:tcBorders>
            <w:shd w:val="clear" w:color="auto" w:fill="auto"/>
            <w:noWrap/>
            <w:vAlign w:val="center"/>
            <w:hideMark/>
          </w:tcPr>
          <w:p w14:paraId="7813A21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43F6D8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305AC8D0"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5D6A07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35D5D07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66AB2EA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5029E38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20AC5F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258EA8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82ACCA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CFA340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5AAD91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000000" w:fill="FBE2D5"/>
            <w:noWrap/>
            <w:vAlign w:val="center"/>
            <w:hideMark/>
          </w:tcPr>
          <w:p w14:paraId="565649E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475EE06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1DD3274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4895DB0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38008365"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06BD8A1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5" w:type="pct"/>
            <w:tcBorders>
              <w:top w:val="nil"/>
              <w:left w:val="nil"/>
              <w:bottom w:val="single" w:sz="4" w:space="0" w:color="auto"/>
              <w:right w:val="single" w:sz="4" w:space="0" w:color="auto"/>
            </w:tcBorders>
            <w:shd w:val="clear" w:color="000000" w:fill="FBE2D5"/>
            <w:noWrap/>
            <w:vAlign w:val="center"/>
            <w:hideMark/>
          </w:tcPr>
          <w:p w14:paraId="30676A60"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0A68AC6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6CABE3B5"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194B783D"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r>
      <w:tr w:rsidR="001B2B98" w:rsidRPr="00247533" w14:paraId="7D22A8A0" w14:textId="77777777" w:rsidTr="00D111DC">
        <w:trPr>
          <w:trHeight w:val="290"/>
        </w:trPr>
        <w:tc>
          <w:tcPr>
            <w:tcW w:w="606" w:type="pct"/>
            <w:tcBorders>
              <w:top w:val="nil"/>
              <w:left w:val="single" w:sz="4" w:space="0" w:color="auto"/>
              <w:bottom w:val="single" w:sz="4" w:space="0" w:color="auto"/>
              <w:right w:val="single" w:sz="4" w:space="0" w:color="auto"/>
            </w:tcBorders>
            <w:shd w:val="clear" w:color="000000" w:fill="FBE2D5"/>
            <w:vAlign w:val="center"/>
            <w:hideMark/>
          </w:tcPr>
          <w:p w14:paraId="4DA93CEF"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Vehicle type</w:t>
            </w:r>
          </w:p>
        </w:tc>
        <w:tc>
          <w:tcPr>
            <w:tcW w:w="203" w:type="pct"/>
            <w:tcBorders>
              <w:top w:val="nil"/>
              <w:left w:val="nil"/>
              <w:bottom w:val="single" w:sz="4" w:space="0" w:color="auto"/>
              <w:right w:val="single" w:sz="4" w:space="0" w:color="auto"/>
            </w:tcBorders>
            <w:shd w:val="clear" w:color="auto" w:fill="auto"/>
            <w:noWrap/>
            <w:vAlign w:val="center"/>
            <w:hideMark/>
          </w:tcPr>
          <w:p w14:paraId="70938D2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79A82A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D9251B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155197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8BFCBF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1100B0B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62889BE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DD28A19"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108A100"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3152E2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BE2D5"/>
            <w:noWrap/>
            <w:vAlign w:val="center"/>
            <w:hideMark/>
          </w:tcPr>
          <w:p w14:paraId="1E986E0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58C0E78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7B7E93E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41FD2D2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28B942F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664A36B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48214360"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3F22854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5" w:type="pct"/>
            <w:tcBorders>
              <w:top w:val="nil"/>
              <w:left w:val="nil"/>
              <w:bottom w:val="single" w:sz="4" w:space="0" w:color="auto"/>
              <w:right w:val="single" w:sz="4" w:space="0" w:color="auto"/>
            </w:tcBorders>
            <w:shd w:val="clear" w:color="auto" w:fill="auto"/>
            <w:noWrap/>
            <w:vAlign w:val="center"/>
            <w:hideMark/>
          </w:tcPr>
          <w:p w14:paraId="2A5EDE1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47BCDA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6C8D9F0A"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101B29E3"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r>
      <w:tr w:rsidR="001B2B98" w:rsidRPr="00247533" w14:paraId="19873302" w14:textId="77777777" w:rsidTr="00A729C7">
        <w:trPr>
          <w:trHeight w:val="1096"/>
        </w:trPr>
        <w:tc>
          <w:tcPr>
            <w:tcW w:w="606" w:type="pct"/>
            <w:tcBorders>
              <w:top w:val="nil"/>
              <w:left w:val="single" w:sz="4" w:space="0" w:color="auto"/>
              <w:bottom w:val="single" w:sz="8" w:space="0" w:color="auto"/>
              <w:right w:val="single" w:sz="4" w:space="0" w:color="auto"/>
            </w:tcBorders>
            <w:shd w:val="clear" w:color="000000" w:fill="FBE2D5"/>
            <w:vAlign w:val="center"/>
            <w:hideMark/>
          </w:tcPr>
          <w:p w14:paraId="35AC070C"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Indirect transportation cost for user (time spent in traffic); improved mobility; traffic congestion</w:t>
            </w:r>
          </w:p>
        </w:tc>
        <w:tc>
          <w:tcPr>
            <w:tcW w:w="203" w:type="pct"/>
            <w:tcBorders>
              <w:top w:val="nil"/>
              <w:left w:val="nil"/>
              <w:bottom w:val="single" w:sz="8" w:space="0" w:color="auto"/>
              <w:right w:val="single" w:sz="4" w:space="0" w:color="auto"/>
            </w:tcBorders>
            <w:shd w:val="clear" w:color="auto" w:fill="auto"/>
            <w:noWrap/>
            <w:vAlign w:val="center"/>
            <w:hideMark/>
          </w:tcPr>
          <w:p w14:paraId="23973A3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7BA033A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4BEB77C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000000" w:fill="FBE2D5"/>
            <w:noWrap/>
            <w:vAlign w:val="center"/>
            <w:hideMark/>
          </w:tcPr>
          <w:p w14:paraId="235FA20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2" w:type="pct"/>
            <w:tcBorders>
              <w:top w:val="nil"/>
              <w:left w:val="nil"/>
              <w:bottom w:val="single" w:sz="8" w:space="0" w:color="auto"/>
              <w:right w:val="single" w:sz="4" w:space="0" w:color="auto"/>
            </w:tcBorders>
            <w:shd w:val="clear" w:color="auto" w:fill="auto"/>
            <w:noWrap/>
            <w:vAlign w:val="center"/>
            <w:hideMark/>
          </w:tcPr>
          <w:p w14:paraId="26D6D27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8" w:space="0" w:color="auto"/>
              <w:right w:val="single" w:sz="4" w:space="0" w:color="auto"/>
            </w:tcBorders>
            <w:shd w:val="clear" w:color="auto" w:fill="auto"/>
            <w:noWrap/>
            <w:vAlign w:val="center"/>
            <w:hideMark/>
          </w:tcPr>
          <w:p w14:paraId="1A55BBE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8" w:space="0" w:color="auto"/>
              <w:right w:val="single" w:sz="4" w:space="0" w:color="auto"/>
            </w:tcBorders>
            <w:shd w:val="clear" w:color="000000" w:fill="FBE2D5"/>
            <w:noWrap/>
            <w:vAlign w:val="center"/>
            <w:hideMark/>
          </w:tcPr>
          <w:p w14:paraId="6615A8F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2" w:type="pct"/>
            <w:tcBorders>
              <w:top w:val="nil"/>
              <w:left w:val="nil"/>
              <w:bottom w:val="single" w:sz="8" w:space="0" w:color="auto"/>
              <w:right w:val="single" w:sz="4" w:space="0" w:color="auto"/>
            </w:tcBorders>
            <w:shd w:val="clear" w:color="auto" w:fill="auto"/>
            <w:noWrap/>
            <w:vAlign w:val="center"/>
            <w:hideMark/>
          </w:tcPr>
          <w:p w14:paraId="67FFD9B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5D50B82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7CB53BC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4FC3476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000000" w:fill="FBE2D5"/>
            <w:noWrap/>
            <w:vAlign w:val="center"/>
            <w:hideMark/>
          </w:tcPr>
          <w:p w14:paraId="11978CB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99" w:type="pct"/>
            <w:tcBorders>
              <w:top w:val="nil"/>
              <w:left w:val="nil"/>
              <w:bottom w:val="single" w:sz="8" w:space="0" w:color="auto"/>
              <w:right w:val="single" w:sz="4" w:space="0" w:color="auto"/>
            </w:tcBorders>
            <w:shd w:val="clear" w:color="auto" w:fill="auto"/>
            <w:noWrap/>
            <w:vAlign w:val="center"/>
            <w:hideMark/>
          </w:tcPr>
          <w:p w14:paraId="7DFF29B0"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74" w:type="pct"/>
            <w:tcBorders>
              <w:top w:val="nil"/>
              <w:left w:val="nil"/>
              <w:bottom w:val="single" w:sz="8" w:space="0" w:color="auto"/>
              <w:right w:val="single" w:sz="4" w:space="0" w:color="auto"/>
            </w:tcBorders>
            <w:shd w:val="clear" w:color="auto" w:fill="auto"/>
            <w:noWrap/>
            <w:vAlign w:val="center"/>
            <w:hideMark/>
          </w:tcPr>
          <w:p w14:paraId="40EF4EE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4" w:type="pct"/>
            <w:tcBorders>
              <w:top w:val="nil"/>
              <w:left w:val="nil"/>
              <w:bottom w:val="single" w:sz="8" w:space="0" w:color="auto"/>
              <w:right w:val="single" w:sz="4" w:space="0" w:color="auto"/>
            </w:tcBorders>
            <w:shd w:val="clear" w:color="auto" w:fill="auto"/>
            <w:noWrap/>
            <w:vAlign w:val="center"/>
            <w:hideMark/>
          </w:tcPr>
          <w:p w14:paraId="37B1F70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8" w:space="0" w:color="auto"/>
              <w:right w:val="single" w:sz="4" w:space="0" w:color="auto"/>
            </w:tcBorders>
            <w:shd w:val="clear" w:color="auto" w:fill="auto"/>
            <w:noWrap/>
            <w:vAlign w:val="center"/>
            <w:hideMark/>
          </w:tcPr>
          <w:p w14:paraId="415E0FC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8" w:space="0" w:color="auto"/>
              <w:right w:val="single" w:sz="4" w:space="0" w:color="auto"/>
            </w:tcBorders>
            <w:shd w:val="clear" w:color="auto" w:fill="auto"/>
            <w:noWrap/>
            <w:vAlign w:val="bottom"/>
            <w:hideMark/>
          </w:tcPr>
          <w:p w14:paraId="5090D98E"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10" w:type="pct"/>
            <w:tcBorders>
              <w:top w:val="nil"/>
              <w:left w:val="nil"/>
              <w:bottom w:val="single" w:sz="8" w:space="0" w:color="auto"/>
              <w:right w:val="single" w:sz="4" w:space="0" w:color="auto"/>
            </w:tcBorders>
            <w:shd w:val="clear" w:color="auto" w:fill="auto"/>
            <w:noWrap/>
            <w:vAlign w:val="center"/>
            <w:hideMark/>
          </w:tcPr>
          <w:p w14:paraId="5FF6EB4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5" w:type="pct"/>
            <w:tcBorders>
              <w:top w:val="nil"/>
              <w:left w:val="nil"/>
              <w:bottom w:val="single" w:sz="8" w:space="0" w:color="auto"/>
              <w:right w:val="single" w:sz="4" w:space="0" w:color="auto"/>
            </w:tcBorders>
            <w:shd w:val="clear" w:color="auto" w:fill="auto"/>
            <w:noWrap/>
            <w:vAlign w:val="center"/>
            <w:hideMark/>
          </w:tcPr>
          <w:p w14:paraId="1EAC388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5001DFB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bottom"/>
            <w:hideMark/>
          </w:tcPr>
          <w:p w14:paraId="72F18584"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188" w:type="pct"/>
            <w:tcBorders>
              <w:top w:val="nil"/>
              <w:left w:val="nil"/>
              <w:bottom w:val="single" w:sz="8" w:space="0" w:color="auto"/>
              <w:right w:val="single" w:sz="8" w:space="0" w:color="auto"/>
            </w:tcBorders>
            <w:shd w:val="clear" w:color="000000" w:fill="FBE2D5"/>
            <w:noWrap/>
            <w:vAlign w:val="center"/>
            <w:hideMark/>
          </w:tcPr>
          <w:p w14:paraId="369BFEB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r>
      <w:tr w:rsidR="001B2B98" w:rsidRPr="009A4EA5" w14:paraId="472B3596" w14:textId="77777777" w:rsidTr="00191B2F">
        <w:trPr>
          <w:trHeight w:val="300"/>
        </w:trPr>
        <w:tc>
          <w:tcPr>
            <w:tcW w:w="5000" w:type="pct"/>
            <w:gridSpan w:val="23"/>
            <w:tcBorders>
              <w:top w:val="single" w:sz="8" w:space="0" w:color="auto"/>
              <w:left w:val="single" w:sz="8" w:space="0" w:color="auto"/>
              <w:bottom w:val="single" w:sz="8" w:space="0" w:color="auto"/>
              <w:right w:val="nil"/>
            </w:tcBorders>
            <w:shd w:val="clear" w:color="000000" w:fill="A6C9EC"/>
            <w:vAlign w:val="center"/>
            <w:hideMark/>
          </w:tcPr>
          <w:p w14:paraId="72BC919D" w14:textId="77777777" w:rsidR="001B2B98" w:rsidRPr="009A4EA5" w:rsidRDefault="001B2B98" w:rsidP="00191B2F">
            <w:pPr>
              <w:spacing w:line="240" w:lineRule="auto"/>
              <w:jc w:val="center"/>
              <w:rPr>
                <w:b/>
                <w:bCs/>
                <w:color w:val="000000"/>
                <w:sz w:val="20"/>
                <w:szCs w:val="20"/>
                <w:lang w:eastAsia="es-ES"/>
              </w:rPr>
            </w:pPr>
            <w:r w:rsidRPr="009A4EA5">
              <w:rPr>
                <w:b/>
                <w:bCs/>
                <w:color w:val="000000"/>
                <w:sz w:val="20"/>
                <w:szCs w:val="20"/>
                <w:lang w:eastAsia="es-ES"/>
              </w:rPr>
              <w:t>Social dimension</w:t>
            </w:r>
          </w:p>
        </w:tc>
      </w:tr>
      <w:tr w:rsidR="001B2B98" w:rsidRPr="009A4EA5" w14:paraId="4876C133" w14:textId="77777777" w:rsidTr="00A729C7">
        <w:trPr>
          <w:trHeight w:val="653"/>
        </w:trPr>
        <w:tc>
          <w:tcPr>
            <w:tcW w:w="606" w:type="pct"/>
            <w:tcBorders>
              <w:top w:val="nil"/>
              <w:left w:val="single" w:sz="4" w:space="0" w:color="auto"/>
              <w:bottom w:val="single" w:sz="4" w:space="0" w:color="auto"/>
              <w:right w:val="single" w:sz="4" w:space="0" w:color="auto"/>
            </w:tcBorders>
            <w:shd w:val="clear" w:color="000000" w:fill="DAE9F8"/>
            <w:vAlign w:val="center"/>
            <w:hideMark/>
          </w:tcPr>
          <w:p w14:paraId="5FB39794"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Safety &amp; Security; Human safety, security and health; Road safety</w:t>
            </w:r>
          </w:p>
        </w:tc>
        <w:tc>
          <w:tcPr>
            <w:tcW w:w="203" w:type="pct"/>
            <w:tcBorders>
              <w:top w:val="nil"/>
              <w:left w:val="nil"/>
              <w:bottom w:val="single" w:sz="4" w:space="0" w:color="auto"/>
              <w:right w:val="single" w:sz="4" w:space="0" w:color="auto"/>
            </w:tcBorders>
            <w:shd w:val="clear" w:color="000000" w:fill="DAE9F8"/>
            <w:noWrap/>
            <w:vAlign w:val="center"/>
            <w:hideMark/>
          </w:tcPr>
          <w:p w14:paraId="07CAEBA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000000" w:fill="DAE9F8"/>
            <w:noWrap/>
            <w:vAlign w:val="center"/>
            <w:hideMark/>
          </w:tcPr>
          <w:p w14:paraId="0EBFF65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2" w:type="pct"/>
            <w:tcBorders>
              <w:top w:val="nil"/>
              <w:left w:val="nil"/>
              <w:bottom w:val="single" w:sz="4" w:space="0" w:color="auto"/>
              <w:right w:val="single" w:sz="4" w:space="0" w:color="auto"/>
            </w:tcBorders>
            <w:shd w:val="clear" w:color="000000" w:fill="DAE9F8"/>
            <w:noWrap/>
            <w:vAlign w:val="center"/>
            <w:hideMark/>
          </w:tcPr>
          <w:p w14:paraId="7559F45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000000" w:fill="DAE9F8"/>
            <w:noWrap/>
            <w:vAlign w:val="center"/>
            <w:hideMark/>
          </w:tcPr>
          <w:p w14:paraId="16FFA92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2" w:type="pct"/>
            <w:tcBorders>
              <w:top w:val="nil"/>
              <w:left w:val="nil"/>
              <w:bottom w:val="single" w:sz="4" w:space="0" w:color="auto"/>
              <w:right w:val="single" w:sz="4" w:space="0" w:color="auto"/>
            </w:tcBorders>
            <w:shd w:val="clear" w:color="000000" w:fill="DAE9F8"/>
            <w:noWrap/>
            <w:vAlign w:val="center"/>
            <w:hideMark/>
          </w:tcPr>
          <w:p w14:paraId="690977F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5" w:type="pct"/>
            <w:tcBorders>
              <w:top w:val="nil"/>
              <w:left w:val="nil"/>
              <w:bottom w:val="single" w:sz="4" w:space="0" w:color="auto"/>
              <w:right w:val="single" w:sz="4" w:space="0" w:color="auto"/>
            </w:tcBorders>
            <w:shd w:val="clear" w:color="000000" w:fill="DAE9F8"/>
            <w:noWrap/>
            <w:vAlign w:val="center"/>
            <w:hideMark/>
          </w:tcPr>
          <w:p w14:paraId="2B4C120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0" w:type="pct"/>
            <w:tcBorders>
              <w:top w:val="nil"/>
              <w:left w:val="nil"/>
              <w:bottom w:val="single" w:sz="4" w:space="0" w:color="auto"/>
              <w:right w:val="single" w:sz="4" w:space="0" w:color="auto"/>
            </w:tcBorders>
            <w:shd w:val="clear" w:color="000000" w:fill="DAE9F8"/>
            <w:noWrap/>
            <w:vAlign w:val="center"/>
            <w:hideMark/>
          </w:tcPr>
          <w:p w14:paraId="205D55F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37B7A50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B4284D0"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1EDEAC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F552F4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0204C11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99" w:type="pct"/>
            <w:tcBorders>
              <w:top w:val="nil"/>
              <w:left w:val="nil"/>
              <w:bottom w:val="single" w:sz="4" w:space="0" w:color="auto"/>
              <w:right w:val="single" w:sz="4" w:space="0" w:color="auto"/>
            </w:tcBorders>
            <w:shd w:val="clear" w:color="000000" w:fill="DAE9F8"/>
            <w:noWrap/>
            <w:vAlign w:val="center"/>
            <w:hideMark/>
          </w:tcPr>
          <w:p w14:paraId="0B6F7B3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74" w:type="pct"/>
            <w:tcBorders>
              <w:top w:val="nil"/>
              <w:left w:val="nil"/>
              <w:bottom w:val="single" w:sz="4" w:space="0" w:color="auto"/>
              <w:right w:val="single" w:sz="4" w:space="0" w:color="auto"/>
            </w:tcBorders>
            <w:shd w:val="clear" w:color="000000" w:fill="DAE9F8"/>
            <w:noWrap/>
            <w:vAlign w:val="center"/>
            <w:hideMark/>
          </w:tcPr>
          <w:p w14:paraId="4ED70F9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94" w:type="pct"/>
            <w:tcBorders>
              <w:top w:val="nil"/>
              <w:left w:val="nil"/>
              <w:bottom w:val="single" w:sz="4" w:space="0" w:color="auto"/>
              <w:right w:val="single" w:sz="4" w:space="0" w:color="auto"/>
            </w:tcBorders>
            <w:shd w:val="clear" w:color="000000" w:fill="DAE9F8"/>
            <w:noWrap/>
            <w:vAlign w:val="center"/>
            <w:hideMark/>
          </w:tcPr>
          <w:p w14:paraId="2B7D716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88" w:type="pct"/>
            <w:tcBorders>
              <w:top w:val="nil"/>
              <w:left w:val="nil"/>
              <w:bottom w:val="single" w:sz="4" w:space="0" w:color="auto"/>
              <w:right w:val="single" w:sz="4" w:space="0" w:color="auto"/>
            </w:tcBorders>
            <w:shd w:val="clear" w:color="auto" w:fill="auto"/>
            <w:noWrap/>
            <w:vAlign w:val="center"/>
            <w:hideMark/>
          </w:tcPr>
          <w:p w14:paraId="067371E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8" w:type="pct"/>
            <w:tcBorders>
              <w:top w:val="nil"/>
              <w:left w:val="nil"/>
              <w:bottom w:val="single" w:sz="4" w:space="0" w:color="auto"/>
              <w:right w:val="single" w:sz="4" w:space="0" w:color="auto"/>
            </w:tcBorders>
            <w:shd w:val="clear" w:color="000000" w:fill="DAE9F8"/>
            <w:noWrap/>
            <w:vAlign w:val="center"/>
            <w:hideMark/>
          </w:tcPr>
          <w:p w14:paraId="15E47DD6"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10" w:type="pct"/>
            <w:tcBorders>
              <w:top w:val="nil"/>
              <w:left w:val="nil"/>
              <w:bottom w:val="single" w:sz="4" w:space="0" w:color="auto"/>
              <w:right w:val="single" w:sz="4" w:space="0" w:color="auto"/>
            </w:tcBorders>
            <w:shd w:val="clear" w:color="000000" w:fill="DAE9F8"/>
            <w:noWrap/>
            <w:vAlign w:val="center"/>
            <w:hideMark/>
          </w:tcPr>
          <w:p w14:paraId="79BC3DF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95" w:type="pct"/>
            <w:tcBorders>
              <w:top w:val="nil"/>
              <w:left w:val="nil"/>
              <w:bottom w:val="single" w:sz="4" w:space="0" w:color="auto"/>
              <w:right w:val="single" w:sz="4" w:space="0" w:color="auto"/>
            </w:tcBorders>
            <w:shd w:val="clear" w:color="000000" w:fill="DAE9F8"/>
            <w:noWrap/>
            <w:vAlign w:val="center"/>
            <w:hideMark/>
          </w:tcPr>
          <w:p w14:paraId="45A190D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000000" w:fill="DAE9F8"/>
            <w:noWrap/>
            <w:vAlign w:val="center"/>
            <w:hideMark/>
          </w:tcPr>
          <w:p w14:paraId="623F0BE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203" w:type="pct"/>
            <w:tcBorders>
              <w:top w:val="nil"/>
              <w:left w:val="nil"/>
              <w:bottom w:val="single" w:sz="4" w:space="0" w:color="auto"/>
              <w:right w:val="single" w:sz="4" w:space="0" w:color="auto"/>
            </w:tcBorders>
            <w:shd w:val="clear" w:color="000000" w:fill="DAE9F8"/>
            <w:noWrap/>
            <w:vAlign w:val="center"/>
            <w:hideMark/>
          </w:tcPr>
          <w:p w14:paraId="27B7AD4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x</w:t>
            </w:r>
          </w:p>
        </w:tc>
        <w:tc>
          <w:tcPr>
            <w:tcW w:w="188" w:type="pct"/>
            <w:tcBorders>
              <w:top w:val="nil"/>
              <w:left w:val="nil"/>
              <w:bottom w:val="single" w:sz="4" w:space="0" w:color="auto"/>
              <w:right w:val="single" w:sz="8" w:space="0" w:color="auto"/>
            </w:tcBorders>
            <w:shd w:val="clear" w:color="000000" w:fill="DAE9F8"/>
            <w:noWrap/>
            <w:vAlign w:val="center"/>
            <w:hideMark/>
          </w:tcPr>
          <w:p w14:paraId="4C7F3DE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r>
      <w:tr w:rsidR="001B2B98" w:rsidRPr="009A4EA5" w14:paraId="6A4452D0" w14:textId="77777777" w:rsidTr="00A729C7">
        <w:trPr>
          <w:trHeight w:val="1096"/>
        </w:trPr>
        <w:tc>
          <w:tcPr>
            <w:tcW w:w="606" w:type="pct"/>
            <w:tcBorders>
              <w:top w:val="nil"/>
              <w:left w:val="single" w:sz="4" w:space="0" w:color="auto"/>
              <w:bottom w:val="single" w:sz="4" w:space="0" w:color="auto"/>
              <w:right w:val="single" w:sz="4" w:space="0" w:color="auto"/>
            </w:tcBorders>
            <w:shd w:val="clear" w:color="000000" w:fill="DAE9F8"/>
            <w:vAlign w:val="center"/>
            <w:hideMark/>
          </w:tcPr>
          <w:p w14:paraId="0EDEAC27"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Accessibility; &amp; availability; &amp; Mobility; Physical access; Improve mobility</w:t>
            </w:r>
          </w:p>
        </w:tc>
        <w:tc>
          <w:tcPr>
            <w:tcW w:w="203" w:type="pct"/>
            <w:tcBorders>
              <w:top w:val="nil"/>
              <w:left w:val="nil"/>
              <w:bottom w:val="single" w:sz="4" w:space="0" w:color="auto"/>
              <w:right w:val="single" w:sz="4" w:space="0" w:color="auto"/>
            </w:tcBorders>
            <w:shd w:val="clear" w:color="000000" w:fill="DAE9F8"/>
            <w:noWrap/>
            <w:vAlign w:val="center"/>
            <w:hideMark/>
          </w:tcPr>
          <w:p w14:paraId="0F7F19D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DAE9F8"/>
            <w:noWrap/>
            <w:vAlign w:val="center"/>
            <w:hideMark/>
          </w:tcPr>
          <w:p w14:paraId="1A0F973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E9F8"/>
            <w:noWrap/>
            <w:vAlign w:val="center"/>
            <w:hideMark/>
          </w:tcPr>
          <w:p w14:paraId="6327E1D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DAE9F8"/>
            <w:noWrap/>
            <w:vAlign w:val="center"/>
            <w:hideMark/>
          </w:tcPr>
          <w:p w14:paraId="0C106B1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E9F8"/>
            <w:noWrap/>
            <w:vAlign w:val="center"/>
            <w:hideMark/>
          </w:tcPr>
          <w:p w14:paraId="6CE95E1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000000" w:fill="DAE9F8"/>
            <w:noWrap/>
            <w:vAlign w:val="center"/>
            <w:hideMark/>
          </w:tcPr>
          <w:p w14:paraId="4FCAB70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0" w:type="pct"/>
            <w:tcBorders>
              <w:top w:val="nil"/>
              <w:left w:val="nil"/>
              <w:bottom w:val="single" w:sz="4" w:space="0" w:color="auto"/>
              <w:right w:val="single" w:sz="4" w:space="0" w:color="auto"/>
            </w:tcBorders>
            <w:shd w:val="clear" w:color="000000" w:fill="DAE9F8"/>
            <w:noWrap/>
            <w:vAlign w:val="center"/>
            <w:hideMark/>
          </w:tcPr>
          <w:p w14:paraId="2EDC3CF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521BBD2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D3355F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5756FF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0555606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DAE9F8"/>
            <w:noWrap/>
            <w:vAlign w:val="center"/>
            <w:hideMark/>
          </w:tcPr>
          <w:p w14:paraId="375F103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000000" w:fill="DAE9F8"/>
            <w:noWrap/>
            <w:vAlign w:val="center"/>
            <w:hideMark/>
          </w:tcPr>
          <w:p w14:paraId="54FD5FC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174F1FD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000000" w:fill="DAE9F8"/>
            <w:noWrap/>
            <w:vAlign w:val="center"/>
            <w:hideMark/>
          </w:tcPr>
          <w:p w14:paraId="5184715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88" w:type="pct"/>
            <w:tcBorders>
              <w:top w:val="nil"/>
              <w:left w:val="nil"/>
              <w:bottom w:val="single" w:sz="4" w:space="0" w:color="auto"/>
              <w:right w:val="single" w:sz="4" w:space="0" w:color="auto"/>
            </w:tcBorders>
            <w:shd w:val="clear" w:color="000000" w:fill="DAE9F8"/>
            <w:noWrap/>
            <w:vAlign w:val="center"/>
            <w:hideMark/>
          </w:tcPr>
          <w:p w14:paraId="60FBE27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8" w:type="pct"/>
            <w:tcBorders>
              <w:top w:val="nil"/>
              <w:left w:val="nil"/>
              <w:bottom w:val="single" w:sz="4" w:space="0" w:color="auto"/>
              <w:right w:val="single" w:sz="4" w:space="0" w:color="auto"/>
            </w:tcBorders>
            <w:shd w:val="clear" w:color="auto" w:fill="auto"/>
            <w:noWrap/>
            <w:vAlign w:val="bottom"/>
            <w:hideMark/>
          </w:tcPr>
          <w:p w14:paraId="3A2C490C"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000000" w:fill="DAE9F8"/>
            <w:noWrap/>
            <w:vAlign w:val="center"/>
            <w:hideMark/>
          </w:tcPr>
          <w:p w14:paraId="4FFB2C5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5" w:type="pct"/>
            <w:tcBorders>
              <w:top w:val="nil"/>
              <w:left w:val="nil"/>
              <w:bottom w:val="single" w:sz="4" w:space="0" w:color="auto"/>
              <w:right w:val="single" w:sz="4" w:space="0" w:color="auto"/>
            </w:tcBorders>
            <w:shd w:val="clear" w:color="auto" w:fill="auto"/>
            <w:noWrap/>
            <w:vAlign w:val="bottom"/>
            <w:hideMark/>
          </w:tcPr>
          <w:p w14:paraId="71E03342"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411B534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bottom"/>
            <w:hideMark/>
          </w:tcPr>
          <w:p w14:paraId="50569EA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2610B6DF"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42E772AD" w14:textId="77777777" w:rsidTr="00A729C7">
        <w:trPr>
          <w:trHeight w:val="429"/>
        </w:trPr>
        <w:tc>
          <w:tcPr>
            <w:tcW w:w="606" w:type="pct"/>
            <w:tcBorders>
              <w:top w:val="nil"/>
              <w:left w:val="single" w:sz="4" w:space="0" w:color="auto"/>
              <w:bottom w:val="single" w:sz="4" w:space="0" w:color="auto"/>
              <w:right w:val="single" w:sz="4" w:space="0" w:color="auto"/>
            </w:tcBorders>
            <w:shd w:val="clear" w:color="000000" w:fill="DAE9F8"/>
            <w:vAlign w:val="center"/>
            <w:hideMark/>
          </w:tcPr>
          <w:p w14:paraId="5A29F28B"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Access with disabilities</w:t>
            </w:r>
          </w:p>
        </w:tc>
        <w:tc>
          <w:tcPr>
            <w:tcW w:w="203" w:type="pct"/>
            <w:tcBorders>
              <w:top w:val="nil"/>
              <w:left w:val="nil"/>
              <w:bottom w:val="single" w:sz="4" w:space="0" w:color="auto"/>
              <w:right w:val="single" w:sz="4" w:space="0" w:color="auto"/>
            </w:tcBorders>
            <w:shd w:val="clear" w:color="auto" w:fill="auto"/>
            <w:noWrap/>
            <w:vAlign w:val="center"/>
            <w:hideMark/>
          </w:tcPr>
          <w:p w14:paraId="164A977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6A06E7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3BAAFB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BF3A2D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DAE9F8"/>
            <w:noWrap/>
            <w:vAlign w:val="center"/>
            <w:hideMark/>
          </w:tcPr>
          <w:p w14:paraId="4CBB2E7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43F301D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000000" w:fill="DAE9F8"/>
            <w:noWrap/>
            <w:vAlign w:val="center"/>
            <w:hideMark/>
          </w:tcPr>
          <w:p w14:paraId="5C99A6A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0D9B854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254AD2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583085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EE37EF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889CA2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000000" w:fill="DAE9F8"/>
            <w:noWrap/>
            <w:vAlign w:val="center"/>
            <w:hideMark/>
          </w:tcPr>
          <w:p w14:paraId="091C210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172B65C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76ED510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094A2E1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7DD628C0"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1BE6412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6B5DD16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09382A27"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4AB5CED8"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3BCD028B"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054721D1" w14:textId="77777777" w:rsidTr="00A729C7">
        <w:trPr>
          <w:trHeight w:val="433"/>
        </w:trPr>
        <w:tc>
          <w:tcPr>
            <w:tcW w:w="606" w:type="pct"/>
            <w:tcBorders>
              <w:top w:val="nil"/>
              <w:left w:val="single" w:sz="4" w:space="0" w:color="auto"/>
              <w:bottom w:val="single" w:sz="4" w:space="0" w:color="auto"/>
              <w:right w:val="single" w:sz="4" w:space="0" w:color="auto"/>
            </w:tcBorders>
            <w:shd w:val="clear" w:color="000000" w:fill="DAE9F8"/>
            <w:vAlign w:val="center"/>
            <w:hideMark/>
          </w:tcPr>
          <w:p w14:paraId="44272B11"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Affordability; Socio-economic access</w:t>
            </w:r>
          </w:p>
        </w:tc>
        <w:tc>
          <w:tcPr>
            <w:tcW w:w="203" w:type="pct"/>
            <w:tcBorders>
              <w:top w:val="nil"/>
              <w:left w:val="nil"/>
              <w:bottom w:val="single" w:sz="4" w:space="0" w:color="auto"/>
              <w:right w:val="single" w:sz="4" w:space="0" w:color="auto"/>
            </w:tcBorders>
            <w:shd w:val="clear" w:color="auto" w:fill="auto"/>
            <w:noWrap/>
            <w:vAlign w:val="center"/>
            <w:hideMark/>
          </w:tcPr>
          <w:p w14:paraId="2DAC0B4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C3AB14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32AF2FD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05CAC5B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E9F8"/>
            <w:noWrap/>
            <w:vAlign w:val="center"/>
            <w:hideMark/>
          </w:tcPr>
          <w:p w14:paraId="4F0FADF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000000" w:fill="DAE9F8"/>
            <w:noWrap/>
            <w:vAlign w:val="center"/>
            <w:hideMark/>
          </w:tcPr>
          <w:p w14:paraId="27917DD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0" w:type="pct"/>
            <w:tcBorders>
              <w:top w:val="nil"/>
              <w:left w:val="nil"/>
              <w:bottom w:val="single" w:sz="4" w:space="0" w:color="auto"/>
              <w:right w:val="single" w:sz="4" w:space="0" w:color="auto"/>
            </w:tcBorders>
            <w:shd w:val="clear" w:color="000000" w:fill="DAE9F8"/>
            <w:noWrap/>
            <w:vAlign w:val="center"/>
            <w:hideMark/>
          </w:tcPr>
          <w:p w14:paraId="1395D29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E9F8"/>
            <w:noWrap/>
            <w:vAlign w:val="center"/>
            <w:hideMark/>
          </w:tcPr>
          <w:p w14:paraId="75BD904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0454B2F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0623FA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43039D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1928B17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auto" w:fill="auto"/>
            <w:noWrap/>
            <w:vAlign w:val="center"/>
            <w:hideMark/>
          </w:tcPr>
          <w:p w14:paraId="492D2EC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656918A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0BE3C8F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3CA2513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3A12E43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000000" w:fill="DAE9F8"/>
            <w:noWrap/>
            <w:vAlign w:val="center"/>
            <w:hideMark/>
          </w:tcPr>
          <w:p w14:paraId="01C9795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5" w:type="pct"/>
            <w:tcBorders>
              <w:top w:val="nil"/>
              <w:left w:val="nil"/>
              <w:bottom w:val="single" w:sz="4" w:space="0" w:color="auto"/>
              <w:right w:val="single" w:sz="4" w:space="0" w:color="auto"/>
            </w:tcBorders>
            <w:shd w:val="clear" w:color="auto" w:fill="auto"/>
            <w:noWrap/>
            <w:vAlign w:val="bottom"/>
            <w:hideMark/>
          </w:tcPr>
          <w:p w14:paraId="29406E9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27DEB5D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25F247E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5ABC4F9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1800460B" w14:textId="77777777" w:rsidTr="00D111DC">
        <w:trPr>
          <w:trHeight w:val="290"/>
        </w:trPr>
        <w:tc>
          <w:tcPr>
            <w:tcW w:w="606" w:type="pct"/>
            <w:tcBorders>
              <w:top w:val="nil"/>
              <w:left w:val="single" w:sz="4" w:space="0" w:color="auto"/>
              <w:bottom w:val="single" w:sz="4" w:space="0" w:color="auto"/>
              <w:right w:val="single" w:sz="4" w:space="0" w:color="auto"/>
            </w:tcBorders>
            <w:shd w:val="clear" w:color="000000" w:fill="DAE9F8"/>
            <w:vAlign w:val="center"/>
            <w:hideMark/>
          </w:tcPr>
          <w:p w14:paraId="14E8F1FF"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Equity; Fairness</w:t>
            </w:r>
          </w:p>
        </w:tc>
        <w:tc>
          <w:tcPr>
            <w:tcW w:w="203" w:type="pct"/>
            <w:tcBorders>
              <w:top w:val="nil"/>
              <w:left w:val="nil"/>
              <w:bottom w:val="single" w:sz="4" w:space="0" w:color="auto"/>
              <w:right w:val="single" w:sz="4" w:space="0" w:color="auto"/>
            </w:tcBorders>
            <w:shd w:val="clear" w:color="auto" w:fill="auto"/>
            <w:noWrap/>
            <w:vAlign w:val="center"/>
            <w:hideMark/>
          </w:tcPr>
          <w:p w14:paraId="4798776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F29E4B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4537233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6F4E77F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305D95D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114A928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74E51A9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439035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A430D2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95B9EF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AEEBD8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73EAB72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auto" w:fill="auto"/>
            <w:noWrap/>
            <w:vAlign w:val="center"/>
            <w:hideMark/>
          </w:tcPr>
          <w:p w14:paraId="0E81CA8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2442A7A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2C25B37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3D63A0B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000000" w:fill="DAE9F8"/>
            <w:noWrap/>
            <w:vAlign w:val="center"/>
            <w:hideMark/>
          </w:tcPr>
          <w:p w14:paraId="321A8D2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10" w:type="pct"/>
            <w:tcBorders>
              <w:top w:val="nil"/>
              <w:left w:val="nil"/>
              <w:bottom w:val="single" w:sz="4" w:space="0" w:color="auto"/>
              <w:right w:val="single" w:sz="4" w:space="0" w:color="auto"/>
            </w:tcBorders>
            <w:shd w:val="clear" w:color="auto" w:fill="auto"/>
            <w:noWrap/>
            <w:vAlign w:val="center"/>
            <w:hideMark/>
          </w:tcPr>
          <w:p w14:paraId="3FA64C9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69D4150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0837191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bottom"/>
            <w:hideMark/>
          </w:tcPr>
          <w:p w14:paraId="44CA4AA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1F9E53C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18D45094" w14:textId="77777777" w:rsidTr="00D111DC">
        <w:trPr>
          <w:trHeight w:val="520"/>
        </w:trPr>
        <w:tc>
          <w:tcPr>
            <w:tcW w:w="606" w:type="pct"/>
            <w:tcBorders>
              <w:top w:val="nil"/>
              <w:left w:val="single" w:sz="4" w:space="0" w:color="auto"/>
              <w:bottom w:val="single" w:sz="4" w:space="0" w:color="auto"/>
              <w:right w:val="single" w:sz="4" w:space="0" w:color="auto"/>
            </w:tcBorders>
            <w:shd w:val="clear" w:color="000000" w:fill="DAE9F8"/>
            <w:vAlign w:val="center"/>
            <w:hideMark/>
          </w:tcPr>
          <w:p w14:paraId="5D8BE48B"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 xml:space="preserve">Quality of life and liveability; Attractive public spaces; Liveable </w:t>
            </w:r>
            <w:r w:rsidRPr="009A4EA5">
              <w:rPr>
                <w:color w:val="000000"/>
                <w:sz w:val="16"/>
                <w:szCs w:val="16"/>
                <w:lang w:eastAsia="es-ES"/>
              </w:rPr>
              <w:lastRenderedPageBreak/>
              <w:t>public space and amenities</w:t>
            </w:r>
          </w:p>
        </w:tc>
        <w:tc>
          <w:tcPr>
            <w:tcW w:w="203" w:type="pct"/>
            <w:tcBorders>
              <w:top w:val="nil"/>
              <w:left w:val="nil"/>
              <w:bottom w:val="single" w:sz="4" w:space="0" w:color="auto"/>
              <w:right w:val="single" w:sz="4" w:space="0" w:color="auto"/>
            </w:tcBorders>
            <w:shd w:val="clear" w:color="auto" w:fill="auto"/>
            <w:noWrap/>
            <w:vAlign w:val="center"/>
            <w:hideMark/>
          </w:tcPr>
          <w:p w14:paraId="5ACB8C7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lastRenderedPageBreak/>
              <w:t> </w:t>
            </w:r>
          </w:p>
        </w:tc>
        <w:tc>
          <w:tcPr>
            <w:tcW w:w="203" w:type="pct"/>
            <w:tcBorders>
              <w:top w:val="nil"/>
              <w:left w:val="nil"/>
              <w:bottom w:val="single" w:sz="4" w:space="0" w:color="auto"/>
              <w:right w:val="single" w:sz="4" w:space="0" w:color="auto"/>
            </w:tcBorders>
            <w:shd w:val="clear" w:color="auto" w:fill="auto"/>
            <w:noWrap/>
            <w:vAlign w:val="center"/>
            <w:hideMark/>
          </w:tcPr>
          <w:p w14:paraId="4DD7FD7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22337A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C1A42A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000000" w:fill="DAE9F8"/>
            <w:noWrap/>
            <w:vAlign w:val="center"/>
            <w:hideMark/>
          </w:tcPr>
          <w:p w14:paraId="267BE3C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79DEEED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000000" w:fill="DAE9F8"/>
            <w:noWrap/>
            <w:vAlign w:val="center"/>
            <w:hideMark/>
          </w:tcPr>
          <w:p w14:paraId="787E616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236AE95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787328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8AA698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C9ECC3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330C222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000000" w:fill="DAE9F8"/>
            <w:noWrap/>
            <w:vAlign w:val="center"/>
            <w:hideMark/>
          </w:tcPr>
          <w:p w14:paraId="7388294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49A3AE0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27592A4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22B79B7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78D319FC"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5598D3E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630537FA"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5A415879"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17EBEDF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511474DE"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66687328" w14:textId="77777777" w:rsidTr="00D111DC">
        <w:trPr>
          <w:trHeight w:val="290"/>
        </w:trPr>
        <w:tc>
          <w:tcPr>
            <w:tcW w:w="606" w:type="pct"/>
            <w:tcBorders>
              <w:top w:val="nil"/>
              <w:left w:val="single" w:sz="4" w:space="0" w:color="auto"/>
              <w:bottom w:val="single" w:sz="4" w:space="0" w:color="auto"/>
              <w:right w:val="single" w:sz="4" w:space="0" w:color="auto"/>
            </w:tcBorders>
            <w:shd w:val="clear" w:color="000000" w:fill="DAE9F8"/>
            <w:vAlign w:val="center"/>
            <w:hideMark/>
          </w:tcPr>
          <w:p w14:paraId="2423EEC5"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Community cohesion</w:t>
            </w:r>
          </w:p>
        </w:tc>
        <w:tc>
          <w:tcPr>
            <w:tcW w:w="203" w:type="pct"/>
            <w:tcBorders>
              <w:top w:val="nil"/>
              <w:left w:val="nil"/>
              <w:bottom w:val="single" w:sz="4" w:space="0" w:color="auto"/>
              <w:right w:val="single" w:sz="4" w:space="0" w:color="auto"/>
            </w:tcBorders>
            <w:shd w:val="clear" w:color="auto" w:fill="auto"/>
            <w:noWrap/>
            <w:vAlign w:val="center"/>
            <w:hideMark/>
          </w:tcPr>
          <w:p w14:paraId="118BCD7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B56162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09D0B1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3C0712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8C133A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46E6F1F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24DCA2D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3F5ECD7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2FE430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F5D23E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336302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20E2119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auto" w:fill="auto"/>
            <w:noWrap/>
            <w:vAlign w:val="center"/>
            <w:hideMark/>
          </w:tcPr>
          <w:p w14:paraId="1BC9F4B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2DBE246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7286D93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3A48A28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0F8FAC59"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15D3989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7192A768"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222D41F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3D48338A"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15EDFF5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0FE77469" w14:textId="77777777" w:rsidTr="00D111DC">
        <w:trPr>
          <w:trHeight w:val="290"/>
        </w:trPr>
        <w:tc>
          <w:tcPr>
            <w:tcW w:w="606" w:type="pct"/>
            <w:tcBorders>
              <w:top w:val="nil"/>
              <w:left w:val="single" w:sz="4" w:space="0" w:color="auto"/>
              <w:bottom w:val="single" w:sz="4" w:space="0" w:color="auto"/>
              <w:right w:val="single" w:sz="4" w:space="0" w:color="auto"/>
            </w:tcBorders>
            <w:shd w:val="clear" w:color="000000" w:fill="DAE9F8"/>
            <w:vAlign w:val="center"/>
            <w:hideMark/>
          </w:tcPr>
          <w:p w14:paraId="5016B03A"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Cultural preservation</w:t>
            </w:r>
          </w:p>
        </w:tc>
        <w:tc>
          <w:tcPr>
            <w:tcW w:w="203" w:type="pct"/>
            <w:tcBorders>
              <w:top w:val="nil"/>
              <w:left w:val="nil"/>
              <w:bottom w:val="single" w:sz="4" w:space="0" w:color="auto"/>
              <w:right w:val="single" w:sz="4" w:space="0" w:color="auto"/>
            </w:tcBorders>
            <w:shd w:val="clear" w:color="auto" w:fill="auto"/>
            <w:noWrap/>
            <w:vAlign w:val="center"/>
            <w:hideMark/>
          </w:tcPr>
          <w:p w14:paraId="1173941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A04E2D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48800E1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3A8EE4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32CA11E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0D1DAB5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46436CC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3B0899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69A953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35BE78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7CEF45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0981CCC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auto" w:fill="auto"/>
            <w:noWrap/>
            <w:vAlign w:val="center"/>
            <w:hideMark/>
          </w:tcPr>
          <w:p w14:paraId="539A008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561410A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5ACF413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5C069CF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04BFDD50"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4F9A010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622667DF"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766BB94A"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1DB03F9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0D83AF4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6F44C4ED" w14:textId="77777777" w:rsidTr="00A729C7">
        <w:trPr>
          <w:trHeight w:val="835"/>
        </w:trPr>
        <w:tc>
          <w:tcPr>
            <w:tcW w:w="606" w:type="pct"/>
            <w:tcBorders>
              <w:top w:val="nil"/>
              <w:left w:val="single" w:sz="4" w:space="0" w:color="auto"/>
              <w:bottom w:val="single" w:sz="4" w:space="0" w:color="auto"/>
              <w:right w:val="single" w:sz="4" w:space="0" w:color="auto"/>
            </w:tcBorders>
            <w:shd w:val="clear" w:color="000000" w:fill="DAE9F8"/>
            <w:vAlign w:val="center"/>
            <w:hideMark/>
          </w:tcPr>
          <w:p w14:paraId="3D69962B"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(Customer) Service Quality (Level of Service); PT quality and reliability</w:t>
            </w:r>
          </w:p>
        </w:tc>
        <w:tc>
          <w:tcPr>
            <w:tcW w:w="203" w:type="pct"/>
            <w:tcBorders>
              <w:top w:val="nil"/>
              <w:left w:val="nil"/>
              <w:bottom w:val="single" w:sz="4" w:space="0" w:color="auto"/>
              <w:right w:val="single" w:sz="4" w:space="0" w:color="auto"/>
            </w:tcBorders>
            <w:shd w:val="clear" w:color="000000" w:fill="DAE9F8"/>
            <w:noWrap/>
            <w:vAlign w:val="center"/>
            <w:hideMark/>
          </w:tcPr>
          <w:p w14:paraId="16B2C80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63B0E7F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4C0FC9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AA7670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329460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000000" w:fill="DAE9F8"/>
            <w:noWrap/>
            <w:vAlign w:val="center"/>
            <w:hideMark/>
          </w:tcPr>
          <w:p w14:paraId="3170280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0" w:type="pct"/>
            <w:tcBorders>
              <w:top w:val="nil"/>
              <w:left w:val="nil"/>
              <w:bottom w:val="single" w:sz="4" w:space="0" w:color="auto"/>
              <w:right w:val="single" w:sz="4" w:space="0" w:color="auto"/>
            </w:tcBorders>
            <w:shd w:val="clear" w:color="auto" w:fill="auto"/>
            <w:noWrap/>
            <w:vAlign w:val="center"/>
            <w:hideMark/>
          </w:tcPr>
          <w:p w14:paraId="36BC51D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19C488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397F97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84A964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073531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E9F8"/>
            <w:noWrap/>
            <w:vAlign w:val="center"/>
            <w:hideMark/>
          </w:tcPr>
          <w:p w14:paraId="13488A6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auto" w:fill="auto"/>
            <w:noWrap/>
            <w:vAlign w:val="center"/>
            <w:hideMark/>
          </w:tcPr>
          <w:p w14:paraId="60F1750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2A23FD9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41C548F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488D699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7418F70F"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000000" w:fill="DAE9F8"/>
            <w:noWrap/>
            <w:vAlign w:val="center"/>
            <w:hideMark/>
          </w:tcPr>
          <w:p w14:paraId="7CCAEA8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5" w:type="pct"/>
            <w:tcBorders>
              <w:top w:val="nil"/>
              <w:left w:val="nil"/>
              <w:bottom w:val="single" w:sz="4" w:space="0" w:color="auto"/>
              <w:right w:val="single" w:sz="4" w:space="0" w:color="auto"/>
            </w:tcBorders>
            <w:shd w:val="clear" w:color="auto" w:fill="auto"/>
            <w:noWrap/>
            <w:vAlign w:val="bottom"/>
            <w:hideMark/>
          </w:tcPr>
          <w:p w14:paraId="0F94A62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54B6B69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00871D2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5A75AB98"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6C93EA9D" w14:textId="77777777" w:rsidTr="00A729C7">
        <w:trPr>
          <w:trHeight w:val="409"/>
        </w:trPr>
        <w:tc>
          <w:tcPr>
            <w:tcW w:w="606" w:type="pct"/>
            <w:tcBorders>
              <w:top w:val="nil"/>
              <w:left w:val="single" w:sz="4" w:space="0" w:color="auto"/>
              <w:bottom w:val="single" w:sz="8" w:space="0" w:color="auto"/>
              <w:right w:val="single" w:sz="4" w:space="0" w:color="auto"/>
            </w:tcBorders>
            <w:shd w:val="clear" w:color="000000" w:fill="DAE9F8"/>
            <w:vAlign w:val="center"/>
            <w:hideMark/>
          </w:tcPr>
          <w:p w14:paraId="3C43B42E"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Health impacts</w:t>
            </w:r>
          </w:p>
        </w:tc>
        <w:tc>
          <w:tcPr>
            <w:tcW w:w="203" w:type="pct"/>
            <w:tcBorders>
              <w:top w:val="nil"/>
              <w:left w:val="nil"/>
              <w:bottom w:val="single" w:sz="8" w:space="0" w:color="auto"/>
              <w:right w:val="single" w:sz="4" w:space="0" w:color="auto"/>
            </w:tcBorders>
            <w:shd w:val="clear" w:color="auto" w:fill="auto"/>
            <w:noWrap/>
            <w:vAlign w:val="center"/>
            <w:hideMark/>
          </w:tcPr>
          <w:p w14:paraId="0C641AC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77635A5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398DC1F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000000" w:fill="DAE9F8"/>
            <w:noWrap/>
            <w:vAlign w:val="center"/>
            <w:hideMark/>
          </w:tcPr>
          <w:p w14:paraId="0E567B5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8" w:space="0" w:color="auto"/>
              <w:right w:val="single" w:sz="4" w:space="0" w:color="auto"/>
            </w:tcBorders>
            <w:shd w:val="clear" w:color="auto" w:fill="auto"/>
            <w:noWrap/>
            <w:vAlign w:val="center"/>
            <w:hideMark/>
          </w:tcPr>
          <w:p w14:paraId="26C6A04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8" w:space="0" w:color="auto"/>
              <w:right w:val="single" w:sz="4" w:space="0" w:color="auto"/>
            </w:tcBorders>
            <w:shd w:val="clear" w:color="000000" w:fill="DAE9F8"/>
            <w:noWrap/>
            <w:vAlign w:val="center"/>
            <w:hideMark/>
          </w:tcPr>
          <w:p w14:paraId="2D00B92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0" w:type="pct"/>
            <w:tcBorders>
              <w:top w:val="nil"/>
              <w:left w:val="nil"/>
              <w:bottom w:val="single" w:sz="8" w:space="0" w:color="auto"/>
              <w:right w:val="single" w:sz="4" w:space="0" w:color="auto"/>
            </w:tcBorders>
            <w:shd w:val="clear" w:color="auto" w:fill="auto"/>
            <w:noWrap/>
            <w:vAlign w:val="center"/>
            <w:hideMark/>
          </w:tcPr>
          <w:p w14:paraId="0FCC382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28931D5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2ED95F0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641F9A3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2B6CD1F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08BF558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8" w:space="0" w:color="auto"/>
              <w:right w:val="single" w:sz="4" w:space="0" w:color="auto"/>
            </w:tcBorders>
            <w:shd w:val="clear" w:color="auto" w:fill="auto"/>
            <w:noWrap/>
            <w:vAlign w:val="center"/>
            <w:hideMark/>
          </w:tcPr>
          <w:p w14:paraId="2F411EB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8" w:space="0" w:color="auto"/>
              <w:right w:val="single" w:sz="4" w:space="0" w:color="auto"/>
            </w:tcBorders>
            <w:shd w:val="clear" w:color="auto" w:fill="auto"/>
            <w:noWrap/>
            <w:vAlign w:val="center"/>
            <w:hideMark/>
          </w:tcPr>
          <w:p w14:paraId="70444A4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8" w:space="0" w:color="auto"/>
              <w:right w:val="single" w:sz="4" w:space="0" w:color="auto"/>
            </w:tcBorders>
            <w:shd w:val="clear" w:color="auto" w:fill="auto"/>
            <w:noWrap/>
            <w:vAlign w:val="center"/>
            <w:hideMark/>
          </w:tcPr>
          <w:p w14:paraId="06E2E3B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000000" w:fill="DAE9F8"/>
            <w:noWrap/>
            <w:vAlign w:val="center"/>
            <w:hideMark/>
          </w:tcPr>
          <w:p w14:paraId="494757A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8" w:type="pct"/>
            <w:tcBorders>
              <w:top w:val="nil"/>
              <w:left w:val="nil"/>
              <w:bottom w:val="single" w:sz="8" w:space="0" w:color="auto"/>
              <w:right w:val="single" w:sz="4" w:space="0" w:color="auto"/>
            </w:tcBorders>
            <w:shd w:val="clear" w:color="auto" w:fill="auto"/>
            <w:noWrap/>
            <w:vAlign w:val="bottom"/>
            <w:hideMark/>
          </w:tcPr>
          <w:p w14:paraId="50FB3A0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8" w:space="0" w:color="auto"/>
              <w:right w:val="single" w:sz="4" w:space="0" w:color="auto"/>
            </w:tcBorders>
            <w:shd w:val="clear" w:color="auto" w:fill="auto"/>
            <w:noWrap/>
            <w:vAlign w:val="center"/>
            <w:hideMark/>
          </w:tcPr>
          <w:p w14:paraId="50EED30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8" w:space="0" w:color="auto"/>
              <w:right w:val="single" w:sz="4" w:space="0" w:color="auto"/>
            </w:tcBorders>
            <w:shd w:val="clear" w:color="auto" w:fill="auto"/>
            <w:noWrap/>
            <w:vAlign w:val="bottom"/>
            <w:hideMark/>
          </w:tcPr>
          <w:p w14:paraId="75225FE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bottom"/>
            <w:hideMark/>
          </w:tcPr>
          <w:p w14:paraId="42C5E8C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000000" w:fill="DAE9F8"/>
            <w:noWrap/>
            <w:vAlign w:val="center"/>
            <w:hideMark/>
          </w:tcPr>
          <w:p w14:paraId="3D7FD54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88" w:type="pct"/>
            <w:tcBorders>
              <w:top w:val="nil"/>
              <w:left w:val="nil"/>
              <w:bottom w:val="single" w:sz="8" w:space="0" w:color="auto"/>
              <w:right w:val="single" w:sz="8" w:space="0" w:color="auto"/>
            </w:tcBorders>
            <w:shd w:val="clear" w:color="auto" w:fill="auto"/>
            <w:noWrap/>
            <w:vAlign w:val="bottom"/>
            <w:hideMark/>
          </w:tcPr>
          <w:p w14:paraId="6C25434E"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6B6C905F" w14:textId="77777777" w:rsidTr="00191B2F">
        <w:trPr>
          <w:trHeight w:val="300"/>
        </w:trPr>
        <w:tc>
          <w:tcPr>
            <w:tcW w:w="5000" w:type="pct"/>
            <w:gridSpan w:val="23"/>
            <w:tcBorders>
              <w:top w:val="single" w:sz="8" w:space="0" w:color="auto"/>
              <w:left w:val="single" w:sz="8" w:space="0" w:color="auto"/>
              <w:bottom w:val="nil"/>
              <w:right w:val="nil"/>
            </w:tcBorders>
            <w:shd w:val="clear" w:color="000000" w:fill="B5E6A2"/>
            <w:vAlign w:val="center"/>
            <w:hideMark/>
          </w:tcPr>
          <w:p w14:paraId="019C7CCE" w14:textId="77777777" w:rsidR="001B2B98" w:rsidRPr="009A4EA5" w:rsidRDefault="001B2B98" w:rsidP="00191B2F">
            <w:pPr>
              <w:spacing w:line="240" w:lineRule="auto"/>
              <w:jc w:val="center"/>
              <w:rPr>
                <w:b/>
                <w:bCs/>
                <w:color w:val="000000"/>
                <w:sz w:val="20"/>
                <w:szCs w:val="20"/>
                <w:lang w:eastAsia="es-ES"/>
              </w:rPr>
            </w:pPr>
            <w:r w:rsidRPr="009A4EA5">
              <w:rPr>
                <w:b/>
                <w:bCs/>
                <w:color w:val="000000"/>
                <w:sz w:val="20"/>
                <w:szCs w:val="20"/>
                <w:lang w:eastAsia="es-ES"/>
              </w:rPr>
              <w:t>Environmental dimension</w:t>
            </w:r>
          </w:p>
        </w:tc>
      </w:tr>
      <w:tr w:rsidR="001B2B98" w:rsidRPr="009A4EA5" w14:paraId="29C36556" w14:textId="77777777" w:rsidTr="00D111DC">
        <w:trPr>
          <w:trHeight w:val="520"/>
        </w:trPr>
        <w:tc>
          <w:tcPr>
            <w:tcW w:w="606" w:type="pct"/>
            <w:tcBorders>
              <w:top w:val="single" w:sz="8" w:space="0" w:color="auto"/>
              <w:left w:val="single" w:sz="4" w:space="0" w:color="auto"/>
              <w:bottom w:val="single" w:sz="4" w:space="0" w:color="auto"/>
              <w:right w:val="single" w:sz="4" w:space="0" w:color="auto"/>
            </w:tcBorders>
            <w:shd w:val="clear" w:color="000000" w:fill="DAF2D0"/>
            <w:vAlign w:val="center"/>
            <w:hideMark/>
          </w:tcPr>
          <w:p w14:paraId="3EEB8CCA"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Climate change and GHG; GHG emissions; Climate change prevention and mitigation</w:t>
            </w:r>
          </w:p>
        </w:tc>
        <w:tc>
          <w:tcPr>
            <w:tcW w:w="203" w:type="pct"/>
            <w:tcBorders>
              <w:top w:val="single" w:sz="8" w:space="0" w:color="auto"/>
              <w:left w:val="nil"/>
              <w:bottom w:val="single" w:sz="4" w:space="0" w:color="auto"/>
              <w:right w:val="single" w:sz="4" w:space="0" w:color="auto"/>
            </w:tcBorders>
            <w:shd w:val="clear" w:color="auto" w:fill="auto"/>
            <w:noWrap/>
            <w:vAlign w:val="center"/>
            <w:hideMark/>
          </w:tcPr>
          <w:p w14:paraId="6D85058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single" w:sz="8" w:space="0" w:color="auto"/>
              <w:left w:val="nil"/>
              <w:bottom w:val="single" w:sz="4" w:space="0" w:color="auto"/>
              <w:right w:val="single" w:sz="4" w:space="0" w:color="auto"/>
            </w:tcBorders>
            <w:shd w:val="clear" w:color="auto" w:fill="auto"/>
            <w:noWrap/>
            <w:vAlign w:val="center"/>
            <w:hideMark/>
          </w:tcPr>
          <w:p w14:paraId="23333989"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single" w:sz="8" w:space="0" w:color="auto"/>
              <w:left w:val="nil"/>
              <w:bottom w:val="single" w:sz="4" w:space="0" w:color="auto"/>
              <w:right w:val="single" w:sz="4" w:space="0" w:color="auto"/>
            </w:tcBorders>
            <w:shd w:val="clear" w:color="auto" w:fill="auto"/>
            <w:noWrap/>
            <w:vAlign w:val="center"/>
            <w:hideMark/>
          </w:tcPr>
          <w:p w14:paraId="7F32F689"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single" w:sz="8" w:space="0" w:color="auto"/>
              <w:left w:val="nil"/>
              <w:bottom w:val="single" w:sz="4" w:space="0" w:color="auto"/>
              <w:right w:val="single" w:sz="4" w:space="0" w:color="auto"/>
            </w:tcBorders>
            <w:shd w:val="clear" w:color="000000" w:fill="DAF2D0"/>
            <w:noWrap/>
            <w:vAlign w:val="center"/>
            <w:hideMark/>
          </w:tcPr>
          <w:p w14:paraId="6128E7B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single" w:sz="8" w:space="0" w:color="auto"/>
              <w:left w:val="nil"/>
              <w:bottom w:val="single" w:sz="4" w:space="0" w:color="auto"/>
              <w:right w:val="single" w:sz="4" w:space="0" w:color="auto"/>
            </w:tcBorders>
            <w:shd w:val="clear" w:color="000000" w:fill="DAF2D0"/>
            <w:noWrap/>
            <w:vAlign w:val="center"/>
            <w:hideMark/>
          </w:tcPr>
          <w:p w14:paraId="794D704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single" w:sz="8" w:space="0" w:color="auto"/>
              <w:left w:val="nil"/>
              <w:bottom w:val="single" w:sz="4" w:space="0" w:color="auto"/>
              <w:right w:val="single" w:sz="4" w:space="0" w:color="auto"/>
            </w:tcBorders>
            <w:shd w:val="clear" w:color="auto" w:fill="auto"/>
            <w:noWrap/>
            <w:vAlign w:val="center"/>
            <w:hideMark/>
          </w:tcPr>
          <w:p w14:paraId="2ADA359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single" w:sz="8" w:space="0" w:color="auto"/>
              <w:left w:val="nil"/>
              <w:bottom w:val="single" w:sz="4" w:space="0" w:color="auto"/>
              <w:right w:val="single" w:sz="4" w:space="0" w:color="auto"/>
            </w:tcBorders>
            <w:shd w:val="clear" w:color="000000" w:fill="DAF2D0"/>
            <w:noWrap/>
            <w:vAlign w:val="center"/>
            <w:hideMark/>
          </w:tcPr>
          <w:p w14:paraId="10474A1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single" w:sz="8" w:space="0" w:color="auto"/>
              <w:left w:val="nil"/>
              <w:bottom w:val="single" w:sz="4" w:space="0" w:color="auto"/>
              <w:right w:val="single" w:sz="4" w:space="0" w:color="auto"/>
            </w:tcBorders>
            <w:shd w:val="clear" w:color="auto" w:fill="auto"/>
            <w:noWrap/>
            <w:vAlign w:val="center"/>
            <w:hideMark/>
          </w:tcPr>
          <w:p w14:paraId="19F0F79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single" w:sz="8" w:space="0" w:color="auto"/>
              <w:left w:val="nil"/>
              <w:bottom w:val="single" w:sz="4" w:space="0" w:color="auto"/>
              <w:right w:val="single" w:sz="4" w:space="0" w:color="auto"/>
            </w:tcBorders>
            <w:shd w:val="clear" w:color="auto" w:fill="auto"/>
            <w:noWrap/>
            <w:vAlign w:val="center"/>
            <w:hideMark/>
          </w:tcPr>
          <w:p w14:paraId="4C583DE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single" w:sz="8" w:space="0" w:color="auto"/>
              <w:left w:val="nil"/>
              <w:bottom w:val="single" w:sz="4" w:space="0" w:color="auto"/>
              <w:right w:val="single" w:sz="4" w:space="0" w:color="auto"/>
            </w:tcBorders>
            <w:shd w:val="clear" w:color="auto" w:fill="auto"/>
            <w:noWrap/>
            <w:vAlign w:val="center"/>
            <w:hideMark/>
          </w:tcPr>
          <w:p w14:paraId="704B375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single" w:sz="8" w:space="0" w:color="auto"/>
              <w:left w:val="nil"/>
              <w:bottom w:val="single" w:sz="4" w:space="0" w:color="auto"/>
              <w:right w:val="single" w:sz="4" w:space="0" w:color="auto"/>
            </w:tcBorders>
            <w:shd w:val="clear" w:color="000000" w:fill="DAF2D0"/>
            <w:noWrap/>
            <w:vAlign w:val="center"/>
            <w:hideMark/>
          </w:tcPr>
          <w:p w14:paraId="10969A1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single" w:sz="8" w:space="0" w:color="auto"/>
              <w:left w:val="nil"/>
              <w:bottom w:val="single" w:sz="4" w:space="0" w:color="auto"/>
              <w:right w:val="single" w:sz="4" w:space="0" w:color="auto"/>
            </w:tcBorders>
            <w:shd w:val="clear" w:color="000000" w:fill="DAF2D0"/>
            <w:noWrap/>
            <w:vAlign w:val="center"/>
            <w:hideMark/>
          </w:tcPr>
          <w:p w14:paraId="7CA3031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single" w:sz="8" w:space="0" w:color="auto"/>
              <w:left w:val="nil"/>
              <w:bottom w:val="single" w:sz="4" w:space="0" w:color="auto"/>
              <w:right w:val="single" w:sz="4" w:space="0" w:color="auto"/>
            </w:tcBorders>
            <w:shd w:val="clear" w:color="000000" w:fill="DAF2D0"/>
            <w:noWrap/>
            <w:vAlign w:val="center"/>
            <w:hideMark/>
          </w:tcPr>
          <w:p w14:paraId="14BB01F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single" w:sz="8" w:space="0" w:color="auto"/>
              <w:left w:val="nil"/>
              <w:bottom w:val="single" w:sz="4" w:space="0" w:color="auto"/>
              <w:right w:val="single" w:sz="4" w:space="0" w:color="auto"/>
            </w:tcBorders>
            <w:shd w:val="clear" w:color="auto" w:fill="auto"/>
            <w:noWrap/>
            <w:vAlign w:val="center"/>
            <w:hideMark/>
          </w:tcPr>
          <w:p w14:paraId="654754F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single" w:sz="8" w:space="0" w:color="auto"/>
              <w:left w:val="nil"/>
              <w:bottom w:val="single" w:sz="4" w:space="0" w:color="auto"/>
              <w:right w:val="single" w:sz="4" w:space="0" w:color="auto"/>
            </w:tcBorders>
            <w:shd w:val="clear" w:color="auto" w:fill="auto"/>
            <w:noWrap/>
            <w:vAlign w:val="center"/>
            <w:hideMark/>
          </w:tcPr>
          <w:p w14:paraId="7C92972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single" w:sz="8" w:space="0" w:color="auto"/>
              <w:left w:val="nil"/>
              <w:bottom w:val="single" w:sz="4" w:space="0" w:color="auto"/>
              <w:right w:val="single" w:sz="4" w:space="0" w:color="auto"/>
            </w:tcBorders>
            <w:shd w:val="clear" w:color="auto" w:fill="auto"/>
            <w:noWrap/>
            <w:vAlign w:val="center"/>
            <w:hideMark/>
          </w:tcPr>
          <w:p w14:paraId="1EBEED0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single" w:sz="8" w:space="0" w:color="auto"/>
              <w:left w:val="nil"/>
              <w:bottom w:val="single" w:sz="4" w:space="0" w:color="auto"/>
              <w:right w:val="single" w:sz="4" w:space="0" w:color="auto"/>
            </w:tcBorders>
            <w:shd w:val="clear" w:color="auto" w:fill="auto"/>
            <w:noWrap/>
            <w:vAlign w:val="bottom"/>
            <w:hideMark/>
          </w:tcPr>
          <w:p w14:paraId="1D97B7E7"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single" w:sz="8" w:space="0" w:color="auto"/>
              <w:left w:val="nil"/>
              <w:bottom w:val="single" w:sz="4" w:space="0" w:color="auto"/>
              <w:right w:val="single" w:sz="4" w:space="0" w:color="auto"/>
            </w:tcBorders>
            <w:shd w:val="clear" w:color="000000" w:fill="DAF2D0"/>
            <w:noWrap/>
            <w:vAlign w:val="center"/>
            <w:hideMark/>
          </w:tcPr>
          <w:p w14:paraId="6076DFA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5" w:type="pct"/>
            <w:tcBorders>
              <w:top w:val="single" w:sz="8" w:space="0" w:color="auto"/>
              <w:left w:val="nil"/>
              <w:bottom w:val="single" w:sz="4" w:space="0" w:color="auto"/>
              <w:right w:val="single" w:sz="4" w:space="0" w:color="auto"/>
            </w:tcBorders>
            <w:shd w:val="clear" w:color="auto" w:fill="auto"/>
            <w:noWrap/>
            <w:vAlign w:val="bottom"/>
            <w:hideMark/>
          </w:tcPr>
          <w:p w14:paraId="4B6ECF20"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single" w:sz="4" w:space="0" w:color="auto"/>
              <w:left w:val="nil"/>
              <w:bottom w:val="single" w:sz="4" w:space="0" w:color="auto"/>
              <w:right w:val="single" w:sz="4" w:space="0" w:color="auto"/>
            </w:tcBorders>
            <w:shd w:val="clear" w:color="000000" w:fill="DAF2D0"/>
            <w:noWrap/>
            <w:vAlign w:val="center"/>
            <w:hideMark/>
          </w:tcPr>
          <w:p w14:paraId="750CE71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single" w:sz="8" w:space="0" w:color="auto"/>
              <w:left w:val="nil"/>
              <w:bottom w:val="single" w:sz="4" w:space="0" w:color="auto"/>
              <w:right w:val="single" w:sz="4" w:space="0" w:color="auto"/>
            </w:tcBorders>
            <w:shd w:val="clear" w:color="auto" w:fill="auto"/>
            <w:noWrap/>
            <w:vAlign w:val="bottom"/>
            <w:hideMark/>
          </w:tcPr>
          <w:p w14:paraId="0B09A5B0"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single" w:sz="8" w:space="0" w:color="auto"/>
              <w:left w:val="nil"/>
              <w:bottom w:val="single" w:sz="4" w:space="0" w:color="auto"/>
              <w:right w:val="single" w:sz="8" w:space="0" w:color="auto"/>
            </w:tcBorders>
            <w:shd w:val="clear" w:color="auto" w:fill="auto"/>
            <w:noWrap/>
            <w:vAlign w:val="bottom"/>
            <w:hideMark/>
          </w:tcPr>
          <w:p w14:paraId="0C26061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5D6C9CF4" w14:textId="77777777" w:rsidTr="00A729C7">
        <w:trPr>
          <w:trHeight w:val="856"/>
        </w:trPr>
        <w:tc>
          <w:tcPr>
            <w:tcW w:w="606" w:type="pct"/>
            <w:tcBorders>
              <w:top w:val="nil"/>
              <w:left w:val="single" w:sz="4" w:space="0" w:color="auto"/>
              <w:bottom w:val="single" w:sz="4" w:space="0" w:color="auto"/>
              <w:right w:val="single" w:sz="4" w:space="0" w:color="auto"/>
            </w:tcBorders>
            <w:shd w:val="clear" w:color="000000" w:fill="DAF2D0"/>
            <w:vAlign w:val="center"/>
            <w:hideMark/>
          </w:tcPr>
          <w:p w14:paraId="48135FB2"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Pollution; Transport air pollutant emissions; Air quality; Pollution prevention</w:t>
            </w:r>
          </w:p>
        </w:tc>
        <w:tc>
          <w:tcPr>
            <w:tcW w:w="203" w:type="pct"/>
            <w:tcBorders>
              <w:top w:val="nil"/>
              <w:left w:val="nil"/>
              <w:bottom w:val="single" w:sz="4" w:space="0" w:color="auto"/>
              <w:right w:val="single" w:sz="4" w:space="0" w:color="auto"/>
            </w:tcBorders>
            <w:shd w:val="clear" w:color="000000" w:fill="DAF2D0"/>
            <w:noWrap/>
            <w:vAlign w:val="center"/>
            <w:hideMark/>
          </w:tcPr>
          <w:p w14:paraId="2A4B062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DAF2D0"/>
            <w:noWrap/>
            <w:vAlign w:val="center"/>
            <w:hideMark/>
          </w:tcPr>
          <w:p w14:paraId="1B37115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F2D0"/>
            <w:noWrap/>
            <w:vAlign w:val="center"/>
            <w:hideMark/>
          </w:tcPr>
          <w:p w14:paraId="2AA1A31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DAF2D0"/>
            <w:noWrap/>
            <w:vAlign w:val="center"/>
            <w:hideMark/>
          </w:tcPr>
          <w:p w14:paraId="15FA1A0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F2D0"/>
            <w:noWrap/>
            <w:vAlign w:val="center"/>
            <w:hideMark/>
          </w:tcPr>
          <w:p w14:paraId="36C41C6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1C82BAA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000000" w:fill="DAF2D0"/>
            <w:noWrap/>
            <w:vAlign w:val="center"/>
            <w:hideMark/>
          </w:tcPr>
          <w:p w14:paraId="5E3EFEE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31C55E7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F2D0"/>
            <w:noWrap/>
            <w:vAlign w:val="center"/>
            <w:hideMark/>
          </w:tcPr>
          <w:p w14:paraId="7BC531A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570E9F4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F2D0"/>
            <w:noWrap/>
            <w:vAlign w:val="center"/>
            <w:hideMark/>
          </w:tcPr>
          <w:p w14:paraId="6700FE8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DAF2D0"/>
            <w:noWrap/>
            <w:vAlign w:val="center"/>
            <w:hideMark/>
          </w:tcPr>
          <w:p w14:paraId="2C320A9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000000" w:fill="DAF2D0"/>
            <w:noWrap/>
            <w:vAlign w:val="center"/>
            <w:hideMark/>
          </w:tcPr>
          <w:p w14:paraId="16CD128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544BBBE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78753D8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000000" w:fill="DAF2D0"/>
            <w:noWrap/>
            <w:vAlign w:val="center"/>
            <w:hideMark/>
          </w:tcPr>
          <w:p w14:paraId="44C53F8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8" w:type="pct"/>
            <w:tcBorders>
              <w:top w:val="nil"/>
              <w:left w:val="nil"/>
              <w:bottom w:val="single" w:sz="4" w:space="0" w:color="auto"/>
              <w:right w:val="single" w:sz="4" w:space="0" w:color="auto"/>
            </w:tcBorders>
            <w:shd w:val="clear" w:color="auto" w:fill="auto"/>
            <w:noWrap/>
            <w:vAlign w:val="bottom"/>
            <w:hideMark/>
          </w:tcPr>
          <w:p w14:paraId="5E21EFD5"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000000" w:fill="DAF2D0"/>
            <w:noWrap/>
            <w:vAlign w:val="center"/>
            <w:hideMark/>
          </w:tcPr>
          <w:p w14:paraId="56FAB28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5" w:type="pct"/>
            <w:tcBorders>
              <w:top w:val="nil"/>
              <w:left w:val="nil"/>
              <w:bottom w:val="single" w:sz="4" w:space="0" w:color="auto"/>
              <w:right w:val="single" w:sz="4" w:space="0" w:color="auto"/>
            </w:tcBorders>
            <w:shd w:val="clear" w:color="auto" w:fill="auto"/>
            <w:noWrap/>
            <w:vAlign w:val="bottom"/>
            <w:hideMark/>
          </w:tcPr>
          <w:p w14:paraId="6A9F609F"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F2D0"/>
            <w:noWrap/>
            <w:vAlign w:val="center"/>
            <w:hideMark/>
          </w:tcPr>
          <w:p w14:paraId="7F4A987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bottom"/>
            <w:hideMark/>
          </w:tcPr>
          <w:p w14:paraId="6BC7EBD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000000" w:fill="DAF2D0"/>
            <w:noWrap/>
            <w:vAlign w:val="center"/>
            <w:hideMark/>
          </w:tcPr>
          <w:p w14:paraId="6FB0670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r>
      <w:tr w:rsidR="001B2B98" w:rsidRPr="009A4EA5" w14:paraId="02A06C45" w14:textId="77777777" w:rsidTr="00A729C7">
        <w:trPr>
          <w:trHeight w:val="415"/>
        </w:trPr>
        <w:tc>
          <w:tcPr>
            <w:tcW w:w="606" w:type="pct"/>
            <w:tcBorders>
              <w:top w:val="nil"/>
              <w:left w:val="single" w:sz="4" w:space="0" w:color="auto"/>
              <w:bottom w:val="single" w:sz="4" w:space="0" w:color="auto"/>
              <w:right w:val="single" w:sz="4" w:space="0" w:color="auto"/>
            </w:tcBorders>
            <w:shd w:val="clear" w:color="000000" w:fill="DAF2D0"/>
            <w:vAlign w:val="center"/>
            <w:hideMark/>
          </w:tcPr>
          <w:p w14:paraId="2ACE25C4"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Environmental concerns</w:t>
            </w:r>
          </w:p>
        </w:tc>
        <w:tc>
          <w:tcPr>
            <w:tcW w:w="203" w:type="pct"/>
            <w:tcBorders>
              <w:top w:val="nil"/>
              <w:left w:val="nil"/>
              <w:bottom w:val="single" w:sz="4" w:space="0" w:color="auto"/>
              <w:right w:val="single" w:sz="4" w:space="0" w:color="auto"/>
            </w:tcBorders>
            <w:shd w:val="clear" w:color="auto" w:fill="auto"/>
            <w:noWrap/>
            <w:vAlign w:val="center"/>
            <w:hideMark/>
          </w:tcPr>
          <w:p w14:paraId="418BA3F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51E642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9F4AD5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AABC56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0AC069C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12A749C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36C5C6C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5C68CE8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BC847B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D74318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D9D50D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7338D3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6FBE596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000000" w:fill="DAF2D0"/>
            <w:noWrap/>
            <w:vAlign w:val="center"/>
            <w:hideMark/>
          </w:tcPr>
          <w:p w14:paraId="7478314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4" w:type="pct"/>
            <w:tcBorders>
              <w:top w:val="nil"/>
              <w:left w:val="nil"/>
              <w:bottom w:val="single" w:sz="4" w:space="0" w:color="auto"/>
              <w:right w:val="single" w:sz="4" w:space="0" w:color="auto"/>
            </w:tcBorders>
            <w:shd w:val="clear" w:color="auto" w:fill="auto"/>
            <w:noWrap/>
            <w:vAlign w:val="center"/>
            <w:hideMark/>
          </w:tcPr>
          <w:p w14:paraId="420897C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5EB2FB9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136BA5D5"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23C5902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6D3815B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1BA5D66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441E63C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5CE61AD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7B0C7778" w14:textId="77777777" w:rsidTr="00A729C7">
        <w:trPr>
          <w:trHeight w:val="563"/>
        </w:trPr>
        <w:tc>
          <w:tcPr>
            <w:tcW w:w="606" w:type="pct"/>
            <w:tcBorders>
              <w:top w:val="nil"/>
              <w:left w:val="single" w:sz="4" w:space="0" w:color="auto"/>
              <w:bottom w:val="single" w:sz="4" w:space="0" w:color="auto"/>
              <w:right w:val="single" w:sz="4" w:space="0" w:color="auto"/>
            </w:tcBorders>
            <w:shd w:val="clear" w:color="000000" w:fill="DAF2D0"/>
            <w:vAlign w:val="center"/>
            <w:hideMark/>
          </w:tcPr>
          <w:p w14:paraId="5F665574"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Noise pollution; Traffic noise</w:t>
            </w:r>
          </w:p>
        </w:tc>
        <w:tc>
          <w:tcPr>
            <w:tcW w:w="203" w:type="pct"/>
            <w:tcBorders>
              <w:top w:val="nil"/>
              <w:left w:val="nil"/>
              <w:bottom w:val="single" w:sz="4" w:space="0" w:color="auto"/>
              <w:right w:val="single" w:sz="4" w:space="0" w:color="auto"/>
            </w:tcBorders>
            <w:shd w:val="clear" w:color="auto" w:fill="auto"/>
            <w:noWrap/>
            <w:vAlign w:val="center"/>
            <w:hideMark/>
          </w:tcPr>
          <w:p w14:paraId="73E91A6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0A7F64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569F050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F2D0"/>
            <w:noWrap/>
            <w:vAlign w:val="center"/>
            <w:hideMark/>
          </w:tcPr>
          <w:p w14:paraId="2D9119E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F2D0"/>
            <w:noWrap/>
            <w:vAlign w:val="center"/>
            <w:hideMark/>
          </w:tcPr>
          <w:p w14:paraId="329BF23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23A7D10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000000" w:fill="DAF2D0"/>
            <w:noWrap/>
            <w:vAlign w:val="center"/>
            <w:hideMark/>
          </w:tcPr>
          <w:p w14:paraId="780B5B2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66B4BDE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EE760D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D7B5BA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0788C1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BA3D19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000000" w:fill="DAF2D0"/>
            <w:noWrap/>
            <w:vAlign w:val="center"/>
            <w:hideMark/>
          </w:tcPr>
          <w:p w14:paraId="56AD136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48CF40F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51FD4EE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7DC8CCB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1B621EF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1E4A89B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2C926D8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088190EB"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6DA140EA"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000000" w:fill="DAF2D0"/>
            <w:noWrap/>
            <w:vAlign w:val="center"/>
            <w:hideMark/>
          </w:tcPr>
          <w:p w14:paraId="5E443E0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r>
      <w:tr w:rsidR="001B2B98" w:rsidRPr="009A4EA5" w14:paraId="65F2E532" w14:textId="77777777" w:rsidTr="00A729C7">
        <w:trPr>
          <w:trHeight w:val="557"/>
        </w:trPr>
        <w:tc>
          <w:tcPr>
            <w:tcW w:w="606" w:type="pct"/>
            <w:tcBorders>
              <w:top w:val="nil"/>
              <w:left w:val="single" w:sz="4" w:space="0" w:color="auto"/>
              <w:bottom w:val="single" w:sz="4" w:space="0" w:color="auto"/>
              <w:right w:val="single" w:sz="4" w:space="0" w:color="auto"/>
            </w:tcBorders>
            <w:shd w:val="clear" w:color="000000" w:fill="DAF2D0"/>
            <w:vAlign w:val="center"/>
            <w:hideMark/>
          </w:tcPr>
          <w:p w14:paraId="28502A23"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Energy efficiency; Energy consumption</w:t>
            </w:r>
          </w:p>
        </w:tc>
        <w:tc>
          <w:tcPr>
            <w:tcW w:w="203" w:type="pct"/>
            <w:tcBorders>
              <w:top w:val="nil"/>
              <w:left w:val="nil"/>
              <w:bottom w:val="single" w:sz="4" w:space="0" w:color="auto"/>
              <w:right w:val="single" w:sz="4" w:space="0" w:color="auto"/>
            </w:tcBorders>
            <w:shd w:val="clear" w:color="auto" w:fill="auto"/>
            <w:noWrap/>
            <w:vAlign w:val="center"/>
            <w:hideMark/>
          </w:tcPr>
          <w:p w14:paraId="266D37C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F2D0"/>
            <w:noWrap/>
            <w:vAlign w:val="center"/>
            <w:hideMark/>
          </w:tcPr>
          <w:p w14:paraId="4702074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F2D0"/>
            <w:noWrap/>
            <w:vAlign w:val="center"/>
            <w:hideMark/>
          </w:tcPr>
          <w:p w14:paraId="33DD8F1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55C7924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DAF2D0"/>
            <w:noWrap/>
            <w:vAlign w:val="center"/>
            <w:hideMark/>
          </w:tcPr>
          <w:p w14:paraId="6444036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000000" w:fill="DAF2D0"/>
            <w:noWrap/>
            <w:vAlign w:val="center"/>
            <w:hideMark/>
          </w:tcPr>
          <w:p w14:paraId="2043CDE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0" w:type="pct"/>
            <w:tcBorders>
              <w:top w:val="nil"/>
              <w:left w:val="nil"/>
              <w:bottom w:val="single" w:sz="4" w:space="0" w:color="auto"/>
              <w:right w:val="single" w:sz="4" w:space="0" w:color="auto"/>
            </w:tcBorders>
            <w:shd w:val="clear" w:color="000000" w:fill="DAF2D0"/>
            <w:noWrap/>
            <w:vAlign w:val="center"/>
            <w:hideMark/>
          </w:tcPr>
          <w:p w14:paraId="643DF87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F2D0"/>
            <w:noWrap/>
            <w:vAlign w:val="center"/>
            <w:hideMark/>
          </w:tcPr>
          <w:p w14:paraId="387100B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DAF2D0"/>
            <w:noWrap/>
            <w:vAlign w:val="center"/>
            <w:hideMark/>
          </w:tcPr>
          <w:p w14:paraId="6236058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4D7F3F6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F2D0"/>
            <w:noWrap/>
            <w:vAlign w:val="center"/>
            <w:hideMark/>
          </w:tcPr>
          <w:p w14:paraId="25B0E63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0E7D30A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000000" w:fill="DAF2D0"/>
            <w:noWrap/>
            <w:vAlign w:val="center"/>
            <w:hideMark/>
          </w:tcPr>
          <w:p w14:paraId="73C0AB5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4179402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639F109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684BD3A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4002CDD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469F585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6A0DEEE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33921AAF"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07168977"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06A43E3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0BDAB538" w14:textId="77777777" w:rsidTr="00564877">
        <w:trPr>
          <w:trHeight w:val="780"/>
        </w:trPr>
        <w:tc>
          <w:tcPr>
            <w:tcW w:w="606" w:type="pct"/>
            <w:tcBorders>
              <w:top w:val="nil"/>
              <w:left w:val="single" w:sz="4" w:space="0" w:color="auto"/>
              <w:bottom w:val="single" w:sz="4" w:space="0" w:color="auto"/>
              <w:right w:val="single" w:sz="4" w:space="0" w:color="auto"/>
            </w:tcBorders>
            <w:shd w:val="clear" w:color="000000" w:fill="DAF2D0"/>
            <w:vAlign w:val="center"/>
            <w:hideMark/>
          </w:tcPr>
          <w:p w14:paraId="324F919F"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Transport resource consumption (renewable and non-renewable); Renewables; Clean transport and environmental awareness</w:t>
            </w:r>
          </w:p>
        </w:tc>
        <w:tc>
          <w:tcPr>
            <w:tcW w:w="203" w:type="pct"/>
            <w:tcBorders>
              <w:top w:val="nil"/>
              <w:left w:val="nil"/>
              <w:bottom w:val="single" w:sz="4" w:space="0" w:color="auto"/>
              <w:right w:val="single" w:sz="4" w:space="0" w:color="auto"/>
            </w:tcBorders>
            <w:shd w:val="clear" w:color="000000" w:fill="DAF2D0"/>
            <w:noWrap/>
            <w:vAlign w:val="center"/>
            <w:hideMark/>
          </w:tcPr>
          <w:p w14:paraId="31924E2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54CD6D1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DAF2D0"/>
            <w:noWrap/>
            <w:vAlign w:val="center"/>
            <w:hideMark/>
          </w:tcPr>
          <w:p w14:paraId="67DEB7F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66434EF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3F38952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78BF8B1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000000" w:fill="DAF2D0"/>
            <w:noWrap/>
            <w:vAlign w:val="center"/>
            <w:hideMark/>
          </w:tcPr>
          <w:p w14:paraId="674867A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5FBD00E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0D78CB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83DD4D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71B3B4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ABD362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000000" w:fill="DAF2D0"/>
            <w:noWrap/>
            <w:vAlign w:val="center"/>
            <w:hideMark/>
          </w:tcPr>
          <w:p w14:paraId="17D46F6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000000" w:fill="DAF2D0"/>
            <w:noWrap/>
            <w:vAlign w:val="center"/>
            <w:hideMark/>
          </w:tcPr>
          <w:p w14:paraId="4BC3BE4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4" w:type="pct"/>
            <w:tcBorders>
              <w:top w:val="nil"/>
              <w:left w:val="nil"/>
              <w:bottom w:val="single" w:sz="4" w:space="0" w:color="auto"/>
              <w:right w:val="single" w:sz="4" w:space="0" w:color="auto"/>
            </w:tcBorders>
            <w:shd w:val="clear" w:color="auto" w:fill="auto"/>
            <w:noWrap/>
            <w:vAlign w:val="center"/>
            <w:hideMark/>
          </w:tcPr>
          <w:p w14:paraId="2F688D0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000000" w:fill="DAF2D0"/>
            <w:noWrap/>
            <w:vAlign w:val="center"/>
            <w:hideMark/>
          </w:tcPr>
          <w:p w14:paraId="58F7257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8" w:type="pct"/>
            <w:tcBorders>
              <w:top w:val="nil"/>
              <w:left w:val="nil"/>
              <w:bottom w:val="single" w:sz="4" w:space="0" w:color="auto"/>
              <w:right w:val="single" w:sz="4" w:space="0" w:color="auto"/>
            </w:tcBorders>
            <w:shd w:val="clear" w:color="auto" w:fill="auto"/>
            <w:noWrap/>
            <w:vAlign w:val="bottom"/>
            <w:hideMark/>
          </w:tcPr>
          <w:p w14:paraId="1C6499C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5A6D0BF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000000" w:fill="DAF2D0"/>
            <w:noWrap/>
            <w:vAlign w:val="center"/>
            <w:hideMark/>
          </w:tcPr>
          <w:p w14:paraId="2470C8F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DAF2D0"/>
            <w:noWrap/>
            <w:vAlign w:val="center"/>
            <w:hideMark/>
          </w:tcPr>
          <w:p w14:paraId="15D9809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bottom"/>
            <w:hideMark/>
          </w:tcPr>
          <w:p w14:paraId="54272627"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7CEF855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22A0A6E1" w14:textId="77777777" w:rsidTr="00D111DC">
        <w:trPr>
          <w:trHeight w:val="780"/>
        </w:trPr>
        <w:tc>
          <w:tcPr>
            <w:tcW w:w="606" w:type="pct"/>
            <w:tcBorders>
              <w:top w:val="nil"/>
              <w:left w:val="single" w:sz="4" w:space="0" w:color="auto"/>
              <w:bottom w:val="single" w:sz="4" w:space="0" w:color="auto"/>
              <w:right w:val="single" w:sz="4" w:space="0" w:color="auto"/>
            </w:tcBorders>
            <w:shd w:val="clear" w:color="000000" w:fill="DAF2D0"/>
            <w:vAlign w:val="center"/>
            <w:hideMark/>
          </w:tcPr>
          <w:p w14:paraId="6066E6C1"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 xml:space="preserve">Ecological and Geographical damage; Impacts on environmental resources; Land </w:t>
            </w:r>
            <w:r w:rsidRPr="009A4EA5">
              <w:rPr>
                <w:color w:val="000000"/>
                <w:sz w:val="16"/>
                <w:szCs w:val="16"/>
                <w:lang w:eastAsia="es-ES"/>
              </w:rPr>
              <w:lastRenderedPageBreak/>
              <w:t>consumption; Fragmentation</w:t>
            </w:r>
          </w:p>
        </w:tc>
        <w:tc>
          <w:tcPr>
            <w:tcW w:w="203" w:type="pct"/>
            <w:tcBorders>
              <w:top w:val="nil"/>
              <w:left w:val="nil"/>
              <w:bottom w:val="single" w:sz="4" w:space="0" w:color="auto"/>
              <w:right w:val="single" w:sz="4" w:space="0" w:color="auto"/>
            </w:tcBorders>
            <w:shd w:val="clear" w:color="000000" w:fill="DAF2D0"/>
            <w:noWrap/>
            <w:vAlign w:val="center"/>
            <w:hideMark/>
          </w:tcPr>
          <w:p w14:paraId="66AF69E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lastRenderedPageBreak/>
              <w:t>x</w:t>
            </w:r>
          </w:p>
        </w:tc>
        <w:tc>
          <w:tcPr>
            <w:tcW w:w="203" w:type="pct"/>
            <w:tcBorders>
              <w:top w:val="nil"/>
              <w:left w:val="nil"/>
              <w:bottom w:val="single" w:sz="4" w:space="0" w:color="auto"/>
              <w:right w:val="single" w:sz="4" w:space="0" w:color="auto"/>
            </w:tcBorders>
            <w:shd w:val="clear" w:color="000000" w:fill="DAF2D0"/>
            <w:noWrap/>
            <w:vAlign w:val="center"/>
            <w:hideMark/>
          </w:tcPr>
          <w:p w14:paraId="727EC36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F2D0"/>
            <w:noWrap/>
            <w:vAlign w:val="center"/>
            <w:hideMark/>
          </w:tcPr>
          <w:p w14:paraId="041BCD6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DAF2D0"/>
            <w:noWrap/>
            <w:vAlign w:val="center"/>
            <w:hideMark/>
          </w:tcPr>
          <w:p w14:paraId="39A44AE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DAF2D0"/>
            <w:noWrap/>
            <w:vAlign w:val="center"/>
            <w:hideMark/>
          </w:tcPr>
          <w:p w14:paraId="6EDB43C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000000" w:fill="DAF2D0"/>
            <w:noWrap/>
            <w:vAlign w:val="center"/>
            <w:hideMark/>
          </w:tcPr>
          <w:p w14:paraId="6CC3454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0" w:type="pct"/>
            <w:tcBorders>
              <w:top w:val="nil"/>
              <w:left w:val="nil"/>
              <w:bottom w:val="single" w:sz="4" w:space="0" w:color="auto"/>
              <w:right w:val="single" w:sz="4" w:space="0" w:color="auto"/>
            </w:tcBorders>
            <w:shd w:val="clear" w:color="auto" w:fill="auto"/>
            <w:noWrap/>
            <w:vAlign w:val="center"/>
            <w:hideMark/>
          </w:tcPr>
          <w:p w14:paraId="1A4508D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656FD59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E61433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45C748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9EEB62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5CE097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000000" w:fill="DAF2D0"/>
            <w:noWrap/>
            <w:vAlign w:val="center"/>
            <w:hideMark/>
          </w:tcPr>
          <w:p w14:paraId="0C4D451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0B61363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2B68A24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6827867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4F5F68CA"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1A43DF2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38D3D559"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F2D0"/>
            <w:noWrap/>
            <w:vAlign w:val="center"/>
            <w:hideMark/>
          </w:tcPr>
          <w:p w14:paraId="31AC817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bottom"/>
            <w:hideMark/>
          </w:tcPr>
          <w:p w14:paraId="41EE71D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7391276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104DD439" w14:textId="77777777" w:rsidTr="00D111DC">
        <w:trPr>
          <w:trHeight w:val="520"/>
        </w:trPr>
        <w:tc>
          <w:tcPr>
            <w:tcW w:w="606" w:type="pct"/>
            <w:tcBorders>
              <w:top w:val="nil"/>
              <w:left w:val="single" w:sz="4" w:space="0" w:color="auto"/>
              <w:bottom w:val="single" w:sz="4" w:space="0" w:color="auto"/>
              <w:right w:val="single" w:sz="4" w:space="0" w:color="auto"/>
            </w:tcBorders>
            <w:shd w:val="clear" w:color="000000" w:fill="DAF2D0"/>
            <w:vAlign w:val="center"/>
            <w:hideMark/>
          </w:tcPr>
          <w:p w14:paraId="082EDC49"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Reuse &amp; recycling; Non-Renewable resource conservation</w:t>
            </w:r>
          </w:p>
        </w:tc>
        <w:tc>
          <w:tcPr>
            <w:tcW w:w="203" w:type="pct"/>
            <w:tcBorders>
              <w:top w:val="nil"/>
              <w:left w:val="nil"/>
              <w:bottom w:val="single" w:sz="4" w:space="0" w:color="auto"/>
              <w:right w:val="single" w:sz="4" w:space="0" w:color="auto"/>
            </w:tcBorders>
            <w:shd w:val="clear" w:color="auto" w:fill="auto"/>
            <w:noWrap/>
            <w:vAlign w:val="center"/>
            <w:hideMark/>
          </w:tcPr>
          <w:p w14:paraId="08C5882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D0428E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43A1709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3685E4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5F6212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4" w:space="0" w:color="auto"/>
              <w:right w:val="single" w:sz="4" w:space="0" w:color="auto"/>
            </w:tcBorders>
            <w:shd w:val="clear" w:color="000000" w:fill="DAF2D0"/>
            <w:noWrap/>
            <w:vAlign w:val="center"/>
            <w:hideMark/>
          </w:tcPr>
          <w:p w14:paraId="7E6216E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0" w:type="pct"/>
            <w:tcBorders>
              <w:top w:val="nil"/>
              <w:left w:val="nil"/>
              <w:bottom w:val="single" w:sz="4" w:space="0" w:color="auto"/>
              <w:right w:val="single" w:sz="4" w:space="0" w:color="auto"/>
            </w:tcBorders>
            <w:shd w:val="clear" w:color="auto" w:fill="auto"/>
            <w:noWrap/>
            <w:vAlign w:val="center"/>
            <w:hideMark/>
          </w:tcPr>
          <w:p w14:paraId="1415780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6A9A15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49F84C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6B5E85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BA00D5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F2D0"/>
            <w:noWrap/>
            <w:vAlign w:val="center"/>
            <w:hideMark/>
          </w:tcPr>
          <w:p w14:paraId="062D205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auto" w:fill="auto"/>
            <w:noWrap/>
            <w:vAlign w:val="center"/>
            <w:hideMark/>
          </w:tcPr>
          <w:p w14:paraId="0C3DAF7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35818BF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45E2BEB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26BA8F3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5E147DE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532DFF3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26A5096C"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2467344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264E2D10"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20239668"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41C190CD" w14:textId="77777777" w:rsidTr="00A729C7">
        <w:trPr>
          <w:trHeight w:val="428"/>
        </w:trPr>
        <w:tc>
          <w:tcPr>
            <w:tcW w:w="606" w:type="pct"/>
            <w:tcBorders>
              <w:top w:val="nil"/>
              <w:left w:val="single" w:sz="4" w:space="0" w:color="auto"/>
              <w:bottom w:val="single" w:sz="4" w:space="0" w:color="auto"/>
              <w:right w:val="single" w:sz="4" w:space="0" w:color="auto"/>
            </w:tcBorders>
            <w:shd w:val="clear" w:color="000000" w:fill="DAF2D0"/>
            <w:vAlign w:val="center"/>
            <w:hideMark/>
          </w:tcPr>
          <w:p w14:paraId="14D34A47"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Resilience</w:t>
            </w:r>
          </w:p>
        </w:tc>
        <w:tc>
          <w:tcPr>
            <w:tcW w:w="203" w:type="pct"/>
            <w:tcBorders>
              <w:top w:val="nil"/>
              <w:left w:val="nil"/>
              <w:bottom w:val="single" w:sz="4" w:space="0" w:color="auto"/>
              <w:right w:val="single" w:sz="4" w:space="0" w:color="auto"/>
            </w:tcBorders>
            <w:shd w:val="clear" w:color="auto" w:fill="auto"/>
            <w:noWrap/>
            <w:vAlign w:val="center"/>
            <w:hideMark/>
          </w:tcPr>
          <w:p w14:paraId="08D548C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955E2F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6EF1146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1A91BE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3FA0F87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1D699F6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000000" w:fill="DAF2D0"/>
            <w:noWrap/>
            <w:vAlign w:val="center"/>
            <w:hideMark/>
          </w:tcPr>
          <w:p w14:paraId="781479D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44934E5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231A85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613DCA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305FF9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82A16E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01BE2CE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77CCA92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018208D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749A48E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5DEC4247"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4BB77A2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58D70F20"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4D6C255A"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48E1C8A8"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18DBC28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029365BC" w14:textId="77777777" w:rsidTr="00A729C7">
        <w:trPr>
          <w:trHeight w:val="987"/>
        </w:trPr>
        <w:tc>
          <w:tcPr>
            <w:tcW w:w="606" w:type="pct"/>
            <w:tcBorders>
              <w:top w:val="nil"/>
              <w:left w:val="single" w:sz="4" w:space="0" w:color="auto"/>
              <w:bottom w:val="single" w:sz="4" w:space="0" w:color="auto"/>
              <w:right w:val="single" w:sz="4" w:space="0" w:color="auto"/>
            </w:tcBorders>
            <w:shd w:val="clear" w:color="000000" w:fill="DAF2D0"/>
            <w:vAlign w:val="center"/>
            <w:hideMark/>
          </w:tcPr>
          <w:p w14:paraId="39DCDC51"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Initiatives for environmental protection; Open space preservation and biodiversity protection</w:t>
            </w:r>
          </w:p>
        </w:tc>
        <w:tc>
          <w:tcPr>
            <w:tcW w:w="203" w:type="pct"/>
            <w:tcBorders>
              <w:top w:val="nil"/>
              <w:left w:val="nil"/>
              <w:bottom w:val="single" w:sz="4" w:space="0" w:color="auto"/>
              <w:right w:val="single" w:sz="4" w:space="0" w:color="auto"/>
            </w:tcBorders>
            <w:shd w:val="clear" w:color="000000" w:fill="DAF2D0"/>
            <w:noWrap/>
            <w:vAlign w:val="center"/>
            <w:hideMark/>
          </w:tcPr>
          <w:p w14:paraId="68FCF31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4B06366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486316F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C73F47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DAF2D0"/>
            <w:noWrap/>
            <w:vAlign w:val="center"/>
            <w:hideMark/>
          </w:tcPr>
          <w:p w14:paraId="2777508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275A15B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45FF641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1B0C8E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6186FB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2823D5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976CF4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DAF2D0"/>
            <w:noWrap/>
            <w:vAlign w:val="center"/>
            <w:hideMark/>
          </w:tcPr>
          <w:p w14:paraId="4DFA868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auto" w:fill="auto"/>
            <w:noWrap/>
            <w:vAlign w:val="center"/>
            <w:hideMark/>
          </w:tcPr>
          <w:p w14:paraId="1F07913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005A5F8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260F2CD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2F36E39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000000" w:fill="DAF2D0"/>
            <w:noWrap/>
            <w:vAlign w:val="center"/>
            <w:hideMark/>
          </w:tcPr>
          <w:p w14:paraId="67C59FF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10" w:type="pct"/>
            <w:tcBorders>
              <w:top w:val="nil"/>
              <w:left w:val="nil"/>
              <w:bottom w:val="single" w:sz="4" w:space="0" w:color="auto"/>
              <w:right w:val="single" w:sz="4" w:space="0" w:color="auto"/>
            </w:tcBorders>
            <w:shd w:val="clear" w:color="auto" w:fill="auto"/>
            <w:noWrap/>
            <w:vAlign w:val="center"/>
            <w:hideMark/>
          </w:tcPr>
          <w:p w14:paraId="2395F86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4B6874EB"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015A36D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7CF7677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3A484BDE"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0A948F9E" w14:textId="77777777" w:rsidTr="00A729C7">
        <w:trPr>
          <w:trHeight w:val="547"/>
        </w:trPr>
        <w:tc>
          <w:tcPr>
            <w:tcW w:w="606" w:type="pct"/>
            <w:tcBorders>
              <w:top w:val="nil"/>
              <w:left w:val="single" w:sz="4" w:space="0" w:color="auto"/>
              <w:bottom w:val="single" w:sz="8" w:space="0" w:color="auto"/>
              <w:right w:val="single" w:sz="4" w:space="0" w:color="auto"/>
            </w:tcBorders>
            <w:shd w:val="clear" w:color="000000" w:fill="DAF2D0"/>
            <w:vAlign w:val="center"/>
            <w:hideMark/>
          </w:tcPr>
          <w:p w14:paraId="6BB287DB"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Hydrologic impacts; Water run-off</w:t>
            </w:r>
          </w:p>
        </w:tc>
        <w:tc>
          <w:tcPr>
            <w:tcW w:w="203" w:type="pct"/>
            <w:tcBorders>
              <w:top w:val="nil"/>
              <w:left w:val="nil"/>
              <w:bottom w:val="single" w:sz="8" w:space="0" w:color="auto"/>
              <w:right w:val="single" w:sz="4" w:space="0" w:color="auto"/>
            </w:tcBorders>
            <w:shd w:val="clear" w:color="auto" w:fill="auto"/>
            <w:noWrap/>
            <w:vAlign w:val="center"/>
            <w:hideMark/>
          </w:tcPr>
          <w:p w14:paraId="3B12BCF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58E94459"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07EFEFA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1AC909D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2D8C78B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8" w:space="0" w:color="auto"/>
              <w:right w:val="single" w:sz="4" w:space="0" w:color="auto"/>
            </w:tcBorders>
            <w:shd w:val="clear" w:color="auto" w:fill="auto"/>
            <w:noWrap/>
            <w:vAlign w:val="center"/>
            <w:hideMark/>
          </w:tcPr>
          <w:p w14:paraId="00FEFF7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8" w:space="0" w:color="auto"/>
              <w:right w:val="single" w:sz="4" w:space="0" w:color="auto"/>
            </w:tcBorders>
            <w:shd w:val="clear" w:color="auto" w:fill="auto"/>
            <w:noWrap/>
            <w:vAlign w:val="center"/>
            <w:hideMark/>
          </w:tcPr>
          <w:p w14:paraId="519C021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69087E6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05E6F3A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081D9E7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7355046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000000" w:fill="DAF2D0"/>
            <w:noWrap/>
            <w:vAlign w:val="center"/>
            <w:hideMark/>
          </w:tcPr>
          <w:p w14:paraId="1F9801E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8" w:space="0" w:color="auto"/>
              <w:right w:val="single" w:sz="4" w:space="0" w:color="auto"/>
            </w:tcBorders>
            <w:shd w:val="clear" w:color="000000" w:fill="DAF2D0"/>
            <w:noWrap/>
            <w:vAlign w:val="center"/>
            <w:hideMark/>
          </w:tcPr>
          <w:p w14:paraId="258E8E4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8" w:space="0" w:color="auto"/>
              <w:right w:val="single" w:sz="4" w:space="0" w:color="auto"/>
            </w:tcBorders>
            <w:shd w:val="clear" w:color="auto" w:fill="auto"/>
            <w:noWrap/>
            <w:vAlign w:val="center"/>
            <w:hideMark/>
          </w:tcPr>
          <w:p w14:paraId="68F527E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8" w:space="0" w:color="auto"/>
              <w:right w:val="single" w:sz="4" w:space="0" w:color="auto"/>
            </w:tcBorders>
            <w:shd w:val="clear" w:color="auto" w:fill="auto"/>
            <w:noWrap/>
            <w:vAlign w:val="center"/>
            <w:hideMark/>
          </w:tcPr>
          <w:p w14:paraId="2009FC7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8" w:space="0" w:color="auto"/>
              <w:right w:val="single" w:sz="4" w:space="0" w:color="auto"/>
            </w:tcBorders>
            <w:shd w:val="clear" w:color="auto" w:fill="auto"/>
            <w:noWrap/>
            <w:vAlign w:val="center"/>
            <w:hideMark/>
          </w:tcPr>
          <w:p w14:paraId="3A27A97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8" w:space="0" w:color="auto"/>
              <w:right w:val="single" w:sz="4" w:space="0" w:color="auto"/>
            </w:tcBorders>
            <w:shd w:val="clear" w:color="auto" w:fill="auto"/>
            <w:noWrap/>
            <w:vAlign w:val="bottom"/>
            <w:hideMark/>
          </w:tcPr>
          <w:p w14:paraId="1E9C14B7"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8" w:space="0" w:color="auto"/>
              <w:right w:val="single" w:sz="4" w:space="0" w:color="auto"/>
            </w:tcBorders>
            <w:shd w:val="clear" w:color="auto" w:fill="auto"/>
            <w:noWrap/>
            <w:vAlign w:val="center"/>
            <w:hideMark/>
          </w:tcPr>
          <w:p w14:paraId="64D380F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8" w:space="0" w:color="auto"/>
              <w:right w:val="single" w:sz="4" w:space="0" w:color="auto"/>
            </w:tcBorders>
            <w:shd w:val="clear" w:color="auto" w:fill="auto"/>
            <w:noWrap/>
            <w:vAlign w:val="bottom"/>
            <w:hideMark/>
          </w:tcPr>
          <w:p w14:paraId="2106EDA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bottom"/>
            <w:hideMark/>
          </w:tcPr>
          <w:p w14:paraId="21D6FCE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bottom"/>
            <w:hideMark/>
          </w:tcPr>
          <w:p w14:paraId="4FB1D5DB"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8" w:space="0" w:color="auto"/>
              <w:right w:val="single" w:sz="8" w:space="0" w:color="auto"/>
            </w:tcBorders>
            <w:shd w:val="clear" w:color="auto" w:fill="auto"/>
            <w:noWrap/>
            <w:vAlign w:val="bottom"/>
            <w:hideMark/>
          </w:tcPr>
          <w:p w14:paraId="7466108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0B55449E" w14:textId="77777777" w:rsidTr="00191B2F">
        <w:trPr>
          <w:trHeight w:val="300"/>
        </w:trPr>
        <w:tc>
          <w:tcPr>
            <w:tcW w:w="5000" w:type="pct"/>
            <w:gridSpan w:val="23"/>
            <w:tcBorders>
              <w:top w:val="single" w:sz="8" w:space="0" w:color="auto"/>
              <w:left w:val="single" w:sz="8" w:space="0" w:color="auto"/>
              <w:bottom w:val="single" w:sz="8" w:space="0" w:color="auto"/>
              <w:right w:val="nil"/>
            </w:tcBorders>
            <w:shd w:val="clear" w:color="000000" w:fill="FFCC00"/>
            <w:vAlign w:val="center"/>
            <w:hideMark/>
          </w:tcPr>
          <w:p w14:paraId="00565706" w14:textId="77777777" w:rsidR="001B2B98" w:rsidRPr="009A4EA5" w:rsidRDefault="001B2B98" w:rsidP="00191B2F">
            <w:pPr>
              <w:spacing w:line="240" w:lineRule="auto"/>
              <w:jc w:val="center"/>
              <w:rPr>
                <w:b/>
                <w:bCs/>
                <w:color w:val="000000"/>
                <w:sz w:val="20"/>
                <w:szCs w:val="20"/>
                <w:lang w:eastAsia="es-ES"/>
              </w:rPr>
            </w:pPr>
            <w:r w:rsidRPr="009A4EA5">
              <w:rPr>
                <w:b/>
                <w:bCs/>
                <w:color w:val="000000"/>
                <w:sz w:val="20"/>
                <w:szCs w:val="20"/>
                <w:lang w:eastAsia="es-ES"/>
              </w:rPr>
              <w:t>Economic dimension</w:t>
            </w:r>
          </w:p>
        </w:tc>
      </w:tr>
      <w:tr w:rsidR="001B2B98" w:rsidRPr="009A4EA5" w14:paraId="28010E5E" w14:textId="77777777" w:rsidTr="00A729C7">
        <w:trPr>
          <w:trHeight w:val="1500"/>
        </w:trPr>
        <w:tc>
          <w:tcPr>
            <w:tcW w:w="606" w:type="pct"/>
            <w:tcBorders>
              <w:top w:val="nil"/>
              <w:left w:val="single" w:sz="4" w:space="0" w:color="auto"/>
              <w:bottom w:val="single" w:sz="4" w:space="0" w:color="auto"/>
              <w:right w:val="single" w:sz="4" w:space="0" w:color="auto"/>
            </w:tcBorders>
            <w:shd w:val="clear" w:color="000000" w:fill="FFFFCC"/>
            <w:vAlign w:val="center"/>
            <w:hideMark/>
          </w:tcPr>
          <w:p w14:paraId="61362728"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Financial Perspective; Finance and economy; Economic support of transport to the economy; Growth of transportation; Economic growth; Economic welfare</w:t>
            </w:r>
          </w:p>
        </w:tc>
        <w:tc>
          <w:tcPr>
            <w:tcW w:w="203" w:type="pct"/>
            <w:tcBorders>
              <w:top w:val="nil"/>
              <w:left w:val="nil"/>
              <w:bottom w:val="single" w:sz="4" w:space="0" w:color="auto"/>
              <w:right w:val="single" w:sz="4" w:space="0" w:color="auto"/>
            </w:tcBorders>
            <w:shd w:val="clear" w:color="000000" w:fill="FFFFCC"/>
            <w:noWrap/>
            <w:vAlign w:val="center"/>
            <w:hideMark/>
          </w:tcPr>
          <w:p w14:paraId="758915D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2718C93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CEC9F5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CA9D4A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FFFFCC"/>
            <w:noWrap/>
            <w:vAlign w:val="center"/>
            <w:hideMark/>
          </w:tcPr>
          <w:p w14:paraId="3A50C54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000000" w:fill="FFFFCC"/>
            <w:noWrap/>
            <w:vAlign w:val="center"/>
            <w:hideMark/>
          </w:tcPr>
          <w:p w14:paraId="47AD9CE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0" w:type="pct"/>
            <w:tcBorders>
              <w:top w:val="nil"/>
              <w:left w:val="nil"/>
              <w:bottom w:val="single" w:sz="4" w:space="0" w:color="auto"/>
              <w:right w:val="single" w:sz="4" w:space="0" w:color="auto"/>
            </w:tcBorders>
            <w:shd w:val="clear" w:color="000000" w:fill="FFFFCC"/>
            <w:noWrap/>
            <w:vAlign w:val="center"/>
            <w:hideMark/>
          </w:tcPr>
          <w:p w14:paraId="6A69D8E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000000" w:fill="FFFFCC"/>
            <w:noWrap/>
            <w:vAlign w:val="center"/>
            <w:hideMark/>
          </w:tcPr>
          <w:p w14:paraId="79B4226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0E9A05D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5DE08C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FFFCC"/>
            <w:noWrap/>
            <w:vAlign w:val="center"/>
            <w:hideMark/>
          </w:tcPr>
          <w:p w14:paraId="7202A82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FFFFCC"/>
            <w:noWrap/>
            <w:vAlign w:val="center"/>
            <w:hideMark/>
          </w:tcPr>
          <w:p w14:paraId="6AFAE54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auto" w:fill="auto"/>
            <w:noWrap/>
            <w:vAlign w:val="center"/>
            <w:hideMark/>
          </w:tcPr>
          <w:p w14:paraId="363A6BF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7A4C01B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000000" w:fill="FFFFCC"/>
            <w:noWrap/>
            <w:vAlign w:val="center"/>
            <w:hideMark/>
          </w:tcPr>
          <w:p w14:paraId="50EA014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88" w:type="pct"/>
            <w:tcBorders>
              <w:top w:val="nil"/>
              <w:left w:val="nil"/>
              <w:bottom w:val="single" w:sz="4" w:space="0" w:color="auto"/>
              <w:right w:val="single" w:sz="4" w:space="0" w:color="auto"/>
            </w:tcBorders>
            <w:shd w:val="clear" w:color="auto" w:fill="auto"/>
            <w:noWrap/>
            <w:vAlign w:val="center"/>
            <w:hideMark/>
          </w:tcPr>
          <w:p w14:paraId="3C3ECA3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000000" w:fill="FFFFCC"/>
            <w:noWrap/>
            <w:vAlign w:val="center"/>
            <w:hideMark/>
          </w:tcPr>
          <w:p w14:paraId="4FDFA0C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10" w:type="pct"/>
            <w:tcBorders>
              <w:top w:val="nil"/>
              <w:left w:val="nil"/>
              <w:bottom w:val="single" w:sz="4" w:space="0" w:color="auto"/>
              <w:right w:val="single" w:sz="4" w:space="0" w:color="auto"/>
            </w:tcBorders>
            <w:shd w:val="clear" w:color="auto" w:fill="auto"/>
            <w:noWrap/>
            <w:vAlign w:val="center"/>
            <w:hideMark/>
          </w:tcPr>
          <w:p w14:paraId="5126D59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59DDEF8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323A114A"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78B60D29"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000000" w:fill="FFFFCC"/>
            <w:noWrap/>
            <w:vAlign w:val="center"/>
            <w:hideMark/>
          </w:tcPr>
          <w:p w14:paraId="7B23D07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r>
      <w:tr w:rsidR="001B2B98" w:rsidRPr="009A4EA5" w14:paraId="7208DE01" w14:textId="77777777" w:rsidTr="00D111DC">
        <w:trPr>
          <w:trHeight w:val="780"/>
        </w:trPr>
        <w:tc>
          <w:tcPr>
            <w:tcW w:w="606" w:type="pct"/>
            <w:tcBorders>
              <w:top w:val="nil"/>
              <w:left w:val="single" w:sz="4" w:space="0" w:color="auto"/>
              <w:bottom w:val="single" w:sz="4" w:space="0" w:color="auto"/>
              <w:right w:val="single" w:sz="4" w:space="0" w:color="auto"/>
            </w:tcBorders>
            <w:shd w:val="clear" w:color="000000" w:fill="FFFFCC"/>
            <w:vAlign w:val="center"/>
            <w:hideMark/>
          </w:tcPr>
          <w:p w14:paraId="4B90FB59"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(Economic) Productivity of the system; PT operators’ expenditures and funds; Operational costs of PT</w:t>
            </w:r>
          </w:p>
        </w:tc>
        <w:tc>
          <w:tcPr>
            <w:tcW w:w="203" w:type="pct"/>
            <w:tcBorders>
              <w:top w:val="nil"/>
              <w:left w:val="nil"/>
              <w:bottom w:val="single" w:sz="4" w:space="0" w:color="auto"/>
              <w:right w:val="single" w:sz="4" w:space="0" w:color="auto"/>
            </w:tcBorders>
            <w:shd w:val="clear" w:color="000000" w:fill="FFFFCC"/>
            <w:noWrap/>
            <w:vAlign w:val="center"/>
            <w:hideMark/>
          </w:tcPr>
          <w:p w14:paraId="14075EF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79D24D0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FFFFCC"/>
            <w:noWrap/>
            <w:vAlign w:val="center"/>
            <w:hideMark/>
          </w:tcPr>
          <w:p w14:paraId="13E284C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FFFFCC"/>
            <w:noWrap/>
            <w:vAlign w:val="center"/>
            <w:hideMark/>
          </w:tcPr>
          <w:p w14:paraId="740B870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7946EF4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31556BF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351B334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FFFFCC"/>
            <w:noWrap/>
            <w:vAlign w:val="center"/>
            <w:hideMark/>
          </w:tcPr>
          <w:p w14:paraId="6F8BEBA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65DB9DC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542070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115A3C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FFFCC"/>
            <w:noWrap/>
            <w:vAlign w:val="center"/>
            <w:hideMark/>
          </w:tcPr>
          <w:p w14:paraId="76385D7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000000" w:fill="FFFFCC"/>
            <w:noWrap/>
            <w:vAlign w:val="center"/>
            <w:hideMark/>
          </w:tcPr>
          <w:p w14:paraId="6B6647B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000000" w:fill="FFFFCC"/>
            <w:noWrap/>
            <w:vAlign w:val="center"/>
            <w:hideMark/>
          </w:tcPr>
          <w:p w14:paraId="4DDB0FC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4" w:type="pct"/>
            <w:tcBorders>
              <w:top w:val="nil"/>
              <w:left w:val="nil"/>
              <w:bottom w:val="single" w:sz="4" w:space="0" w:color="auto"/>
              <w:right w:val="single" w:sz="4" w:space="0" w:color="auto"/>
            </w:tcBorders>
            <w:shd w:val="clear" w:color="auto" w:fill="auto"/>
            <w:noWrap/>
            <w:vAlign w:val="center"/>
            <w:hideMark/>
          </w:tcPr>
          <w:p w14:paraId="67F9115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591B44D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062BFCB1"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000000" w:fill="FFFFCC"/>
            <w:noWrap/>
            <w:vAlign w:val="center"/>
            <w:hideMark/>
          </w:tcPr>
          <w:p w14:paraId="6089C1F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5" w:type="pct"/>
            <w:tcBorders>
              <w:top w:val="nil"/>
              <w:left w:val="nil"/>
              <w:bottom w:val="single" w:sz="4" w:space="0" w:color="auto"/>
              <w:right w:val="single" w:sz="4" w:space="0" w:color="auto"/>
            </w:tcBorders>
            <w:shd w:val="clear" w:color="auto" w:fill="auto"/>
            <w:noWrap/>
            <w:vAlign w:val="bottom"/>
            <w:hideMark/>
          </w:tcPr>
          <w:p w14:paraId="1FE29B90"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5376A8B2"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0A32962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51B6EF58"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229BE1F8" w14:textId="77777777" w:rsidTr="00A729C7">
        <w:trPr>
          <w:trHeight w:val="481"/>
        </w:trPr>
        <w:tc>
          <w:tcPr>
            <w:tcW w:w="606" w:type="pct"/>
            <w:tcBorders>
              <w:top w:val="nil"/>
              <w:left w:val="single" w:sz="4" w:space="0" w:color="auto"/>
              <w:bottom w:val="single" w:sz="4" w:space="0" w:color="auto"/>
              <w:right w:val="single" w:sz="4" w:space="0" w:color="auto"/>
            </w:tcBorders>
            <w:shd w:val="clear" w:color="000000" w:fill="FFFFCC"/>
            <w:vAlign w:val="center"/>
            <w:hideMark/>
          </w:tcPr>
          <w:p w14:paraId="5939C0CD"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Productivity of PT modes</w:t>
            </w:r>
          </w:p>
        </w:tc>
        <w:tc>
          <w:tcPr>
            <w:tcW w:w="203" w:type="pct"/>
            <w:tcBorders>
              <w:top w:val="nil"/>
              <w:left w:val="nil"/>
              <w:bottom w:val="single" w:sz="4" w:space="0" w:color="auto"/>
              <w:right w:val="single" w:sz="4" w:space="0" w:color="auto"/>
            </w:tcBorders>
            <w:shd w:val="clear" w:color="auto" w:fill="auto"/>
            <w:noWrap/>
            <w:vAlign w:val="center"/>
            <w:hideMark/>
          </w:tcPr>
          <w:p w14:paraId="17A65CC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44306A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FFFFCC"/>
            <w:noWrap/>
            <w:vAlign w:val="center"/>
            <w:hideMark/>
          </w:tcPr>
          <w:p w14:paraId="7A62266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2267338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6C3179A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41157FF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70DB27D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293EEF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042885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376387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9602D0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9AC478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4141B62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10F6C0E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65532E9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43302EE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2A851789"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4EE4A9A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354D3F10"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6F792905"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1627875A"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058035C8"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6FF1A41F" w14:textId="77777777" w:rsidTr="00D111DC">
        <w:trPr>
          <w:trHeight w:val="290"/>
        </w:trPr>
        <w:tc>
          <w:tcPr>
            <w:tcW w:w="606" w:type="pct"/>
            <w:tcBorders>
              <w:top w:val="nil"/>
              <w:left w:val="single" w:sz="4" w:space="0" w:color="auto"/>
              <w:bottom w:val="single" w:sz="4" w:space="0" w:color="auto"/>
              <w:right w:val="single" w:sz="4" w:space="0" w:color="auto"/>
            </w:tcBorders>
            <w:shd w:val="clear" w:color="000000" w:fill="FFFFCC"/>
            <w:vAlign w:val="center"/>
            <w:hideMark/>
          </w:tcPr>
          <w:p w14:paraId="5138B64B"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PT operators’ revenues; Revenues</w:t>
            </w:r>
          </w:p>
        </w:tc>
        <w:tc>
          <w:tcPr>
            <w:tcW w:w="203" w:type="pct"/>
            <w:tcBorders>
              <w:top w:val="nil"/>
              <w:left w:val="nil"/>
              <w:bottom w:val="single" w:sz="4" w:space="0" w:color="auto"/>
              <w:right w:val="single" w:sz="4" w:space="0" w:color="auto"/>
            </w:tcBorders>
            <w:shd w:val="clear" w:color="auto" w:fill="auto"/>
            <w:noWrap/>
            <w:vAlign w:val="center"/>
            <w:hideMark/>
          </w:tcPr>
          <w:p w14:paraId="07B634D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416BF0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FFFFCC"/>
            <w:noWrap/>
            <w:vAlign w:val="center"/>
            <w:hideMark/>
          </w:tcPr>
          <w:p w14:paraId="27AC3B7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1572849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FFFFCC"/>
            <w:noWrap/>
            <w:vAlign w:val="center"/>
            <w:hideMark/>
          </w:tcPr>
          <w:p w14:paraId="6554B94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7E554D6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2988775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356FA2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AC88BA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AA36B7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A5E018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36C8CD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5663681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3E9E559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5B45492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0C14673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05C7663F"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4DAA2F2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14DF5105"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5633F798"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22AE66B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17A6AAC2"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3536AE8C" w14:textId="77777777" w:rsidTr="00A729C7">
        <w:trPr>
          <w:trHeight w:val="465"/>
        </w:trPr>
        <w:tc>
          <w:tcPr>
            <w:tcW w:w="606" w:type="pct"/>
            <w:tcBorders>
              <w:top w:val="nil"/>
              <w:left w:val="single" w:sz="4" w:space="0" w:color="auto"/>
              <w:bottom w:val="single" w:sz="4" w:space="0" w:color="auto"/>
              <w:right w:val="single" w:sz="4" w:space="0" w:color="auto"/>
            </w:tcBorders>
            <w:shd w:val="clear" w:color="000000" w:fill="FFFFCC"/>
            <w:vAlign w:val="center"/>
            <w:hideMark/>
          </w:tcPr>
          <w:p w14:paraId="24323CB0"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Transport costs and prices for users</w:t>
            </w:r>
          </w:p>
        </w:tc>
        <w:tc>
          <w:tcPr>
            <w:tcW w:w="203" w:type="pct"/>
            <w:tcBorders>
              <w:top w:val="nil"/>
              <w:left w:val="nil"/>
              <w:bottom w:val="single" w:sz="4" w:space="0" w:color="auto"/>
              <w:right w:val="single" w:sz="4" w:space="0" w:color="auto"/>
            </w:tcBorders>
            <w:shd w:val="clear" w:color="auto" w:fill="auto"/>
            <w:noWrap/>
            <w:vAlign w:val="center"/>
            <w:hideMark/>
          </w:tcPr>
          <w:p w14:paraId="364EF67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000000" w:fill="FFFFCC"/>
            <w:noWrap/>
            <w:vAlign w:val="center"/>
            <w:hideMark/>
          </w:tcPr>
          <w:p w14:paraId="0E530F5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23809F6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870E72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FFFFCC"/>
            <w:noWrap/>
            <w:vAlign w:val="center"/>
            <w:hideMark/>
          </w:tcPr>
          <w:p w14:paraId="3E5F77E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6F87215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2E16292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336437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3C80FB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D0EC7C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B11F17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A69E8A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6C0E465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7AAE9B3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1784FAE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000000" w:fill="FFFFCC"/>
            <w:noWrap/>
            <w:vAlign w:val="center"/>
            <w:hideMark/>
          </w:tcPr>
          <w:p w14:paraId="639B124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8" w:type="pct"/>
            <w:tcBorders>
              <w:top w:val="nil"/>
              <w:left w:val="nil"/>
              <w:bottom w:val="single" w:sz="4" w:space="0" w:color="auto"/>
              <w:right w:val="single" w:sz="4" w:space="0" w:color="auto"/>
            </w:tcBorders>
            <w:shd w:val="clear" w:color="auto" w:fill="auto"/>
            <w:noWrap/>
            <w:vAlign w:val="bottom"/>
            <w:hideMark/>
          </w:tcPr>
          <w:p w14:paraId="4F188F12"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7C35939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2E6C9AFE"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1782DB8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122C173F"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40847985"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10D51610" w14:textId="77777777" w:rsidTr="00A729C7">
        <w:trPr>
          <w:trHeight w:val="563"/>
        </w:trPr>
        <w:tc>
          <w:tcPr>
            <w:tcW w:w="606" w:type="pct"/>
            <w:tcBorders>
              <w:top w:val="nil"/>
              <w:left w:val="single" w:sz="4" w:space="0" w:color="auto"/>
              <w:bottom w:val="single" w:sz="4" w:space="0" w:color="auto"/>
              <w:right w:val="single" w:sz="4" w:space="0" w:color="auto"/>
            </w:tcBorders>
            <w:shd w:val="clear" w:color="000000" w:fill="FFFFCC"/>
            <w:vAlign w:val="center"/>
            <w:hideMark/>
          </w:tcPr>
          <w:p w14:paraId="0DD2F26D"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 xml:space="preserve">Transport costs for government; Infrastructure investment; Costs of urban transportation; </w:t>
            </w:r>
            <w:r w:rsidRPr="009A4EA5">
              <w:rPr>
                <w:color w:val="000000"/>
                <w:sz w:val="16"/>
                <w:szCs w:val="16"/>
                <w:lang w:eastAsia="es-ES"/>
              </w:rPr>
              <w:lastRenderedPageBreak/>
              <w:t>Economic development; Public expenditures &amp; investments in transport system; Budget</w:t>
            </w:r>
          </w:p>
        </w:tc>
        <w:tc>
          <w:tcPr>
            <w:tcW w:w="203" w:type="pct"/>
            <w:tcBorders>
              <w:top w:val="nil"/>
              <w:left w:val="nil"/>
              <w:bottom w:val="single" w:sz="4" w:space="0" w:color="auto"/>
              <w:right w:val="single" w:sz="4" w:space="0" w:color="auto"/>
            </w:tcBorders>
            <w:shd w:val="clear" w:color="auto" w:fill="auto"/>
            <w:noWrap/>
            <w:vAlign w:val="center"/>
            <w:hideMark/>
          </w:tcPr>
          <w:p w14:paraId="70AAF099"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lastRenderedPageBreak/>
              <w:t> </w:t>
            </w:r>
          </w:p>
        </w:tc>
        <w:tc>
          <w:tcPr>
            <w:tcW w:w="203" w:type="pct"/>
            <w:tcBorders>
              <w:top w:val="nil"/>
              <w:left w:val="nil"/>
              <w:bottom w:val="single" w:sz="4" w:space="0" w:color="auto"/>
              <w:right w:val="single" w:sz="4" w:space="0" w:color="auto"/>
            </w:tcBorders>
            <w:shd w:val="clear" w:color="000000" w:fill="FFFFCC"/>
            <w:noWrap/>
            <w:vAlign w:val="center"/>
            <w:hideMark/>
          </w:tcPr>
          <w:p w14:paraId="68DD15D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049BC77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7405C2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FFFFCC"/>
            <w:noWrap/>
            <w:vAlign w:val="center"/>
            <w:hideMark/>
          </w:tcPr>
          <w:p w14:paraId="2B1C0CE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6E28A1E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27D7476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08D9F37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C5EAC1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6FC081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FFFCC"/>
            <w:noWrap/>
            <w:vAlign w:val="center"/>
            <w:hideMark/>
          </w:tcPr>
          <w:p w14:paraId="4DCEC36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102C167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000000" w:fill="FFFFCC"/>
            <w:noWrap/>
            <w:vAlign w:val="center"/>
            <w:hideMark/>
          </w:tcPr>
          <w:p w14:paraId="0666ECB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3592CF6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5C2BE72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000000" w:fill="FFFFCC"/>
            <w:noWrap/>
            <w:vAlign w:val="center"/>
            <w:hideMark/>
          </w:tcPr>
          <w:p w14:paraId="1B50A91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8" w:type="pct"/>
            <w:tcBorders>
              <w:top w:val="nil"/>
              <w:left w:val="nil"/>
              <w:bottom w:val="single" w:sz="4" w:space="0" w:color="auto"/>
              <w:right w:val="single" w:sz="4" w:space="0" w:color="auto"/>
            </w:tcBorders>
            <w:shd w:val="clear" w:color="auto" w:fill="auto"/>
            <w:noWrap/>
            <w:vAlign w:val="bottom"/>
            <w:hideMark/>
          </w:tcPr>
          <w:p w14:paraId="007418A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000000" w:fill="FFFFCC"/>
            <w:noWrap/>
            <w:vAlign w:val="center"/>
            <w:hideMark/>
          </w:tcPr>
          <w:p w14:paraId="00E34A3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5" w:type="pct"/>
            <w:tcBorders>
              <w:top w:val="nil"/>
              <w:left w:val="nil"/>
              <w:bottom w:val="single" w:sz="4" w:space="0" w:color="auto"/>
              <w:right w:val="single" w:sz="4" w:space="0" w:color="auto"/>
            </w:tcBorders>
            <w:shd w:val="clear" w:color="auto" w:fill="auto"/>
            <w:noWrap/>
            <w:vAlign w:val="bottom"/>
            <w:hideMark/>
          </w:tcPr>
          <w:p w14:paraId="2AA3D22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FFFCC"/>
            <w:noWrap/>
            <w:vAlign w:val="center"/>
            <w:hideMark/>
          </w:tcPr>
          <w:p w14:paraId="69C1751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000000" w:fill="FFFFCC"/>
            <w:noWrap/>
            <w:vAlign w:val="center"/>
            <w:hideMark/>
          </w:tcPr>
          <w:p w14:paraId="3DB60C3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88" w:type="pct"/>
            <w:tcBorders>
              <w:top w:val="nil"/>
              <w:left w:val="nil"/>
              <w:bottom w:val="single" w:sz="4" w:space="0" w:color="auto"/>
              <w:right w:val="single" w:sz="8" w:space="0" w:color="auto"/>
            </w:tcBorders>
            <w:shd w:val="clear" w:color="auto" w:fill="auto"/>
            <w:noWrap/>
            <w:vAlign w:val="bottom"/>
            <w:hideMark/>
          </w:tcPr>
          <w:p w14:paraId="0C00AC0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2B16C390" w14:textId="77777777" w:rsidTr="00D111DC">
        <w:trPr>
          <w:trHeight w:val="290"/>
        </w:trPr>
        <w:tc>
          <w:tcPr>
            <w:tcW w:w="606" w:type="pct"/>
            <w:tcBorders>
              <w:top w:val="nil"/>
              <w:left w:val="single" w:sz="4" w:space="0" w:color="auto"/>
              <w:bottom w:val="single" w:sz="4" w:space="0" w:color="auto"/>
              <w:right w:val="single" w:sz="4" w:space="0" w:color="auto"/>
            </w:tcBorders>
            <w:shd w:val="clear" w:color="000000" w:fill="FFFFCC"/>
            <w:vAlign w:val="center"/>
            <w:hideMark/>
          </w:tcPr>
          <w:p w14:paraId="59BC2526"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Employment</w:t>
            </w:r>
          </w:p>
        </w:tc>
        <w:tc>
          <w:tcPr>
            <w:tcW w:w="203" w:type="pct"/>
            <w:tcBorders>
              <w:top w:val="nil"/>
              <w:left w:val="nil"/>
              <w:bottom w:val="single" w:sz="4" w:space="0" w:color="auto"/>
              <w:right w:val="single" w:sz="4" w:space="0" w:color="auto"/>
            </w:tcBorders>
            <w:shd w:val="clear" w:color="auto" w:fill="auto"/>
            <w:noWrap/>
            <w:vAlign w:val="center"/>
            <w:hideMark/>
          </w:tcPr>
          <w:p w14:paraId="21EA0BA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ACCFDC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52F758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FFFCC"/>
            <w:noWrap/>
            <w:vAlign w:val="center"/>
            <w:hideMark/>
          </w:tcPr>
          <w:p w14:paraId="58BDBB6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01CA363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458E4B0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7EE1E34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3AD8019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BC0E02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16344A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84CAAE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044642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2AC2755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011BA62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1CC1039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33B2F21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72FE8A4C"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2A0C8CA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3E7D528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68D355FC"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FFFCC"/>
            <w:noWrap/>
            <w:vAlign w:val="center"/>
            <w:hideMark/>
          </w:tcPr>
          <w:p w14:paraId="0E96A20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88" w:type="pct"/>
            <w:tcBorders>
              <w:top w:val="nil"/>
              <w:left w:val="nil"/>
              <w:bottom w:val="single" w:sz="4" w:space="0" w:color="auto"/>
              <w:right w:val="single" w:sz="8" w:space="0" w:color="auto"/>
            </w:tcBorders>
            <w:shd w:val="clear" w:color="auto" w:fill="auto"/>
            <w:noWrap/>
            <w:vAlign w:val="bottom"/>
            <w:hideMark/>
          </w:tcPr>
          <w:p w14:paraId="43D3B01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1EA68806" w14:textId="77777777" w:rsidTr="00A729C7">
        <w:trPr>
          <w:trHeight w:val="835"/>
        </w:trPr>
        <w:tc>
          <w:tcPr>
            <w:tcW w:w="606" w:type="pct"/>
            <w:tcBorders>
              <w:top w:val="nil"/>
              <w:left w:val="single" w:sz="4" w:space="0" w:color="auto"/>
              <w:bottom w:val="single" w:sz="8" w:space="0" w:color="auto"/>
              <w:right w:val="single" w:sz="4" w:space="0" w:color="auto"/>
            </w:tcBorders>
            <w:shd w:val="clear" w:color="000000" w:fill="FFFFCC"/>
            <w:vAlign w:val="center"/>
            <w:hideMark/>
          </w:tcPr>
          <w:p w14:paraId="23592C0D"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Efficiency of operations; Resource efficiency; Transport economic efficiency</w:t>
            </w:r>
          </w:p>
        </w:tc>
        <w:tc>
          <w:tcPr>
            <w:tcW w:w="203" w:type="pct"/>
            <w:tcBorders>
              <w:top w:val="nil"/>
              <w:left w:val="nil"/>
              <w:bottom w:val="single" w:sz="8" w:space="0" w:color="auto"/>
              <w:right w:val="single" w:sz="4" w:space="0" w:color="auto"/>
            </w:tcBorders>
            <w:shd w:val="clear" w:color="auto" w:fill="auto"/>
            <w:noWrap/>
            <w:vAlign w:val="center"/>
            <w:hideMark/>
          </w:tcPr>
          <w:p w14:paraId="2EFBC62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0BEE1220"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473A196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1AEE9FE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4F7A107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8" w:space="0" w:color="auto"/>
              <w:right w:val="single" w:sz="4" w:space="0" w:color="auto"/>
            </w:tcBorders>
            <w:shd w:val="clear" w:color="000000" w:fill="FFFFCC"/>
            <w:noWrap/>
            <w:vAlign w:val="center"/>
            <w:hideMark/>
          </w:tcPr>
          <w:p w14:paraId="18D6055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0" w:type="pct"/>
            <w:tcBorders>
              <w:top w:val="nil"/>
              <w:left w:val="nil"/>
              <w:bottom w:val="single" w:sz="8" w:space="0" w:color="auto"/>
              <w:right w:val="single" w:sz="4" w:space="0" w:color="auto"/>
            </w:tcBorders>
            <w:shd w:val="clear" w:color="auto" w:fill="auto"/>
            <w:noWrap/>
            <w:vAlign w:val="center"/>
            <w:hideMark/>
          </w:tcPr>
          <w:p w14:paraId="6596995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5D8673A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0A10AD7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3CDB33C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405E1DB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000000" w:fill="FFFFCC"/>
            <w:noWrap/>
            <w:vAlign w:val="center"/>
            <w:hideMark/>
          </w:tcPr>
          <w:p w14:paraId="75A6560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8" w:space="0" w:color="auto"/>
              <w:right w:val="single" w:sz="4" w:space="0" w:color="auto"/>
            </w:tcBorders>
            <w:shd w:val="clear" w:color="auto" w:fill="auto"/>
            <w:noWrap/>
            <w:vAlign w:val="center"/>
            <w:hideMark/>
          </w:tcPr>
          <w:p w14:paraId="093E7FD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8" w:space="0" w:color="auto"/>
              <w:right w:val="single" w:sz="4" w:space="0" w:color="auto"/>
            </w:tcBorders>
            <w:shd w:val="clear" w:color="auto" w:fill="auto"/>
            <w:noWrap/>
            <w:vAlign w:val="center"/>
            <w:hideMark/>
          </w:tcPr>
          <w:p w14:paraId="3DBB315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8" w:space="0" w:color="auto"/>
              <w:right w:val="single" w:sz="4" w:space="0" w:color="auto"/>
            </w:tcBorders>
            <w:shd w:val="clear" w:color="auto" w:fill="auto"/>
            <w:noWrap/>
            <w:vAlign w:val="center"/>
            <w:hideMark/>
          </w:tcPr>
          <w:p w14:paraId="5160FFC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8" w:space="0" w:color="auto"/>
              <w:right w:val="single" w:sz="4" w:space="0" w:color="auto"/>
            </w:tcBorders>
            <w:shd w:val="clear" w:color="auto" w:fill="auto"/>
            <w:noWrap/>
            <w:vAlign w:val="center"/>
            <w:hideMark/>
          </w:tcPr>
          <w:p w14:paraId="1141EE2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8" w:space="0" w:color="auto"/>
              <w:right w:val="single" w:sz="4" w:space="0" w:color="auto"/>
            </w:tcBorders>
            <w:shd w:val="clear" w:color="000000" w:fill="FFFFCC"/>
            <w:noWrap/>
            <w:vAlign w:val="center"/>
            <w:hideMark/>
          </w:tcPr>
          <w:p w14:paraId="29594A9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10" w:type="pct"/>
            <w:tcBorders>
              <w:top w:val="nil"/>
              <w:left w:val="nil"/>
              <w:bottom w:val="single" w:sz="8" w:space="0" w:color="auto"/>
              <w:right w:val="single" w:sz="4" w:space="0" w:color="auto"/>
            </w:tcBorders>
            <w:shd w:val="clear" w:color="auto" w:fill="auto"/>
            <w:noWrap/>
            <w:vAlign w:val="center"/>
            <w:hideMark/>
          </w:tcPr>
          <w:p w14:paraId="618F848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8" w:space="0" w:color="auto"/>
              <w:right w:val="single" w:sz="4" w:space="0" w:color="auto"/>
            </w:tcBorders>
            <w:shd w:val="clear" w:color="auto" w:fill="auto"/>
            <w:noWrap/>
            <w:vAlign w:val="bottom"/>
            <w:hideMark/>
          </w:tcPr>
          <w:p w14:paraId="59DD2589"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000000" w:fill="FFFFCC"/>
            <w:noWrap/>
            <w:vAlign w:val="center"/>
            <w:hideMark/>
          </w:tcPr>
          <w:p w14:paraId="13F5CC7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8" w:space="0" w:color="auto"/>
              <w:right w:val="single" w:sz="4" w:space="0" w:color="auto"/>
            </w:tcBorders>
            <w:shd w:val="clear" w:color="auto" w:fill="auto"/>
            <w:noWrap/>
            <w:vAlign w:val="bottom"/>
            <w:hideMark/>
          </w:tcPr>
          <w:p w14:paraId="57B1C6F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8" w:space="0" w:color="auto"/>
              <w:right w:val="single" w:sz="8" w:space="0" w:color="auto"/>
            </w:tcBorders>
            <w:shd w:val="clear" w:color="auto" w:fill="auto"/>
            <w:noWrap/>
            <w:vAlign w:val="bottom"/>
            <w:hideMark/>
          </w:tcPr>
          <w:p w14:paraId="5A2A2A5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6FE11119" w14:textId="77777777" w:rsidTr="00191B2F">
        <w:trPr>
          <w:trHeight w:val="300"/>
        </w:trPr>
        <w:tc>
          <w:tcPr>
            <w:tcW w:w="5000" w:type="pct"/>
            <w:gridSpan w:val="23"/>
            <w:tcBorders>
              <w:top w:val="single" w:sz="8" w:space="0" w:color="auto"/>
              <w:left w:val="single" w:sz="8" w:space="0" w:color="auto"/>
              <w:bottom w:val="single" w:sz="8" w:space="0" w:color="auto"/>
              <w:right w:val="nil"/>
            </w:tcBorders>
            <w:shd w:val="clear" w:color="000000" w:fill="ADADAD"/>
            <w:vAlign w:val="center"/>
            <w:hideMark/>
          </w:tcPr>
          <w:p w14:paraId="75BD07CC" w14:textId="77777777" w:rsidR="001B2B98" w:rsidRPr="009A4EA5" w:rsidRDefault="001B2B98" w:rsidP="00191B2F">
            <w:pPr>
              <w:spacing w:line="240" w:lineRule="auto"/>
              <w:jc w:val="center"/>
              <w:rPr>
                <w:b/>
                <w:bCs/>
                <w:color w:val="000000"/>
                <w:sz w:val="20"/>
                <w:szCs w:val="20"/>
                <w:lang w:eastAsia="es-ES"/>
              </w:rPr>
            </w:pPr>
            <w:r w:rsidRPr="009A4EA5">
              <w:rPr>
                <w:b/>
                <w:bCs/>
                <w:color w:val="000000"/>
                <w:sz w:val="20"/>
                <w:szCs w:val="20"/>
                <w:lang w:eastAsia="es-ES"/>
              </w:rPr>
              <w:t>Governance and Integrated Transport Planning</w:t>
            </w:r>
          </w:p>
        </w:tc>
      </w:tr>
      <w:tr w:rsidR="001B2B98" w:rsidRPr="009A4EA5" w14:paraId="17B5F00A" w14:textId="77777777" w:rsidTr="00D111DC">
        <w:trPr>
          <w:trHeight w:val="980"/>
        </w:trPr>
        <w:tc>
          <w:tcPr>
            <w:tcW w:w="606" w:type="pct"/>
            <w:tcBorders>
              <w:top w:val="nil"/>
              <w:left w:val="single" w:sz="4" w:space="0" w:color="auto"/>
              <w:bottom w:val="single" w:sz="4" w:space="0" w:color="auto"/>
              <w:right w:val="single" w:sz="4" w:space="0" w:color="auto"/>
            </w:tcBorders>
            <w:shd w:val="clear" w:color="000000" w:fill="F2F2F2"/>
            <w:vAlign w:val="center"/>
            <w:hideMark/>
          </w:tcPr>
          <w:p w14:paraId="2859CCD1"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Efficient use of space; Urban model; Urban planning and land-uses; Integration of land use/transport planning</w:t>
            </w:r>
          </w:p>
        </w:tc>
        <w:tc>
          <w:tcPr>
            <w:tcW w:w="203" w:type="pct"/>
            <w:tcBorders>
              <w:top w:val="nil"/>
              <w:left w:val="nil"/>
              <w:bottom w:val="single" w:sz="4" w:space="0" w:color="auto"/>
              <w:right w:val="single" w:sz="4" w:space="0" w:color="auto"/>
            </w:tcBorders>
            <w:shd w:val="clear" w:color="auto" w:fill="auto"/>
            <w:noWrap/>
            <w:vAlign w:val="bottom"/>
            <w:hideMark/>
          </w:tcPr>
          <w:p w14:paraId="18133496"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3D51CF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11C5B5C2"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8DA8E8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39A634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74DE6D6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000000" w:fill="F2F2F2"/>
            <w:noWrap/>
            <w:vAlign w:val="center"/>
            <w:hideMark/>
          </w:tcPr>
          <w:p w14:paraId="141822D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2" w:type="pct"/>
            <w:tcBorders>
              <w:top w:val="nil"/>
              <w:left w:val="nil"/>
              <w:bottom w:val="single" w:sz="4" w:space="0" w:color="auto"/>
              <w:right w:val="single" w:sz="4" w:space="0" w:color="auto"/>
            </w:tcBorders>
            <w:shd w:val="clear" w:color="auto" w:fill="auto"/>
            <w:noWrap/>
            <w:vAlign w:val="center"/>
            <w:hideMark/>
          </w:tcPr>
          <w:p w14:paraId="7CFDA03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28F95A5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10AAF9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2F2F2"/>
            <w:noWrap/>
            <w:vAlign w:val="center"/>
            <w:hideMark/>
          </w:tcPr>
          <w:p w14:paraId="11FE14D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5B7304D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000000" w:fill="F2F2F2"/>
            <w:noWrap/>
            <w:vAlign w:val="center"/>
            <w:hideMark/>
          </w:tcPr>
          <w:p w14:paraId="668D143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4D4E5AC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000000" w:fill="F2F2F2"/>
            <w:noWrap/>
            <w:vAlign w:val="center"/>
            <w:hideMark/>
          </w:tcPr>
          <w:p w14:paraId="51FE40D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88" w:type="pct"/>
            <w:tcBorders>
              <w:top w:val="nil"/>
              <w:left w:val="nil"/>
              <w:bottom w:val="single" w:sz="4" w:space="0" w:color="auto"/>
              <w:right w:val="single" w:sz="4" w:space="0" w:color="auto"/>
            </w:tcBorders>
            <w:shd w:val="clear" w:color="auto" w:fill="auto"/>
            <w:noWrap/>
            <w:vAlign w:val="center"/>
            <w:hideMark/>
          </w:tcPr>
          <w:p w14:paraId="220B48A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25F038B8"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0BBCA7D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5F7F9109"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3BEBED5F"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2F2F2"/>
            <w:noWrap/>
            <w:vAlign w:val="center"/>
            <w:hideMark/>
          </w:tcPr>
          <w:p w14:paraId="64FE2CF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88" w:type="pct"/>
            <w:tcBorders>
              <w:top w:val="nil"/>
              <w:left w:val="nil"/>
              <w:bottom w:val="single" w:sz="4" w:space="0" w:color="auto"/>
              <w:right w:val="single" w:sz="8" w:space="0" w:color="auto"/>
            </w:tcBorders>
            <w:shd w:val="clear" w:color="auto" w:fill="auto"/>
            <w:noWrap/>
            <w:vAlign w:val="bottom"/>
            <w:hideMark/>
          </w:tcPr>
          <w:p w14:paraId="060F6582"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78AF69C1" w14:textId="77777777" w:rsidTr="00D111DC">
        <w:trPr>
          <w:trHeight w:val="1020"/>
        </w:trPr>
        <w:tc>
          <w:tcPr>
            <w:tcW w:w="606" w:type="pct"/>
            <w:tcBorders>
              <w:top w:val="nil"/>
              <w:left w:val="single" w:sz="4" w:space="0" w:color="auto"/>
              <w:bottom w:val="single" w:sz="4" w:space="0" w:color="auto"/>
              <w:right w:val="single" w:sz="4" w:space="0" w:color="auto"/>
            </w:tcBorders>
            <w:shd w:val="clear" w:color="000000" w:fill="F2F2F2"/>
            <w:vAlign w:val="center"/>
            <w:hideMark/>
          </w:tcPr>
          <w:p w14:paraId="39C671DF"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Government and Community Involvement; Governance and public participation; Stakeholder involvement; Active citizens</w:t>
            </w:r>
          </w:p>
        </w:tc>
        <w:tc>
          <w:tcPr>
            <w:tcW w:w="203" w:type="pct"/>
            <w:tcBorders>
              <w:top w:val="nil"/>
              <w:left w:val="nil"/>
              <w:bottom w:val="single" w:sz="4" w:space="0" w:color="auto"/>
              <w:right w:val="single" w:sz="4" w:space="0" w:color="auto"/>
            </w:tcBorders>
            <w:shd w:val="clear" w:color="000000" w:fill="F2F2F2"/>
            <w:noWrap/>
            <w:vAlign w:val="center"/>
            <w:hideMark/>
          </w:tcPr>
          <w:p w14:paraId="0D0B415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03D7865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E48C31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8713840"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000000" w:fill="F2F2F2"/>
            <w:noWrap/>
            <w:vAlign w:val="center"/>
            <w:hideMark/>
          </w:tcPr>
          <w:p w14:paraId="3A87C27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5" w:type="pct"/>
            <w:tcBorders>
              <w:top w:val="nil"/>
              <w:left w:val="nil"/>
              <w:bottom w:val="single" w:sz="4" w:space="0" w:color="auto"/>
              <w:right w:val="single" w:sz="4" w:space="0" w:color="auto"/>
            </w:tcBorders>
            <w:shd w:val="clear" w:color="auto" w:fill="auto"/>
            <w:noWrap/>
            <w:vAlign w:val="center"/>
            <w:hideMark/>
          </w:tcPr>
          <w:p w14:paraId="053D546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1CDC048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3FA78F3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A2DB30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639038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4494DE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2F2F2"/>
            <w:noWrap/>
            <w:vAlign w:val="center"/>
            <w:hideMark/>
          </w:tcPr>
          <w:p w14:paraId="7B3E540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4" w:space="0" w:color="auto"/>
              <w:right w:val="single" w:sz="4" w:space="0" w:color="auto"/>
            </w:tcBorders>
            <w:shd w:val="clear" w:color="000000" w:fill="F2F2F2"/>
            <w:noWrap/>
            <w:vAlign w:val="center"/>
            <w:hideMark/>
          </w:tcPr>
          <w:p w14:paraId="212BA5A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4" w:space="0" w:color="auto"/>
              <w:right w:val="single" w:sz="4" w:space="0" w:color="auto"/>
            </w:tcBorders>
            <w:shd w:val="clear" w:color="auto" w:fill="auto"/>
            <w:noWrap/>
            <w:vAlign w:val="center"/>
            <w:hideMark/>
          </w:tcPr>
          <w:p w14:paraId="227FE32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1F39E19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0A909EA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692307A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7FE90766"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29CDD8AE"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2F2F2"/>
            <w:noWrap/>
            <w:vAlign w:val="center"/>
            <w:hideMark/>
          </w:tcPr>
          <w:p w14:paraId="58FE522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bottom"/>
            <w:hideMark/>
          </w:tcPr>
          <w:p w14:paraId="2FA315FC"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1E8F40A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481684F7" w14:textId="77777777" w:rsidTr="00A729C7">
        <w:trPr>
          <w:trHeight w:val="866"/>
        </w:trPr>
        <w:tc>
          <w:tcPr>
            <w:tcW w:w="606" w:type="pct"/>
            <w:tcBorders>
              <w:top w:val="nil"/>
              <w:left w:val="single" w:sz="4" w:space="0" w:color="auto"/>
              <w:bottom w:val="single" w:sz="4" w:space="0" w:color="auto"/>
              <w:right w:val="single" w:sz="4" w:space="0" w:color="auto"/>
            </w:tcBorders>
            <w:shd w:val="clear" w:color="000000" w:fill="F2F2F2"/>
            <w:vAlign w:val="center"/>
            <w:hideMark/>
          </w:tcPr>
          <w:p w14:paraId="7C790852"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Measures to improve transport sustainability; Land use restriction policies</w:t>
            </w:r>
          </w:p>
        </w:tc>
        <w:tc>
          <w:tcPr>
            <w:tcW w:w="203" w:type="pct"/>
            <w:tcBorders>
              <w:top w:val="nil"/>
              <w:left w:val="nil"/>
              <w:bottom w:val="single" w:sz="4" w:space="0" w:color="auto"/>
              <w:right w:val="single" w:sz="4" w:space="0" w:color="auto"/>
            </w:tcBorders>
            <w:shd w:val="clear" w:color="auto" w:fill="auto"/>
            <w:noWrap/>
            <w:vAlign w:val="bottom"/>
            <w:hideMark/>
          </w:tcPr>
          <w:p w14:paraId="4A4131B1"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21C2F8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4E588B9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35F0CEA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23443C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5A1990E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21D88C6A"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0B8F959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1E6A04CB"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44691CC"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025425D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713C5DB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33E3AFD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174" w:type="pct"/>
            <w:tcBorders>
              <w:top w:val="nil"/>
              <w:left w:val="nil"/>
              <w:bottom w:val="single" w:sz="4" w:space="0" w:color="auto"/>
              <w:right w:val="single" w:sz="4" w:space="0" w:color="auto"/>
            </w:tcBorders>
            <w:shd w:val="clear" w:color="000000" w:fill="F2F2F2"/>
            <w:noWrap/>
            <w:vAlign w:val="center"/>
            <w:hideMark/>
          </w:tcPr>
          <w:p w14:paraId="40DE8A3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4" w:type="pct"/>
            <w:tcBorders>
              <w:top w:val="nil"/>
              <w:left w:val="nil"/>
              <w:bottom w:val="single" w:sz="4" w:space="0" w:color="auto"/>
              <w:right w:val="single" w:sz="4" w:space="0" w:color="auto"/>
            </w:tcBorders>
            <w:shd w:val="clear" w:color="auto" w:fill="auto"/>
            <w:noWrap/>
            <w:vAlign w:val="center"/>
            <w:hideMark/>
          </w:tcPr>
          <w:p w14:paraId="34699DD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52D9724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7B0330CA"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4473AB6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24831ED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55427C63"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72AAC5D7"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1C74CE2E"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79493963" w14:textId="77777777" w:rsidTr="00A729C7">
        <w:trPr>
          <w:trHeight w:val="821"/>
        </w:trPr>
        <w:tc>
          <w:tcPr>
            <w:tcW w:w="606" w:type="pct"/>
            <w:tcBorders>
              <w:top w:val="nil"/>
              <w:left w:val="single" w:sz="4" w:space="0" w:color="auto"/>
              <w:bottom w:val="single" w:sz="8" w:space="0" w:color="auto"/>
              <w:right w:val="single" w:sz="4" w:space="0" w:color="auto"/>
            </w:tcBorders>
            <w:shd w:val="clear" w:color="000000" w:fill="F2F2F2"/>
            <w:vAlign w:val="center"/>
            <w:hideMark/>
          </w:tcPr>
          <w:p w14:paraId="22F7D1CC"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Institutional development; Government efficiency; Institutional aspects</w:t>
            </w:r>
          </w:p>
        </w:tc>
        <w:tc>
          <w:tcPr>
            <w:tcW w:w="203" w:type="pct"/>
            <w:tcBorders>
              <w:top w:val="nil"/>
              <w:left w:val="nil"/>
              <w:bottom w:val="single" w:sz="8" w:space="0" w:color="auto"/>
              <w:right w:val="single" w:sz="4" w:space="0" w:color="auto"/>
            </w:tcBorders>
            <w:shd w:val="clear" w:color="auto" w:fill="auto"/>
            <w:noWrap/>
            <w:vAlign w:val="bottom"/>
            <w:hideMark/>
          </w:tcPr>
          <w:p w14:paraId="18383F53" w14:textId="77777777" w:rsidR="001B2B98" w:rsidRPr="009A4EA5" w:rsidRDefault="001B2B98" w:rsidP="00191B2F">
            <w:pPr>
              <w:spacing w:line="240" w:lineRule="auto"/>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40E2202E"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3DF9540F"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211AAB01"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171EF9E4"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5" w:type="pct"/>
            <w:tcBorders>
              <w:top w:val="nil"/>
              <w:left w:val="nil"/>
              <w:bottom w:val="single" w:sz="8" w:space="0" w:color="auto"/>
              <w:right w:val="single" w:sz="4" w:space="0" w:color="auto"/>
            </w:tcBorders>
            <w:shd w:val="clear" w:color="auto" w:fill="auto"/>
            <w:noWrap/>
            <w:vAlign w:val="center"/>
            <w:hideMark/>
          </w:tcPr>
          <w:p w14:paraId="1A655FF8"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0" w:type="pct"/>
            <w:tcBorders>
              <w:top w:val="nil"/>
              <w:left w:val="nil"/>
              <w:bottom w:val="single" w:sz="8" w:space="0" w:color="auto"/>
              <w:right w:val="single" w:sz="4" w:space="0" w:color="auto"/>
            </w:tcBorders>
            <w:shd w:val="clear" w:color="auto" w:fill="auto"/>
            <w:noWrap/>
            <w:vAlign w:val="center"/>
            <w:hideMark/>
          </w:tcPr>
          <w:p w14:paraId="3E1F732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579172A3"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01E7BE65"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327FE0BD"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6EDD8767" w14:textId="77777777" w:rsidR="001B2B98" w:rsidRPr="009A4EA5" w:rsidRDefault="001B2B98" w:rsidP="00191B2F">
            <w:pPr>
              <w:spacing w:line="240" w:lineRule="auto"/>
              <w:jc w:val="center"/>
              <w:rPr>
                <w:color w:val="000000"/>
                <w:sz w:val="16"/>
                <w:szCs w:val="16"/>
                <w:lang w:val="en-US" w:eastAsia="es-ES"/>
              </w:rPr>
            </w:pPr>
            <w:r w:rsidRPr="009A4EA5">
              <w:rPr>
                <w:color w:val="000000"/>
                <w:sz w:val="16"/>
                <w:szCs w:val="16"/>
                <w:lang w:val="en-US" w:eastAsia="es-ES"/>
              </w:rPr>
              <w:t> </w:t>
            </w:r>
          </w:p>
        </w:tc>
        <w:tc>
          <w:tcPr>
            <w:tcW w:w="203" w:type="pct"/>
            <w:tcBorders>
              <w:top w:val="nil"/>
              <w:left w:val="nil"/>
              <w:bottom w:val="single" w:sz="8" w:space="0" w:color="auto"/>
              <w:right w:val="single" w:sz="4" w:space="0" w:color="auto"/>
            </w:tcBorders>
            <w:shd w:val="clear" w:color="000000" w:fill="F2F2F2"/>
            <w:noWrap/>
            <w:vAlign w:val="center"/>
            <w:hideMark/>
          </w:tcPr>
          <w:p w14:paraId="43A07BF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99" w:type="pct"/>
            <w:tcBorders>
              <w:top w:val="nil"/>
              <w:left w:val="nil"/>
              <w:bottom w:val="single" w:sz="8" w:space="0" w:color="auto"/>
              <w:right w:val="single" w:sz="4" w:space="0" w:color="auto"/>
            </w:tcBorders>
            <w:shd w:val="clear" w:color="000000" w:fill="F2F2F2"/>
            <w:noWrap/>
            <w:vAlign w:val="center"/>
            <w:hideMark/>
          </w:tcPr>
          <w:p w14:paraId="7EC0B52D"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8" w:space="0" w:color="auto"/>
              <w:right w:val="single" w:sz="4" w:space="0" w:color="auto"/>
            </w:tcBorders>
            <w:shd w:val="clear" w:color="auto" w:fill="auto"/>
            <w:noWrap/>
            <w:vAlign w:val="center"/>
            <w:hideMark/>
          </w:tcPr>
          <w:p w14:paraId="41F3889E"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8" w:space="0" w:color="auto"/>
              <w:right w:val="single" w:sz="4" w:space="0" w:color="auto"/>
            </w:tcBorders>
            <w:shd w:val="clear" w:color="auto" w:fill="auto"/>
            <w:noWrap/>
            <w:vAlign w:val="center"/>
            <w:hideMark/>
          </w:tcPr>
          <w:p w14:paraId="36CCE63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8" w:space="0" w:color="auto"/>
              <w:right w:val="single" w:sz="4" w:space="0" w:color="auto"/>
            </w:tcBorders>
            <w:shd w:val="clear" w:color="auto" w:fill="auto"/>
            <w:noWrap/>
            <w:vAlign w:val="center"/>
            <w:hideMark/>
          </w:tcPr>
          <w:p w14:paraId="6DA9D85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8" w:space="0" w:color="auto"/>
              <w:right w:val="single" w:sz="4" w:space="0" w:color="auto"/>
            </w:tcBorders>
            <w:shd w:val="clear" w:color="auto" w:fill="auto"/>
            <w:noWrap/>
            <w:vAlign w:val="bottom"/>
            <w:hideMark/>
          </w:tcPr>
          <w:p w14:paraId="27DDC9E4"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8" w:space="0" w:color="auto"/>
              <w:right w:val="single" w:sz="4" w:space="0" w:color="auto"/>
            </w:tcBorders>
            <w:shd w:val="clear" w:color="auto" w:fill="auto"/>
            <w:noWrap/>
            <w:vAlign w:val="center"/>
            <w:hideMark/>
          </w:tcPr>
          <w:p w14:paraId="0296F78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8" w:space="0" w:color="auto"/>
              <w:right w:val="single" w:sz="4" w:space="0" w:color="auto"/>
            </w:tcBorders>
            <w:shd w:val="clear" w:color="auto" w:fill="auto"/>
            <w:noWrap/>
            <w:vAlign w:val="bottom"/>
            <w:hideMark/>
          </w:tcPr>
          <w:p w14:paraId="74A3161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bottom"/>
            <w:hideMark/>
          </w:tcPr>
          <w:p w14:paraId="2F934999"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bottom"/>
            <w:hideMark/>
          </w:tcPr>
          <w:p w14:paraId="407B49E0"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8" w:space="0" w:color="auto"/>
              <w:right w:val="single" w:sz="8" w:space="0" w:color="auto"/>
            </w:tcBorders>
            <w:shd w:val="clear" w:color="auto" w:fill="auto"/>
            <w:noWrap/>
            <w:vAlign w:val="bottom"/>
            <w:hideMark/>
          </w:tcPr>
          <w:p w14:paraId="54CDE14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62E08C79" w14:textId="77777777" w:rsidTr="00191B2F">
        <w:trPr>
          <w:trHeight w:val="300"/>
        </w:trPr>
        <w:tc>
          <w:tcPr>
            <w:tcW w:w="5000" w:type="pct"/>
            <w:gridSpan w:val="23"/>
            <w:tcBorders>
              <w:top w:val="single" w:sz="8" w:space="0" w:color="auto"/>
              <w:left w:val="single" w:sz="8" w:space="0" w:color="auto"/>
              <w:bottom w:val="single" w:sz="8" w:space="0" w:color="auto"/>
              <w:right w:val="nil"/>
            </w:tcBorders>
            <w:shd w:val="clear" w:color="000000" w:fill="D86DCD"/>
            <w:vAlign w:val="center"/>
            <w:hideMark/>
          </w:tcPr>
          <w:p w14:paraId="092B72D2" w14:textId="77777777" w:rsidR="001B2B98" w:rsidRPr="009A4EA5" w:rsidRDefault="001B2B98" w:rsidP="00191B2F">
            <w:pPr>
              <w:spacing w:line="240" w:lineRule="auto"/>
              <w:jc w:val="center"/>
              <w:rPr>
                <w:b/>
                <w:bCs/>
                <w:color w:val="000000"/>
                <w:sz w:val="20"/>
                <w:szCs w:val="20"/>
                <w:lang w:eastAsia="es-ES"/>
              </w:rPr>
            </w:pPr>
            <w:r w:rsidRPr="009A4EA5">
              <w:rPr>
                <w:b/>
                <w:bCs/>
                <w:color w:val="000000"/>
                <w:sz w:val="20"/>
                <w:szCs w:val="20"/>
                <w:lang w:eastAsia="es-ES"/>
              </w:rPr>
              <w:t>General socio/economic information</w:t>
            </w:r>
          </w:p>
        </w:tc>
      </w:tr>
      <w:tr w:rsidR="001B2B98" w:rsidRPr="009A4EA5" w14:paraId="25771F95" w14:textId="77777777" w:rsidTr="00A729C7">
        <w:trPr>
          <w:trHeight w:val="389"/>
        </w:trPr>
        <w:tc>
          <w:tcPr>
            <w:tcW w:w="606" w:type="pct"/>
            <w:tcBorders>
              <w:top w:val="nil"/>
              <w:left w:val="single" w:sz="4" w:space="0" w:color="auto"/>
              <w:bottom w:val="single" w:sz="4" w:space="0" w:color="auto"/>
              <w:right w:val="single" w:sz="4" w:space="0" w:color="auto"/>
            </w:tcBorders>
            <w:shd w:val="clear" w:color="000000" w:fill="F2CEEF"/>
            <w:vAlign w:val="center"/>
            <w:hideMark/>
          </w:tcPr>
          <w:p w14:paraId="5B79E1E9"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Urban economic development</w:t>
            </w:r>
          </w:p>
        </w:tc>
        <w:tc>
          <w:tcPr>
            <w:tcW w:w="203" w:type="pct"/>
            <w:tcBorders>
              <w:top w:val="nil"/>
              <w:left w:val="nil"/>
              <w:bottom w:val="single" w:sz="4" w:space="0" w:color="auto"/>
              <w:right w:val="single" w:sz="4" w:space="0" w:color="auto"/>
            </w:tcBorders>
            <w:shd w:val="clear" w:color="auto" w:fill="auto"/>
            <w:noWrap/>
            <w:vAlign w:val="bottom"/>
            <w:hideMark/>
          </w:tcPr>
          <w:p w14:paraId="6DDC8D52"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1266F4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7A881DF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52F2230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2E37D56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4" w:space="0" w:color="auto"/>
              <w:right w:val="single" w:sz="4" w:space="0" w:color="auto"/>
            </w:tcBorders>
            <w:shd w:val="clear" w:color="auto" w:fill="auto"/>
            <w:noWrap/>
            <w:vAlign w:val="center"/>
            <w:hideMark/>
          </w:tcPr>
          <w:p w14:paraId="2F01EFC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4" w:space="0" w:color="auto"/>
              <w:right w:val="single" w:sz="4" w:space="0" w:color="auto"/>
            </w:tcBorders>
            <w:shd w:val="clear" w:color="auto" w:fill="auto"/>
            <w:noWrap/>
            <w:vAlign w:val="center"/>
            <w:hideMark/>
          </w:tcPr>
          <w:p w14:paraId="7857D98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4" w:space="0" w:color="auto"/>
              <w:right w:val="single" w:sz="4" w:space="0" w:color="auto"/>
            </w:tcBorders>
            <w:shd w:val="clear" w:color="auto" w:fill="auto"/>
            <w:noWrap/>
            <w:vAlign w:val="center"/>
            <w:hideMark/>
          </w:tcPr>
          <w:p w14:paraId="5D416AD5"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000000" w:fill="F2CEEF"/>
            <w:noWrap/>
            <w:vAlign w:val="center"/>
            <w:hideMark/>
          </w:tcPr>
          <w:p w14:paraId="31AC563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4" w:space="0" w:color="auto"/>
              <w:right w:val="single" w:sz="4" w:space="0" w:color="auto"/>
            </w:tcBorders>
            <w:shd w:val="clear" w:color="auto" w:fill="auto"/>
            <w:noWrap/>
            <w:vAlign w:val="center"/>
            <w:hideMark/>
          </w:tcPr>
          <w:p w14:paraId="3B73E72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687789F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center"/>
            <w:hideMark/>
          </w:tcPr>
          <w:p w14:paraId="4CF5083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4" w:space="0" w:color="auto"/>
              <w:right w:val="single" w:sz="4" w:space="0" w:color="auto"/>
            </w:tcBorders>
            <w:shd w:val="clear" w:color="auto" w:fill="auto"/>
            <w:noWrap/>
            <w:vAlign w:val="center"/>
            <w:hideMark/>
          </w:tcPr>
          <w:p w14:paraId="6F4A3D3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74" w:type="pct"/>
            <w:tcBorders>
              <w:top w:val="nil"/>
              <w:left w:val="nil"/>
              <w:bottom w:val="single" w:sz="4" w:space="0" w:color="auto"/>
              <w:right w:val="single" w:sz="4" w:space="0" w:color="auto"/>
            </w:tcBorders>
            <w:shd w:val="clear" w:color="auto" w:fill="auto"/>
            <w:noWrap/>
            <w:vAlign w:val="center"/>
            <w:hideMark/>
          </w:tcPr>
          <w:p w14:paraId="0E1B4924"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4" w:space="0" w:color="auto"/>
              <w:right w:val="single" w:sz="4" w:space="0" w:color="auto"/>
            </w:tcBorders>
            <w:shd w:val="clear" w:color="auto" w:fill="auto"/>
            <w:noWrap/>
            <w:vAlign w:val="center"/>
            <w:hideMark/>
          </w:tcPr>
          <w:p w14:paraId="47D19BC1"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4" w:space="0" w:color="auto"/>
            </w:tcBorders>
            <w:shd w:val="clear" w:color="auto" w:fill="auto"/>
            <w:noWrap/>
            <w:vAlign w:val="center"/>
            <w:hideMark/>
          </w:tcPr>
          <w:p w14:paraId="4F51255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4" w:space="0" w:color="auto"/>
              <w:right w:val="single" w:sz="4" w:space="0" w:color="auto"/>
            </w:tcBorders>
            <w:shd w:val="clear" w:color="auto" w:fill="auto"/>
            <w:noWrap/>
            <w:vAlign w:val="bottom"/>
            <w:hideMark/>
          </w:tcPr>
          <w:p w14:paraId="771329FD"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4" w:space="0" w:color="auto"/>
              <w:right w:val="single" w:sz="4" w:space="0" w:color="auto"/>
            </w:tcBorders>
            <w:shd w:val="clear" w:color="auto" w:fill="auto"/>
            <w:noWrap/>
            <w:vAlign w:val="center"/>
            <w:hideMark/>
          </w:tcPr>
          <w:p w14:paraId="353EBA82"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4" w:space="0" w:color="auto"/>
              <w:right w:val="single" w:sz="4" w:space="0" w:color="auto"/>
            </w:tcBorders>
            <w:shd w:val="clear" w:color="auto" w:fill="auto"/>
            <w:noWrap/>
            <w:vAlign w:val="bottom"/>
            <w:hideMark/>
          </w:tcPr>
          <w:p w14:paraId="4285E0C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250CD3B7"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4" w:space="0" w:color="auto"/>
              <w:right w:val="single" w:sz="4" w:space="0" w:color="auto"/>
            </w:tcBorders>
            <w:shd w:val="clear" w:color="auto" w:fill="auto"/>
            <w:noWrap/>
            <w:vAlign w:val="bottom"/>
            <w:hideMark/>
          </w:tcPr>
          <w:p w14:paraId="7822C767"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4" w:space="0" w:color="auto"/>
              <w:right w:val="single" w:sz="8" w:space="0" w:color="auto"/>
            </w:tcBorders>
            <w:shd w:val="clear" w:color="auto" w:fill="auto"/>
            <w:noWrap/>
            <w:vAlign w:val="bottom"/>
            <w:hideMark/>
          </w:tcPr>
          <w:p w14:paraId="6948B5E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r w:rsidR="001B2B98" w:rsidRPr="009A4EA5" w14:paraId="1D5D14E7" w14:textId="77777777" w:rsidTr="00A729C7">
        <w:trPr>
          <w:trHeight w:val="619"/>
        </w:trPr>
        <w:tc>
          <w:tcPr>
            <w:tcW w:w="606" w:type="pct"/>
            <w:tcBorders>
              <w:top w:val="nil"/>
              <w:left w:val="single" w:sz="4" w:space="0" w:color="auto"/>
              <w:bottom w:val="single" w:sz="8" w:space="0" w:color="auto"/>
              <w:right w:val="single" w:sz="4" w:space="0" w:color="auto"/>
            </w:tcBorders>
            <w:shd w:val="clear" w:color="000000" w:fill="F2CEEF"/>
            <w:vAlign w:val="center"/>
            <w:hideMark/>
          </w:tcPr>
          <w:p w14:paraId="6603679A" w14:textId="77777777" w:rsidR="001B2B98" w:rsidRPr="009A4EA5" w:rsidRDefault="001B2B98" w:rsidP="00191B2F">
            <w:pPr>
              <w:spacing w:line="240" w:lineRule="auto"/>
              <w:rPr>
                <w:color w:val="000000"/>
                <w:sz w:val="16"/>
                <w:szCs w:val="16"/>
                <w:lang w:eastAsia="es-ES"/>
              </w:rPr>
            </w:pPr>
            <w:r w:rsidRPr="009A4EA5">
              <w:rPr>
                <w:color w:val="000000"/>
                <w:sz w:val="16"/>
                <w:szCs w:val="16"/>
                <w:lang w:eastAsia="es-ES"/>
              </w:rPr>
              <w:t>Demographic and socio-economic characteristics</w:t>
            </w:r>
          </w:p>
        </w:tc>
        <w:tc>
          <w:tcPr>
            <w:tcW w:w="203" w:type="pct"/>
            <w:tcBorders>
              <w:top w:val="nil"/>
              <w:left w:val="nil"/>
              <w:bottom w:val="single" w:sz="8" w:space="0" w:color="auto"/>
              <w:right w:val="single" w:sz="4" w:space="0" w:color="auto"/>
            </w:tcBorders>
            <w:shd w:val="clear" w:color="000000" w:fill="F2CEEF"/>
            <w:noWrap/>
            <w:vAlign w:val="center"/>
            <w:hideMark/>
          </w:tcPr>
          <w:p w14:paraId="2BAA5BE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203" w:type="pct"/>
            <w:tcBorders>
              <w:top w:val="nil"/>
              <w:left w:val="nil"/>
              <w:bottom w:val="single" w:sz="8" w:space="0" w:color="auto"/>
              <w:right w:val="single" w:sz="4" w:space="0" w:color="auto"/>
            </w:tcBorders>
            <w:shd w:val="clear" w:color="auto" w:fill="auto"/>
            <w:noWrap/>
            <w:vAlign w:val="center"/>
            <w:hideMark/>
          </w:tcPr>
          <w:p w14:paraId="4195A343"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24A5071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6A0E280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3C22FF4B"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5" w:type="pct"/>
            <w:tcBorders>
              <w:top w:val="nil"/>
              <w:left w:val="nil"/>
              <w:bottom w:val="single" w:sz="8" w:space="0" w:color="auto"/>
              <w:right w:val="single" w:sz="4" w:space="0" w:color="auto"/>
            </w:tcBorders>
            <w:shd w:val="clear" w:color="auto" w:fill="auto"/>
            <w:noWrap/>
            <w:vAlign w:val="center"/>
            <w:hideMark/>
          </w:tcPr>
          <w:p w14:paraId="25A8BD2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0" w:type="pct"/>
            <w:tcBorders>
              <w:top w:val="nil"/>
              <w:left w:val="nil"/>
              <w:bottom w:val="single" w:sz="8" w:space="0" w:color="auto"/>
              <w:right w:val="single" w:sz="4" w:space="0" w:color="auto"/>
            </w:tcBorders>
            <w:shd w:val="clear" w:color="auto" w:fill="auto"/>
            <w:noWrap/>
            <w:vAlign w:val="center"/>
            <w:hideMark/>
          </w:tcPr>
          <w:p w14:paraId="556D8A5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2" w:type="pct"/>
            <w:tcBorders>
              <w:top w:val="nil"/>
              <w:left w:val="nil"/>
              <w:bottom w:val="single" w:sz="8" w:space="0" w:color="auto"/>
              <w:right w:val="single" w:sz="4" w:space="0" w:color="auto"/>
            </w:tcBorders>
            <w:shd w:val="clear" w:color="auto" w:fill="auto"/>
            <w:noWrap/>
            <w:vAlign w:val="center"/>
            <w:hideMark/>
          </w:tcPr>
          <w:p w14:paraId="6661DBA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5334E65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2F7592C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4C8D1A8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center"/>
            <w:hideMark/>
          </w:tcPr>
          <w:p w14:paraId="5C3FDABA"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9" w:type="pct"/>
            <w:tcBorders>
              <w:top w:val="nil"/>
              <w:left w:val="nil"/>
              <w:bottom w:val="single" w:sz="8" w:space="0" w:color="auto"/>
              <w:right w:val="single" w:sz="4" w:space="0" w:color="auto"/>
            </w:tcBorders>
            <w:shd w:val="clear" w:color="000000" w:fill="F2CEEF"/>
            <w:noWrap/>
            <w:vAlign w:val="center"/>
            <w:hideMark/>
          </w:tcPr>
          <w:p w14:paraId="18B6ED0F"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x</w:t>
            </w:r>
          </w:p>
        </w:tc>
        <w:tc>
          <w:tcPr>
            <w:tcW w:w="174" w:type="pct"/>
            <w:tcBorders>
              <w:top w:val="nil"/>
              <w:left w:val="nil"/>
              <w:bottom w:val="single" w:sz="8" w:space="0" w:color="auto"/>
              <w:right w:val="single" w:sz="4" w:space="0" w:color="auto"/>
            </w:tcBorders>
            <w:shd w:val="clear" w:color="auto" w:fill="auto"/>
            <w:noWrap/>
            <w:vAlign w:val="center"/>
            <w:hideMark/>
          </w:tcPr>
          <w:p w14:paraId="3CB129F9"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4" w:type="pct"/>
            <w:tcBorders>
              <w:top w:val="nil"/>
              <w:left w:val="nil"/>
              <w:bottom w:val="single" w:sz="8" w:space="0" w:color="auto"/>
              <w:right w:val="single" w:sz="4" w:space="0" w:color="auto"/>
            </w:tcBorders>
            <w:shd w:val="clear" w:color="auto" w:fill="auto"/>
            <w:noWrap/>
            <w:vAlign w:val="center"/>
            <w:hideMark/>
          </w:tcPr>
          <w:p w14:paraId="73A400E8"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8" w:space="0" w:color="auto"/>
              <w:right w:val="single" w:sz="4" w:space="0" w:color="auto"/>
            </w:tcBorders>
            <w:shd w:val="clear" w:color="auto" w:fill="auto"/>
            <w:noWrap/>
            <w:vAlign w:val="center"/>
            <w:hideMark/>
          </w:tcPr>
          <w:p w14:paraId="75C3C11C"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208" w:type="pct"/>
            <w:tcBorders>
              <w:top w:val="nil"/>
              <w:left w:val="nil"/>
              <w:bottom w:val="single" w:sz="8" w:space="0" w:color="auto"/>
              <w:right w:val="single" w:sz="4" w:space="0" w:color="auto"/>
            </w:tcBorders>
            <w:shd w:val="clear" w:color="auto" w:fill="auto"/>
            <w:noWrap/>
            <w:vAlign w:val="bottom"/>
            <w:hideMark/>
          </w:tcPr>
          <w:p w14:paraId="71D440AF"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10" w:type="pct"/>
            <w:tcBorders>
              <w:top w:val="nil"/>
              <w:left w:val="nil"/>
              <w:bottom w:val="single" w:sz="8" w:space="0" w:color="auto"/>
              <w:right w:val="single" w:sz="4" w:space="0" w:color="auto"/>
            </w:tcBorders>
            <w:shd w:val="clear" w:color="auto" w:fill="auto"/>
            <w:noWrap/>
            <w:vAlign w:val="center"/>
            <w:hideMark/>
          </w:tcPr>
          <w:p w14:paraId="76C280F7" w14:textId="77777777" w:rsidR="001B2B98" w:rsidRPr="009A4EA5" w:rsidRDefault="001B2B98" w:rsidP="00191B2F">
            <w:pPr>
              <w:spacing w:line="240" w:lineRule="auto"/>
              <w:jc w:val="center"/>
              <w:rPr>
                <w:color w:val="000000"/>
                <w:sz w:val="16"/>
                <w:szCs w:val="16"/>
                <w:lang w:val="es-ES" w:eastAsia="es-ES"/>
              </w:rPr>
            </w:pPr>
            <w:r w:rsidRPr="009A4EA5">
              <w:rPr>
                <w:color w:val="000000"/>
                <w:sz w:val="16"/>
                <w:szCs w:val="16"/>
                <w:lang w:val="es-ES" w:eastAsia="es-ES"/>
              </w:rPr>
              <w:t> </w:t>
            </w:r>
          </w:p>
        </w:tc>
        <w:tc>
          <w:tcPr>
            <w:tcW w:w="195" w:type="pct"/>
            <w:tcBorders>
              <w:top w:val="nil"/>
              <w:left w:val="nil"/>
              <w:bottom w:val="single" w:sz="8" w:space="0" w:color="auto"/>
              <w:right w:val="single" w:sz="4" w:space="0" w:color="auto"/>
            </w:tcBorders>
            <w:shd w:val="clear" w:color="auto" w:fill="auto"/>
            <w:noWrap/>
            <w:vAlign w:val="bottom"/>
            <w:hideMark/>
          </w:tcPr>
          <w:p w14:paraId="1EDA8CA0"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bottom"/>
            <w:hideMark/>
          </w:tcPr>
          <w:p w14:paraId="4151AA92"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203" w:type="pct"/>
            <w:tcBorders>
              <w:top w:val="nil"/>
              <w:left w:val="nil"/>
              <w:bottom w:val="single" w:sz="8" w:space="0" w:color="auto"/>
              <w:right w:val="single" w:sz="4" w:space="0" w:color="auto"/>
            </w:tcBorders>
            <w:shd w:val="clear" w:color="auto" w:fill="auto"/>
            <w:noWrap/>
            <w:vAlign w:val="bottom"/>
            <w:hideMark/>
          </w:tcPr>
          <w:p w14:paraId="750971B6"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c>
          <w:tcPr>
            <w:tcW w:w="188" w:type="pct"/>
            <w:tcBorders>
              <w:top w:val="nil"/>
              <w:left w:val="nil"/>
              <w:bottom w:val="single" w:sz="8" w:space="0" w:color="auto"/>
              <w:right w:val="single" w:sz="8" w:space="0" w:color="auto"/>
            </w:tcBorders>
            <w:shd w:val="clear" w:color="auto" w:fill="auto"/>
            <w:noWrap/>
            <w:vAlign w:val="bottom"/>
            <w:hideMark/>
          </w:tcPr>
          <w:p w14:paraId="065C48AF" w14:textId="77777777" w:rsidR="001B2B98" w:rsidRPr="009A4EA5" w:rsidRDefault="001B2B98" w:rsidP="00191B2F">
            <w:pPr>
              <w:spacing w:line="240" w:lineRule="auto"/>
              <w:rPr>
                <w:color w:val="000000"/>
                <w:sz w:val="16"/>
                <w:szCs w:val="16"/>
                <w:lang w:val="es-ES" w:eastAsia="es-ES"/>
              </w:rPr>
            </w:pPr>
            <w:r w:rsidRPr="009A4EA5">
              <w:rPr>
                <w:color w:val="000000"/>
                <w:sz w:val="16"/>
                <w:szCs w:val="16"/>
                <w:lang w:val="es-ES" w:eastAsia="es-ES"/>
              </w:rPr>
              <w:t> </w:t>
            </w:r>
          </w:p>
        </w:tc>
      </w:tr>
    </w:tbl>
    <w:p w14:paraId="644FF63F" w14:textId="6AA6C01A" w:rsidR="001B2B98" w:rsidRDefault="001B2B98">
      <w:pPr>
        <w:spacing w:line="240" w:lineRule="auto"/>
      </w:pPr>
      <w:r>
        <w:br w:type="page"/>
      </w:r>
    </w:p>
    <w:p w14:paraId="7FEE6FD2" w14:textId="77777777" w:rsidR="00DB324C" w:rsidRDefault="00DB324C" w:rsidP="00DB324C">
      <w:pPr>
        <w:pStyle w:val="Caption"/>
        <w:keepNext/>
        <w:sectPr w:rsidR="00DB324C" w:rsidSect="001B2B98">
          <w:headerReference w:type="even" r:id="rId8"/>
          <w:headerReference w:type="default" r:id="rId9"/>
          <w:footerReference w:type="even" r:id="rId10"/>
          <w:footerReference w:type="default" r:id="rId11"/>
          <w:headerReference w:type="first" r:id="rId12"/>
          <w:footerReference w:type="first" r:id="rId13"/>
          <w:pgSz w:w="16840" w:h="11901" w:orient="landscape" w:code="9"/>
          <w:pgMar w:top="1701" w:right="1418" w:bottom="1701" w:left="1418" w:header="709" w:footer="709" w:gutter="0"/>
          <w:cols w:space="708"/>
          <w:docGrid w:linePitch="360"/>
        </w:sectPr>
      </w:pPr>
      <w:bookmarkStart w:id="2" w:name="_Ref188889377"/>
    </w:p>
    <w:p w14:paraId="6E619F8F" w14:textId="6FC3A37B" w:rsidR="00DB324C" w:rsidRDefault="00DB324C" w:rsidP="00B1145F">
      <w:pPr>
        <w:pStyle w:val="Tabletitle"/>
      </w:pPr>
      <w:bookmarkStart w:id="3" w:name="_Ref188905571"/>
      <w:r w:rsidRPr="00B1145F">
        <w:rPr>
          <w:b/>
          <w:bCs/>
        </w:rPr>
        <w:lastRenderedPageBreak/>
        <w:t xml:space="preserve">Table </w:t>
      </w:r>
      <w:r w:rsidRPr="00B1145F">
        <w:rPr>
          <w:b/>
          <w:bCs/>
        </w:rPr>
        <w:fldChar w:fldCharType="begin"/>
      </w:r>
      <w:r w:rsidRPr="00B1145F">
        <w:rPr>
          <w:b/>
          <w:bCs/>
        </w:rPr>
        <w:instrText xml:space="preserve"> SEQ Table \* ARABIC </w:instrText>
      </w:r>
      <w:r w:rsidRPr="00B1145F">
        <w:rPr>
          <w:b/>
          <w:bCs/>
        </w:rPr>
        <w:fldChar w:fldCharType="separate"/>
      </w:r>
      <w:r w:rsidR="00077109">
        <w:rPr>
          <w:b/>
          <w:bCs/>
          <w:noProof/>
        </w:rPr>
        <w:t>7</w:t>
      </w:r>
      <w:r w:rsidRPr="00B1145F">
        <w:rPr>
          <w:b/>
          <w:bCs/>
        </w:rPr>
        <w:fldChar w:fldCharType="end"/>
      </w:r>
      <w:bookmarkEnd w:id="2"/>
      <w:bookmarkEnd w:id="3"/>
      <w:r w:rsidR="00B1145F">
        <w:t xml:space="preserve"> </w:t>
      </w:r>
      <w:r>
        <w:t xml:space="preserve"> </w:t>
      </w:r>
      <w:r w:rsidR="00EF7083" w:rsidRPr="00EF7083">
        <w:t xml:space="preserve">New categories and their meanings </w:t>
      </w:r>
      <w:r w:rsidR="00EF7083">
        <w:t>for the analysis of</w:t>
      </w:r>
      <w:r w:rsidR="00EF7083" w:rsidRPr="00EF7083">
        <w:t xml:space="preserve"> sustainable mobility indicators</w:t>
      </w:r>
    </w:p>
    <w:tbl>
      <w:tblPr>
        <w:tblW w:w="8637" w:type="dxa"/>
        <w:jc w:val="center"/>
        <w:tblCellMar>
          <w:left w:w="70" w:type="dxa"/>
          <w:right w:w="70" w:type="dxa"/>
        </w:tblCellMar>
        <w:tblLook w:val="04A0" w:firstRow="1" w:lastRow="0" w:firstColumn="1" w:lastColumn="0" w:noHBand="0" w:noVBand="1"/>
      </w:tblPr>
      <w:tblGrid>
        <w:gridCol w:w="1660"/>
        <w:gridCol w:w="5776"/>
        <w:gridCol w:w="1201"/>
      </w:tblGrid>
      <w:tr w:rsidR="00595021" w:rsidRPr="00B63640" w14:paraId="0261D713" w14:textId="15B48BE3" w:rsidTr="00541FA1">
        <w:trPr>
          <w:trHeight w:val="825"/>
          <w:jc w:val="center"/>
        </w:trPr>
        <w:tc>
          <w:tcPr>
            <w:tcW w:w="1660" w:type="dxa"/>
            <w:tcBorders>
              <w:top w:val="single" w:sz="4" w:space="0" w:color="auto"/>
              <w:bottom w:val="single" w:sz="4" w:space="0" w:color="auto"/>
            </w:tcBorders>
            <w:shd w:val="clear" w:color="auto" w:fill="auto"/>
            <w:vAlign w:val="center"/>
          </w:tcPr>
          <w:p w14:paraId="32332D55" w14:textId="77777777" w:rsidR="00595021" w:rsidRPr="00B63640" w:rsidRDefault="00595021" w:rsidP="003C2AAF">
            <w:pPr>
              <w:spacing w:line="240" w:lineRule="auto"/>
              <w:jc w:val="center"/>
              <w:rPr>
                <w:b/>
                <w:bCs/>
                <w:color w:val="000000"/>
                <w:sz w:val="18"/>
                <w:szCs w:val="18"/>
                <w:lang w:eastAsia="es-ES"/>
              </w:rPr>
            </w:pPr>
            <w:r w:rsidRPr="00B63640">
              <w:rPr>
                <w:b/>
                <w:bCs/>
                <w:color w:val="000000"/>
                <w:sz w:val="18"/>
                <w:szCs w:val="18"/>
                <w:lang w:eastAsia="es-ES"/>
              </w:rPr>
              <w:t>Category</w:t>
            </w:r>
          </w:p>
        </w:tc>
        <w:tc>
          <w:tcPr>
            <w:tcW w:w="5776" w:type="dxa"/>
            <w:tcBorders>
              <w:top w:val="single" w:sz="4" w:space="0" w:color="auto"/>
              <w:bottom w:val="single" w:sz="4" w:space="0" w:color="auto"/>
            </w:tcBorders>
            <w:vAlign w:val="center"/>
          </w:tcPr>
          <w:p w14:paraId="705EDD6F" w14:textId="77777777" w:rsidR="00595021" w:rsidRPr="00B63640" w:rsidRDefault="00595021" w:rsidP="003C2AAF">
            <w:pPr>
              <w:spacing w:line="240" w:lineRule="auto"/>
              <w:jc w:val="center"/>
              <w:rPr>
                <w:b/>
                <w:bCs/>
                <w:color w:val="000000"/>
                <w:sz w:val="16"/>
                <w:szCs w:val="16"/>
                <w:lang w:eastAsia="es-ES"/>
              </w:rPr>
            </w:pPr>
            <w:r w:rsidRPr="00B63640">
              <w:rPr>
                <w:b/>
                <w:bCs/>
                <w:color w:val="000000"/>
                <w:sz w:val="18"/>
                <w:szCs w:val="18"/>
                <w:lang w:eastAsia="es-ES"/>
              </w:rPr>
              <w:t>Specific objective to sustainable transportation</w:t>
            </w:r>
          </w:p>
        </w:tc>
        <w:tc>
          <w:tcPr>
            <w:tcW w:w="1201" w:type="dxa"/>
            <w:tcBorders>
              <w:top w:val="single" w:sz="4" w:space="0" w:color="auto"/>
              <w:bottom w:val="single" w:sz="4" w:space="0" w:color="auto"/>
            </w:tcBorders>
            <w:vAlign w:val="center"/>
          </w:tcPr>
          <w:p w14:paraId="4A6737FD" w14:textId="5F8A32DF" w:rsidR="00595021" w:rsidRPr="00B63640" w:rsidRDefault="00595021" w:rsidP="003C2AAF">
            <w:pPr>
              <w:spacing w:line="240" w:lineRule="auto"/>
              <w:jc w:val="center"/>
              <w:rPr>
                <w:b/>
                <w:bCs/>
                <w:color w:val="000000"/>
                <w:sz w:val="18"/>
                <w:szCs w:val="18"/>
                <w:lang w:eastAsia="es-ES"/>
              </w:rPr>
            </w:pPr>
            <w:r>
              <w:rPr>
                <w:b/>
                <w:bCs/>
                <w:color w:val="000000"/>
                <w:sz w:val="18"/>
                <w:szCs w:val="18"/>
                <w:lang w:eastAsia="es-ES"/>
              </w:rPr>
              <w:t>Sustainability approach</w:t>
            </w:r>
          </w:p>
        </w:tc>
      </w:tr>
      <w:tr w:rsidR="00595021" w:rsidRPr="00B63640" w14:paraId="4340F876" w14:textId="74DBCB69" w:rsidTr="00541FA1">
        <w:trPr>
          <w:trHeight w:val="349"/>
          <w:jc w:val="center"/>
        </w:trPr>
        <w:tc>
          <w:tcPr>
            <w:tcW w:w="8637" w:type="dxa"/>
            <w:gridSpan w:val="3"/>
            <w:tcBorders>
              <w:top w:val="single" w:sz="4" w:space="0" w:color="auto"/>
              <w:bottom w:val="single" w:sz="4" w:space="0" w:color="auto"/>
            </w:tcBorders>
            <w:shd w:val="clear" w:color="auto" w:fill="auto"/>
            <w:vAlign w:val="center"/>
          </w:tcPr>
          <w:p w14:paraId="2F176791" w14:textId="1322F1BB" w:rsidR="00595021" w:rsidRPr="00595021" w:rsidRDefault="00595021" w:rsidP="003C2AAF">
            <w:pPr>
              <w:spacing w:line="240" w:lineRule="auto"/>
              <w:jc w:val="center"/>
              <w:rPr>
                <w:b/>
                <w:bCs/>
                <w:color w:val="000000"/>
                <w:sz w:val="18"/>
                <w:szCs w:val="18"/>
                <w:lang w:eastAsia="es-ES"/>
              </w:rPr>
            </w:pPr>
            <w:r w:rsidRPr="00C1374F">
              <w:rPr>
                <w:b/>
                <w:bCs/>
                <w:color w:val="000000"/>
                <w:sz w:val="22"/>
                <w:szCs w:val="22"/>
                <w:lang w:eastAsia="es-ES"/>
              </w:rPr>
              <w:t>System effectiveness</w:t>
            </w:r>
          </w:p>
        </w:tc>
      </w:tr>
      <w:tr w:rsidR="00595021" w:rsidRPr="00B63640" w14:paraId="5CA7E096" w14:textId="2FECF939" w:rsidTr="00541FA1">
        <w:trPr>
          <w:trHeight w:val="1084"/>
          <w:jc w:val="center"/>
        </w:trPr>
        <w:tc>
          <w:tcPr>
            <w:tcW w:w="1660" w:type="dxa"/>
            <w:tcBorders>
              <w:top w:val="single" w:sz="4" w:space="0" w:color="auto"/>
            </w:tcBorders>
            <w:shd w:val="clear" w:color="auto" w:fill="auto"/>
            <w:vAlign w:val="center"/>
          </w:tcPr>
          <w:p w14:paraId="2E88B0BE" w14:textId="0C0DFBB6" w:rsidR="00595021" w:rsidRPr="00B63640" w:rsidRDefault="00595021" w:rsidP="003C2AAF">
            <w:pPr>
              <w:spacing w:line="240" w:lineRule="auto"/>
              <w:contextualSpacing/>
              <w:jc w:val="center"/>
              <w:rPr>
                <w:color w:val="000000"/>
                <w:sz w:val="18"/>
                <w:szCs w:val="18"/>
                <w:lang w:eastAsia="es-ES"/>
              </w:rPr>
            </w:pPr>
            <w:r>
              <w:rPr>
                <w:color w:val="000000"/>
                <w:sz w:val="18"/>
                <w:szCs w:val="18"/>
                <w:lang w:eastAsia="es-ES"/>
              </w:rPr>
              <w:t>Public transport performance</w:t>
            </w:r>
          </w:p>
        </w:tc>
        <w:tc>
          <w:tcPr>
            <w:tcW w:w="5776" w:type="dxa"/>
            <w:tcBorders>
              <w:top w:val="single" w:sz="4" w:space="0" w:color="auto"/>
            </w:tcBorders>
            <w:vAlign w:val="center"/>
          </w:tcPr>
          <w:p w14:paraId="4CF135C0" w14:textId="24F4B3F2" w:rsidR="00595021" w:rsidRPr="00B63640" w:rsidRDefault="008D63AA" w:rsidP="003C2AAF">
            <w:pPr>
              <w:spacing w:line="240" w:lineRule="auto"/>
              <w:contextualSpacing/>
              <w:rPr>
                <w:color w:val="000000"/>
                <w:sz w:val="16"/>
                <w:szCs w:val="16"/>
                <w:lang w:eastAsia="es-ES"/>
              </w:rPr>
            </w:pPr>
            <w:r>
              <w:rPr>
                <w:color w:val="000000"/>
                <w:sz w:val="16"/>
                <w:szCs w:val="16"/>
                <w:lang w:eastAsia="es-ES"/>
              </w:rPr>
              <w:t xml:space="preserve">Public transport, also classified as </w:t>
            </w:r>
            <w:r w:rsidRPr="002D5A4B">
              <w:rPr>
                <w:i/>
                <w:iCs/>
                <w:color w:val="000000"/>
                <w:sz w:val="16"/>
                <w:szCs w:val="16"/>
                <w:lang w:eastAsia="es-ES"/>
              </w:rPr>
              <w:t>for-hire</w:t>
            </w:r>
            <w:r>
              <w:rPr>
                <w:color w:val="000000"/>
                <w:sz w:val="16"/>
                <w:szCs w:val="16"/>
                <w:lang w:eastAsia="es-ES"/>
              </w:rPr>
              <w:t xml:space="preserve"> service, can be owned either privately or publicly, and the service provided is available for use by the </w:t>
            </w:r>
            <w:r w:rsidR="002D5A4B">
              <w:rPr>
                <w:color w:val="000000"/>
                <w:sz w:val="16"/>
                <w:szCs w:val="16"/>
                <w:lang w:eastAsia="es-ES"/>
              </w:rPr>
              <w:t>public</w:t>
            </w:r>
            <w:r>
              <w:rPr>
                <w:color w:val="000000"/>
                <w:sz w:val="16"/>
                <w:szCs w:val="16"/>
                <w:lang w:eastAsia="es-ES"/>
              </w:rPr>
              <w:t xml:space="preserve">. </w:t>
            </w:r>
            <w:r w:rsidR="002D5A4B">
              <w:rPr>
                <w:color w:val="000000"/>
                <w:sz w:val="16"/>
                <w:szCs w:val="16"/>
                <w:lang w:eastAsia="es-ES"/>
              </w:rPr>
              <w:t xml:space="preserve">PT performance refers to its productivity, that is the number of movements, the distance covered by this movements and the time required to cover this distance </w:t>
            </w:r>
            <w:r w:rsidR="00DD794F">
              <w:rPr>
                <w:color w:val="000000"/>
                <w:sz w:val="16"/>
                <w:szCs w:val="16"/>
                <w:lang w:eastAsia="es-ES"/>
              </w:rPr>
              <w:t>(Papacostas &amp; Prevedouros, 2012)</w:t>
            </w:r>
            <w:r w:rsidR="002D5A4B">
              <w:rPr>
                <w:color w:val="000000"/>
                <w:sz w:val="16"/>
                <w:szCs w:val="16"/>
                <w:lang w:eastAsia="es-ES"/>
              </w:rPr>
              <w:t xml:space="preserve">. </w:t>
            </w:r>
          </w:p>
        </w:tc>
        <w:tc>
          <w:tcPr>
            <w:tcW w:w="1201" w:type="dxa"/>
            <w:tcBorders>
              <w:top w:val="single" w:sz="4" w:space="0" w:color="auto"/>
            </w:tcBorders>
            <w:vAlign w:val="center"/>
          </w:tcPr>
          <w:p w14:paraId="3121C77D" w14:textId="3487277E" w:rsidR="00595021" w:rsidRPr="00595021" w:rsidRDefault="00595021"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1A69CBED" w14:textId="77EEE0B2" w:rsidTr="00541FA1">
        <w:trPr>
          <w:trHeight w:val="1050"/>
          <w:jc w:val="center"/>
        </w:trPr>
        <w:tc>
          <w:tcPr>
            <w:tcW w:w="1660" w:type="dxa"/>
            <w:shd w:val="clear" w:color="auto" w:fill="auto"/>
            <w:vAlign w:val="center"/>
          </w:tcPr>
          <w:p w14:paraId="08B5D071" w14:textId="456EECC5" w:rsidR="00595021" w:rsidRDefault="00595021" w:rsidP="003C2AAF">
            <w:pPr>
              <w:spacing w:line="240" w:lineRule="auto"/>
              <w:contextualSpacing/>
              <w:jc w:val="center"/>
              <w:rPr>
                <w:color w:val="000000"/>
                <w:sz w:val="18"/>
                <w:szCs w:val="18"/>
                <w:lang w:eastAsia="es-ES"/>
              </w:rPr>
            </w:pPr>
            <w:r>
              <w:rPr>
                <w:color w:val="000000"/>
                <w:sz w:val="18"/>
                <w:szCs w:val="18"/>
                <w:lang w:eastAsia="es-ES"/>
              </w:rPr>
              <w:t>Private motorized transport usage</w:t>
            </w:r>
          </w:p>
        </w:tc>
        <w:tc>
          <w:tcPr>
            <w:tcW w:w="5776" w:type="dxa"/>
            <w:vAlign w:val="center"/>
          </w:tcPr>
          <w:p w14:paraId="420A263D" w14:textId="104C0104" w:rsidR="00595021" w:rsidRDefault="002D5A4B" w:rsidP="003C2AAF">
            <w:pPr>
              <w:spacing w:line="240" w:lineRule="auto"/>
              <w:contextualSpacing/>
              <w:rPr>
                <w:color w:val="000000"/>
                <w:sz w:val="16"/>
                <w:szCs w:val="16"/>
                <w:lang w:eastAsia="es-ES"/>
              </w:rPr>
            </w:pPr>
            <w:r>
              <w:rPr>
                <w:color w:val="000000"/>
                <w:sz w:val="16"/>
                <w:szCs w:val="16"/>
                <w:lang w:eastAsia="es-ES"/>
              </w:rPr>
              <w:t xml:space="preserve">Private transport refers to </w:t>
            </w:r>
            <w:r w:rsidRPr="002D5A4B">
              <w:rPr>
                <w:i/>
                <w:iCs/>
                <w:color w:val="000000"/>
                <w:sz w:val="16"/>
                <w:szCs w:val="16"/>
                <w:lang w:eastAsia="es-ES"/>
              </w:rPr>
              <w:t>not-for-hire</w:t>
            </w:r>
            <w:r>
              <w:rPr>
                <w:color w:val="000000"/>
                <w:sz w:val="16"/>
                <w:szCs w:val="16"/>
                <w:lang w:eastAsia="es-ES"/>
              </w:rPr>
              <w:t xml:space="preserve"> services where private parties select their own schedule, path, and time to travel. </w:t>
            </w:r>
            <w:r w:rsidRPr="002D5A4B">
              <w:rPr>
                <w:color w:val="000000"/>
                <w:sz w:val="16"/>
                <w:szCs w:val="16"/>
                <w:lang w:eastAsia="es-ES"/>
              </w:rPr>
              <w:t>The usage of private motorised modes, such as cars, motorcycles, and other motorised vehicles powered by an external power source (either through the combustion of fuels or through electricity), is indicative of the intensity of private transport usage</w:t>
            </w:r>
            <w:r>
              <w:rPr>
                <w:color w:val="000000"/>
                <w:sz w:val="16"/>
                <w:szCs w:val="16"/>
                <w:lang w:eastAsia="es-ES"/>
              </w:rPr>
              <w:t xml:space="preserve"> </w:t>
            </w:r>
            <w:r w:rsidR="00DD794F">
              <w:rPr>
                <w:color w:val="000000"/>
                <w:sz w:val="16"/>
                <w:szCs w:val="16"/>
                <w:lang w:eastAsia="es-ES"/>
              </w:rPr>
              <w:t>(Papacostas &amp; Prevedouros, 2012)</w:t>
            </w:r>
            <w:r>
              <w:rPr>
                <w:color w:val="000000"/>
                <w:sz w:val="16"/>
                <w:szCs w:val="16"/>
                <w:lang w:eastAsia="es-ES"/>
              </w:rPr>
              <w:t xml:space="preserve"> . </w:t>
            </w:r>
          </w:p>
        </w:tc>
        <w:tc>
          <w:tcPr>
            <w:tcW w:w="1201" w:type="dxa"/>
            <w:vAlign w:val="center"/>
          </w:tcPr>
          <w:p w14:paraId="222F0826" w14:textId="4002CEEF" w:rsidR="00595021" w:rsidRPr="00595021" w:rsidRDefault="00595021" w:rsidP="00595021">
            <w:pPr>
              <w:spacing w:line="240" w:lineRule="auto"/>
              <w:jc w:val="center"/>
              <w:rPr>
                <w:b/>
                <w:bCs/>
                <w:color w:val="000000"/>
                <w:sz w:val="18"/>
                <w:szCs w:val="18"/>
                <w:lang w:eastAsia="es-ES"/>
              </w:rPr>
            </w:pPr>
            <w:r>
              <w:rPr>
                <w:b/>
                <w:bCs/>
                <w:color w:val="000000"/>
                <w:sz w:val="18"/>
                <w:szCs w:val="18"/>
                <w:lang w:eastAsia="es-ES"/>
              </w:rPr>
              <w:sym w:font="Symbol" w:char="F0AF"/>
            </w:r>
          </w:p>
        </w:tc>
      </w:tr>
      <w:tr w:rsidR="00595021" w:rsidRPr="00B63640" w14:paraId="62BA6DF8" w14:textId="01585A79" w:rsidTr="00541FA1">
        <w:trPr>
          <w:trHeight w:val="966"/>
          <w:jc w:val="center"/>
        </w:trPr>
        <w:tc>
          <w:tcPr>
            <w:tcW w:w="1660" w:type="dxa"/>
            <w:shd w:val="clear" w:color="auto" w:fill="auto"/>
            <w:vAlign w:val="center"/>
          </w:tcPr>
          <w:p w14:paraId="2251E766" w14:textId="40880B17" w:rsidR="00595021" w:rsidRDefault="00595021" w:rsidP="00C35795">
            <w:pPr>
              <w:spacing w:line="240" w:lineRule="auto"/>
              <w:contextualSpacing/>
              <w:jc w:val="center"/>
              <w:rPr>
                <w:color w:val="000000"/>
                <w:sz w:val="18"/>
                <w:szCs w:val="18"/>
                <w:lang w:eastAsia="es-ES"/>
              </w:rPr>
            </w:pPr>
            <w:r>
              <w:rPr>
                <w:color w:val="000000"/>
                <w:sz w:val="18"/>
                <w:szCs w:val="18"/>
                <w:lang w:eastAsia="es-ES"/>
              </w:rPr>
              <w:t>Non-motorized transport</w:t>
            </w:r>
          </w:p>
        </w:tc>
        <w:tc>
          <w:tcPr>
            <w:tcW w:w="5776" w:type="dxa"/>
            <w:vAlign w:val="center"/>
          </w:tcPr>
          <w:p w14:paraId="3E1E45F3" w14:textId="6C0C6CA4" w:rsidR="00595021" w:rsidRPr="00CD4477" w:rsidRDefault="00595021" w:rsidP="00C35795">
            <w:pPr>
              <w:spacing w:line="240" w:lineRule="auto"/>
              <w:contextualSpacing/>
              <w:rPr>
                <w:color w:val="000000"/>
                <w:sz w:val="16"/>
                <w:szCs w:val="16"/>
                <w:lang w:val="en-US" w:eastAsia="es-ES"/>
              </w:rPr>
            </w:pPr>
            <w:r w:rsidRPr="00CD4477">
              <w:rPr>
                <w:color w:val="000000"/>
                <w:sz w:val="16"/>
                <w:szCs w:val="16"/>
                <w:lang w:val="en-US" w:eastAsia="es-ES"/>
              </w:rPr>
              <w:t>This term refers to all means of transport that do not rely on the use of a motor for the conveyance of passengers. This encompasses modes of transport such as walking and cycling, colloquially referred to as 'active mobility'</w:t>
            </w:r>
            <w:r>
              <w:rPr>
                <w:color w:val="000000"/>
                <w:sz w:val="16"/>
                <w:szCs w:val="16"/>
                <w:lang w:val="en-US" w:eastAsia="es-ES"/>
              </w:rPr>
              <w:t>. A higher usage of NMT is desirable for sustainability in transport.</w:t>
            </w:r>
          </w:p>
          <w:p w14:paraId="3B270368" w14:textId="37E453E7" w:rsidR="00595021" w:rsidRDefault="00DD794F" w:rsidP="00C35795">
            <w:pPr>
              <w:spacing w:line="240" w:lineRule="auto"/>
              <w:contextualSpacing/>
              <w:rPr>
                <w:color w:val="000000"/>
                <w:sz w:val="16"/>
                <w:szCs w:val="16"/>
                <w:lang w:eastAsia="es-ES"/>
              </w:rPr>
            </w:pPr>
            <w:r>
              <w:rPr>
                <w:color w:val="000000"/>
                <w:sz w:val="16"/>
                <w:szCs w:val="16"/>
                <w:lang w:val="en-US" w:eastAsia="es-ES"/>
              </w:rPr>
              <w:t>(Danielis et al., 2018)</w:t>
            </w:r>
            <w:r w:rsidR="00595021">
              <w:rPr>
                <w:color w:val="000000"/>
                <w:sz w:val="16"/>
                <w:szCs w:val="16"/>
                <w:lang w:val="en-US" w:eastAsia="es-ES"/>
              </w:rPr>
              <w:t>.</w:t>
            </w:r>
          </w:p>
        </w:tc>
        <w:tc>
          <w:tcPr>
            <w:tcW w:w="1201" w:type="dxa"/>
            <w:vAlign w:val="center"/>
          </w:tcPr>
          <w:p w14:paraId="35937E11" w14:textId="26DD5A7F" w:rsidR="00595021" w:rsidRPr="00595021" w:rsidRDefault="00595021"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57E8A9CF" w14:textId="76582F29" w:rsidTr="00541FA1">
        <w:trPr>
          <w:trHeight w:val="1097"/>
          <w:jc w:val="center"/>
        </w:trPr>
        <w:tc>
          <w:tcPr>
            <w:tcW w:w="1660" w:type="dxa"/>
            <w:shd w:val="clear" w:color="auto" w:fill="auto"/>
            <w:vAlign w:val="center"/>
          </w:tcPr>
          <w:p w14:paraId="7E01A042" w14:textId="4B4643F9" w:rsidR="00595021" w:rsidRPr="00B63640" w:rsidRDefault="00595021" w:rsidP="00C35795">
            <w:pPr>
              <w:spacing w:line="240" w:lineRule="auto"/>
              <w:contextualSpacing/>
              <w:jc w:val="center"/>
              <w:rPr>
                <w:color w:val="000000"/>
                <w:sz w:val="18"/>
                <w:szCs w:val="18"/>
                <w:lang w:eastAsia="es-ES"/>
              </w:rPr>
            </w:pPr>
            <w:r>
              <w:rPr>
                <w:color w:val="000000"/>
                <w:sz w:val="18"/>
                <w:szCs w:val="18"/>
                <w:lang w:eastAsia="es-ES"/>
              </w:rPr>
              <w:t>System performance</w:t>
            </w:r>
          </w:p>
        </w:tc>
        <w:tc>
          <w:tcPr>
            <w:tcW w:w="5776" w:type="dxa"/>
            <w:vAlign w:val="center"/>
          </w:tcPr>
          <w:p w14:paraId="1F6DF1F9" w14:textId="54C2208A" w:rsidR="00595021" w:rsidRPr="00B63640" w:rsidRDefault="00595021" w:rsidP="00C35795">
            <w:pPr>
              <w:spacing w:line="240" w:lineRule="auto"/>
              <w:contextualSpacing/>
              <w:rPr>
                <w:color w:val="000000"/>
                <w:sz w:val="16"/>
                <w:szCs w:val="16"/>
                <w:lang w:eastAsia="es-ES"/>
              </w:rPr>
            </w:pPr>
            <w:r>
              <w:rPr>
                <w:color w:val="000000"/>
                <w:sz w:val="16"/>
                <w:szCs w:val="16"/>
                <w:lang w:eastAsia="es-ES"/>
              </w:rPr>
              <w:t xml:space="preserve">It refers to how the different major transport subsystems for passengers (PT, PrT, NMT) performs efficiently to maximize its functionality without causing long standing disruptions in the functioning of each other. An efficient network of transportation services is required for the support of the complex activity patterns and the satisfaction of basic people’s needs within cities </w:t>
            </w:r>
            <w:r w:rsidR="00DD794F">
              <w:rPr>
                <w:color w:val="000000"/>
                <w:sz w:val="16"/>
                <w:szCs w:val="16"/>
                <w:lang w:eastAsia="es-ES"/>
              </w:rPr>
              <w:t>(Papacostas &amp; Prevedouros, 2012)</w:t>
            </w:r>
            <w:r>
              <w:rPr>
                <w:color w:val="000000"/>
                <w:sz w:val="16"/>
                <w:szCs w:val="16"/>
                <w:lang w:eastAsia="es-ES"/>
              </w:rPr>
              <w:t xml:space="preserve">. </w:t>
            </w:r>
          </w:p>
        </w:tc>
        <w:tc>
          <w:tcPr>
            <w:tcW w:w="1201" w:type="dxa"/>
            <w:vAlign w:val="center"/>
          </w:tcPr>
          <w:p w14:paraId="30162D29" w14:textId="14E57628" w:rsidR="00595021" w:rsidRPr="00595021" w:rsidRDefault="00595021"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571F6AF9" w14:textId="5DCF3BB5" w:rsidTr="00541FA1">
        <w:trPr>
          <w:trHeight w:val="451"/>
          <w:jc w:val="center"/>
        </w:trPr>
        <w:tc>
          <w:tcPr>
            <w:tcW w:w="1660" w:type="dxa"/>
            <w:shd w:val="clear" w:color="auto" w:fill="auto"/>
            <w:vAlign w:val="center"/>
          </w:tcPr>
          <w:p w14:paraId="2F5FD287" w14:textId="7E5184EA" w:rsidR="00595021" w:rsidRPr="00B63640" w:rsidRDefault="00595021" w:rsidP="00C35795">
            <w:pPr>
              <w:spacing w:line="240" w:lineRule="auto"/>
              <w:contextualSpacing/>
              <w:jc w:val="center"/>
              <w:rPr>
                <w:color w:val="000000"/>
                <w:sz w:val="18"/>
                <w:szCs w:val="18"/>
                <w:lang w:eastAsia="es-ES"/>
              </w:rPr>
            </w:pPr>
            <w:r>
              <w:rPr>
                <w:color w:val="000000"/>
                <w:sz w:val="18"/>
                <w:szCs w:val="18"/>
                <w:lang w:eastAsia="es-ES"/>
              </w:rPr>
              <w:t>PT infrastructure</w:t>
            </w:r>
            <w:r w:rsidRPr="00B63640">
              <w:rPr>
                <w:color w:val="000000"/>
                <w:sz w:val="18"/>
                <w:szCs w:val="18"/>
                <w:lang w:eastAsia="es-ES"/>
              </w:rPr>
              <w:t xml:space="preserve"> capacity</w:t>
            </w:r>
          </w:p>
        </w:tc>
        <w:tc>
          <w:tcPr>
            <w:tcW w:w="5776" w:type="dxa"/>
            <w:vAlign w:val="center"/>
          </w:tcPr>
          <w:p w14:paraId="0A1C5E70" w14:textId="0FA0BF35" w:rsidR="00595021" w:rsidRDefault="00595021" w:rsidP="00C35795">
            <w:pPr>
              <w:spacing w:line="240" w:lineRule="auto"/>
              <w:contextualSpacing/>
              <w:rPr>
                <w:color w:val="000000"/>
                <w:sz w:val="16"/>
                <w:szCs w:val="16"/>
                <w:lang w:eastAsia="es-ES"/>
              </w:rPr>
            </w:pPr>
            <w:r w:rsidRPr="00B63640">
              <w:rPr>
                <w:color w:val="000000"/>
                <w:sz w:val="16"/>
                <w:szCs w:val="16"/>
                <w:lang w:eastAsia="es-ES"/>
              </w:rPr>
              <w:t xml:space="preserve">Minimize: travel time and </w:t>
            </w:r>
            <w:r>
              <w:rPr>
                <w:color w:val="000000"/>
                <w:sz w:val="16"/>
                <w:szCs w:val="16"/>
                <w:lang w:eastAsia="es-ES"/>
              </w:rPr>
              <w:t>transfers for passengers</w:t>
            </w:r>
          </w:p>
          <w:p w14:paraId="7D5F968C" w14:textId="377BBCD8" w:rsidR="00595021" w:rsidRPr="00B63640" w:rsidRDefault="00595021" w:rsidP="00C35795">
            <w:pPr>
              <w:spacing w:line="240" w:lineRule="auto"/>
              <w:contextualSpacing/>
              <w:rPr>
                <w:color w:val="000000"/>
                <w:sz w:val="16"/>
                <w:szCs w:val="16"/>
                <w:lang w:eastAsia="es-ES"/>
              </w:rPr>
            </w:pPr>
            <w:r>
              <w:rPr>
                <w:color w:val="000000"/>
                <w:sz w:val="16"/>
                <w:szCs w:val="16"/>
                <w:lang w:eastAsia="es-ES"/>
              </w:rPr>
              <w:t>Maximize: travel speed and transport capacity/availability</w:t>
            </w:r>
          </w:p>
        </w:tc>
        <w:tc>
          <w:tcPr>
            <w:tcW w:w="1201" w:type="dxa"/>
            <w:vAlign w:val="center"/>
          </w:tcPr>
          <w:p w14:paraId="72328955" w14:textId="41F2A2F7" w:rsidR="00595021" w:rsidRPr="00595021" w:rsidRDefault="00595021"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1E432B9B" w14:textId="17CB8861" w:rsidTr="00541FA1">
        <w:trPr>
          <w:trHeight w:val="341"/>
          <w:jc w:val="center"/>
        </w:trPr>
        <w:tc>
          <w:tcPr>
            <w:tcW w:w="1660" w:type="dxa"/>
            <w:shd w:val="clear" w:color="auto" w:fill="auto"/>
            <w:vAlign w:val="center"/>
          </w:tcPr>
          <w:p w14:paraId="00FF49F9" w14:textId="35E00858" w:rsidR="00595021" w:rsidRDefault="00595021" w:rsidP="00C35795">
            <w:pPr>
              <w:spacing w:line="240" w:lineRule="auto"/>
              <w:contextualSpacing/>
              <w:jc w:val="center"/>
              <w:rPr>
                <w:color w:val="000000"/>
                <w:sz w:val="18"/>
                <w:szCs w:val="18"/>
                <w:lang w:eastAsia="es-ES"/>
              </w:rPr>
            </w:pPr>
            <w:r>
              <w:rPr>
                <w:color w:val="000000"/>
                <w:sz w:val="18"/>
                <w:szCs w:val="18"/>
                <w:lang w:eastAsia="es-ES"/>
              </w:rPr>
              <w:t>PrT infrastructure capacity</w:t>
            </w:r>
          </w:p>
        </w:tc>
        <w:tc>
          <w:tcPr>
            <w:tcW w:w="5776" w:type="dxa"/>
            <w:vAlign w:val="center"/>
          </w:tcPr>
          <w:p w14:paraId="5CC575C0" w14:textId="7914884A" w:rsidR="00595021" w:rsidRPr="000743C4" w:rsidRDefault="00595021" w:rsidP="00C35795">
            <w:pPr>
              <w:spacing w:line="240" w:lineRule="auto"/>
              <w:contextualSpacing/>
              <w:rPr>
                <w:color w:val="000000"/>
                <w:sz w:val="16"/>
                <w:szCs w:val="16"/>
                <w:lang w:val="en-US" w:eastAsia="es-ES"/>
              </w:rPr>
            </w:pPr>
            <w:r>
              <w:rPr>
                <w:color w:val="000000"/>
                <w:sz w:val="16"/>
                <w:szCs w:val="16"/>
                <w:lang w:val="en-US" w:eastAsia="es-ES"/>
              </w:rPr>
              <w:t>T</w:t>
            </w:r>
            <w:r w:rsidRPr="000743C4">
              <w:rPr>
                <w:color w:val="000000"/>
                <w:sz w:val="16"/>
                <w:szCs w:val="16"/>
                <w:lang w:val="en-US" w:eastAsia="es-ES"/>
              </w:rPr>
              <w:t>he quality of existing highways should be maintained</w:t>
            </w:r>
            <w:r>
              <w:rPr>
                <w:color w:val="000000"/>
                <w:sz w:val="16"/>
                <w:szCs w:val="16"/>
                <w:lang w:val="en-US" w:eastAsia="es-ES"/>
              </w:rPr>
              <w:t>, while at same time</w:t>
            </w:r>
            <w:r>
              <w:rPr>
                <w:color w:val="000000"/>
                <w:sz w:val="16"/>
                <w:szCs w:val="16"/>
                <w:lang w:eastAsia="es-ES"/>
              </w:rPr>
              <w:t xml:space="preserve"> avoid PrT infrastructure expansion that induces PrT travel demand </w:t>
            </w:r>
            <w:r w:rsidR="00DD794F">
              <w:rPr>
                <w:color w:val="000000"/>
                <w:sz w:val="16"/>
                <w:szCs w:val="16"/>
                <w:lang w:eastAsia="es-ES"/>
              </w:rPr>
              <w:t>(T. Ramani, 2018)</w:t>
            </w:r>
            <w:r>
              <w:rPr>
                <w:color w:val="000000"/>
                <w:sz w:val="16"/>
                <w:szCs w:val="16"/>
                <w:lang w:eastAsia="es-ES"/>
              </w:rPr>
              <w:t>.</w:t>
            </w:r>
          </w:p>
        </w:tc>
        <w:tc>
          <w:tcPr>
            <w:tcW w:w="1201" w:type="dxa"/>
            <w:vAlign w:val="center"/>
          </w:tcPr>
          <w:p w14:paraId="763BA682" w14:textId="3E109F85" w:rsidR="00595021" w:rsidRPr="00595021" w:rsidRDefault="00595021" w:rsidP="00595021">
            <w:pPr>
              <w:spacing w:line="240" w:lineRule="auto"/>
              <w:jc w:val="center"/>
              <w:rPr>
                <w:b/>
                <w:bCs/>
                <w:color w:val="000000"/>
                <w:sz w:val="18"/>
                <w:szCs w:val="18"/>
                <w:lang w:eastAsia="es-ES"/>
              </w:rPr>
            </w:pPr>
            <w:r>
              <w:rPr>
                <w:b/>
                <w:bCs/>
                <w:color w:val="000000"/>
                <w:sz w:val="18"/>
                <w:szCs w:val="18"/>
                <w:lang w:eastAsia="es-ES"/>
              </w:rPr>
              <w:sym w:font="Symbol" w:char="F0AF"/>
            </w:r>
          </w:p>
        </w:tc>
      </w:tr>
      <w:tr w:rsidR="00595021" w:rsidRPr="00B63640" w14:paraId="5154A115" w14:textId="6408AFC8" w:rsidTr="00541FA1">
        <w:trPr>
          <w:trHeight w:val="1083"/>
          <w:jc w:val="center"/>
        </w:trPr>
        <w:tc>
          <w:tcPr>
            <w:tcW w:w="1660" w:type="dxa"/>
            <w:shd w:val="clear" w:color="auto" w:fill="auto"/>
            <w:vAlign w:val="center"/>
          </w:tcPr>
          <w:p w14:paraId="39EF7B55" w14:textId="77777777" w:rsidR="00595021" w:rsidRPr="00B63640" w:rsidRDefault="00595021" w:rsidP="00C35795">
            <w:pPr>
              <w:spacing w:line="240" w:lineRule="auto"/>
              <w:contextualSpacing/>
              <w:jc w:val="center"/>
              <w:rPr>
                <w:color w:val="000000"/>
                <w:sz w:val="18"/>
                <w:szCs w:val="18"/>
                <w:lang w:eastAsia="es-ES"/>
              </w:rPr>
            </w:pPr>
            <w:r>
              <w:rPr>
                <w:color w:val="000000"/>
                <w:sz w:val="18"/>
                <w:szCs w:val="18"/>
                <w:lang w:eastAsia="es-ES"/>
              </w:rPr>
              <w:t>Multimodality &amp; Intermodality</w:t>
            </w:r>
          </w:p>
        </w:tc>
        <w:tc>
          <w:tcPr>
            <w:tcW w:w="5776" w:type="dxa"/>
            <w:vAlign w:val="center"/>
          </w:tcPr>
          <w:p w14:paraId="335B518F" w14:textId="61B890AC" w:rsidR="00595021" w:rsidRPr="00B63640" w:rsidRDefault="00595021" w:rsidP="00C35795">
            <w:pPr>
              <w:spacing w:line="240" w:lineRule="auto"/>
              <w:contextualSpacing/>
              <w:rPr>
                <w:color w:val="000000"/>
                <w:sz w:val="16"/>
                <w:szCs w:val="16"/>
                <w:lang w:eastAsia="es-ES"/>
              </w:rPr>
            </w:pPr>
            <w:r>
              <w:rPr>
                <w:color w:val="000000"/>
                <w:sz w:val="16"/>
                <w:szCs w:val="16"/>
                <w:lang w:eastAsia="es-ES"/>
              </w:rPr>
              <w:t xml:space="preserve">The availability of different mobility subsystems, and their ability to function as a whole. </w:t>
            </w:r>
            <w:r w:rsidR="00DD794F">
              <w:rPr>
                <w:color w:val="000000"/>
                <w:sz w:val="16"/>
                <w:szCs w:val="16"/>
                <w:lang w:eastAsia="es-ES"/>
              </w:rPr>
              <w:t>(Gillis et al., 2016)</w:t>
            </w:r>
            <w:r>
              <w:rPr>
                <w:color w:val="000000"/>
                <w:sz w:val="16"/>
                <w:szCs w:val="16"/>
                <w:lang w:eastAsia="es-ES"/>
              </w:rPr>
              <w:t xml:space="preserve">. </w:t>
            </w:r>
            <w:r w:rsidRPr="00B63640">
              <w:rPr>
                <w:color w:val="000000"/>
                <w:sz w:val="16"/>
                <w:szCs w:val="16"/>
                <w:lang w:eastAsia="es-ES"/>
              </w:rPr>
              <w:t xml:space="preserve">Maximize: the integration of the different transport modes, the interoperability of networks and the ability to effectively connect origins and destinations, the transport network capacity of sustainable transport modes </w:t>
            </w:r>
            <w:r w:rsidR="00DD794F">
              <w:rPr>
                <w:color w:val="000000"/>
                <w:sz w:val="16"/>
                <w:szCs w:val="16"/>
                <w:lang w:eastAsia="es-ES"/>
              </w:rPr>
              <w:t>(Yannis et al., 2020)</w:t>
            </w:r>
          </w:p>
        </w:tc>
        <w:tc>
          <w:tcPr>
            <w:tcW w:w="1201" w:type="dxa"/>
            <w:vAlign w:val="center"/>
          </w:tcPr>
          <w:p w14:paraId="3C4C6DBD" w14:textId="1462ADAF" w:rsidR="00595021" w:rsidRPr="00595021" w:rsidRDefault="00595021"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4B92B133" w14:textId="5B1AC80C" w:rsidTr="00541FA1">
        <w:trPr>
          <w:trHeight w:val="1579"/>
          <w:jc w:val="center"/>
        </w:trPr>
        <w:tc>
          <w:tcPr>
            <w:tcW w:w="1660" w:type="dxa"/>
            <w:shd w:val="clear" w:color="auto" w:fill="auto"/>
            <w:vAlign w:val="center"/>
          </w:tcPr>
          <w:p w14:paraId="27C8EF9F" w14:textId="77777777" w:rsidR="00595021" w:rsidRDefault="00595021" w:rsidP="00C35795">
            <w:pPr>
              <w:spacing w:line="240" w:lineRule="auto"/>
              <w:contextualSpacing/>
              <w:jc w:val="center"/>
              <w:rPr>
                <w:color w:val="000000"/>
                <w:sz w:val="18"/>
                <w:szCs w:val="18"/>
                <w:lang w:eastAsia="es-ES"/>
              </w:rPr>
            </w:pPr>
            <w:r>
              <w:rPr>
                <w:color w:val="000000"/>
                <w:sz w:val="18"/>
                <w:szCs w:val="18"/>
                <w:lang w:eastAsia="es-ES"/>
              </w:rPr>
              <w:t>Freight transport</w:t>
            </w:r>
          </w:p>
        </w:tc>
        <w:tc>
          <w:tcPr>
            <w:tcW w:w="5776" w:type="dxa"/>
            <w:vAlign w:val="center"/>
          </w:tcPr>
          <w:p w14:paraId="629D6759" w14:textId="0B9158B6" w:rsidR="00595021" w:rsidRPr="000C4E04" w:rsidRDefault="00595021" w:rsidP="00C35795">
            <w:pPr>
              <w:spacing w:line="240" w:lineRule="auto"/>
              <w:contextualSpacing/>
              <w:rPr>
                <w:color w:val="000000"/>
                <w:sz w:val="16"/>
                <w:szCs w:val="16"/>
                <w:lang w:val="en-US" w:eastAsia="es-ES"/>
              </w:rPr>
            </w:pPr>
            <w:r>
              <w:rPr>
                <w:color w:val="000000"/>
                <w:sz w:val="16"/>
                <w:szCs w:val="16"/>
                <w:lang w:val="en-US" w:eastAsia="es-ES"/>
              </w:rPr>
              <w:t xml:space="preserve">Is the process of transporting commodities and merchandise goods and cargo. Within cities, ‘sustainable freight’ can encapsulate the intelligent movements of raw materials and goods at the intermediate stages of supply chains, smart deliveries to points of sale or consumers, traffic supporting construction activity, low-energy vehicles used to deliver services, and for the removal of waste </w:t>
            </w:r>
            <w:r w:rsidR="00DD794F">
              <w:rPr>
                <w:color w:val="000000"/>
                <w:sz w:val="16"/>
                <w:szCs w:val="16"/>
                <w:lang w:val="en-US" w:eastAsia="es-ES"/>
              </w:rPr>
              <w:t>(McLeod &amp; Curtis, 2020)</w:t>
            </w:r>
            <w:r>
              <w:rPr>
                <w:color w:val="000000"/>
                <w:sz w:val="16"/>
                <w:szCs w:val="16"/>
                <w:lang w:val="en-US" w:eastAsia="es-ES"/>
              </w:rPr>
              <w:t>. T</w:t>
            </w:r>
            <w:r w:rsidRPr="000779BD">
              <w:rPr>
                <w:color w:val="000000"/>
                <w:sz w:val="16"/>
                <w:szCs w:val="16"/>
                <w:lang w:val="en-US" w:eastAsia="es-ES"/>
              </w:rPr>
              <w:t>his goal addresses trade opportunity, freight movement, faster deliveries, and the means of enabling transportation to serve local trade, job opportunities, and businesses</w:t>
            </w:r>
            <w:r>
              <w:rPr>
                <w:color w:val="000000"/>
                <w:sz w:val="16"/>
                <w:szCs w:val="16"/>
                <w:lang w:val="en-US" w:eastAsia="es-ES"/>
              </w:rPr>
              <w:t xml:space="preserve"> </w:t>
            </w:r>
            <w:r w:rsidR="00DD794F">
              <w:rPr>
                <w:color w:val="000000"/>
                <w:sz w:val="16"/>
                <w:szCs w:val="16"/>
                <w:lang w:val="en-US" w:eastAsia="es-ES"/>
              </w:rPr>
              <w:t>(T. Ramani, 2018)</w:t>
            </w:r>
            <w:r w:rsidRPr="000779BD">
              <w:rPr>
                <w:color w:val="000000"/>
                <w:sz w:val="16"/>
                <w:szCs w:val="16"/>
                <w:lang w:val="en-US" w:eastAsia="es-ES"/>
              </w:rPr>
              <w:t>.</w:t>
            </w:r>
          </w:p>
        </w:tc>
        <w:tc>
          <w:tcPr>
            <w:tcW w:w="1201" w:type="dxa"/>
            <w:vAlign w:val="center"/>
          </w:tcPr>
          <w:p w14:paraId="2D794CC7" w14:textId="28ADBEC9" w:rsidR="00595021" w:rsidRPr="00595021" w:rsidRDefault="00595021"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182CBF13" w14:textId="21832EA9" w:rsidTr="00541FA1">
        <w:trPr>
          <w:trHeight w:val="822"/>
          <w:jc w:val="center"/>
        </w:trPr>
        <w:tc>
          <w:tcPr>
            <w:tcW w:w="1660" w:type="dxa"/>
            <w:tcBorders>
              <w:bottom w:val="single" w:sz="4" w:space="0" w:color="auto"/>
            </w:tcBorders>
            <w:shd w:val="clear" w:color="auto" w:fill="auto"/>
            <w:vAlign w:val="center"/>
            <w:hideMark/>
          </w:tcPr>
          <w:p w14:paraId="55A4D2A2" w14:textId="77777777" w:rsidR="00595021" w:rsidRPr="00B63640" w:rsidRDefault="00595021" w:rsidP="00C35795">
            <w:pPr>
              <w:spacing w:line="240" w:lineRule="auto"/>
              <w:contextualSpacing/>
              <w:jc w:val="center"/>
              <w:rPr>
                <w:color w:val="000000"/>
                <w:sz w:val="18"/>
                <w:szCs w:val="18"/>
                <w:lang w:eastAsia="es-ES"/>
              </w:rPr>
            </w:pPr>
            <w:r>
              <w:rPr>
                <w:color w:val="000000"/>
                <w:sz w:val="18"/>
                <w:szCs w:val="18"/>
                <w:lang w:eastAsia="es-ES"/>
              </w:rPr>
              <w:t>Information systems (ICT)</w:t>
            </w:r>
          </w:p>
        </w:tc>
        <w:tc>
          <w:tcPr>
            <w:tcW w:w="5776" w:type="dxa"/>
            <w:tcBorders>
              <w:bottom w:val="single" w:sz="4" w:space="0" w:color="auto"/>
            </w:tcBorders>
            <w:vAlign w:val="center"/>
          </w:tcPr>
          <w:p w14:paraId="2F317A47" w14:textId="2D147058" w:rsidR="00595021" w:rsidRPr="00780B75" w:rsidRDefault="00595021" w:rsidP="00C35795">
            <w:pPr>
              <w:spacing w:line="240" w:lineRule="auto"/>
              <w:contextualSpacing/>
              <w:rPr>
                <w:color w:val="000000"/>
                <w:sz w:val="16"/>
                <w:szCs w:val="16"/>
                <w:lang w:val="en-US" w:eastAsia="es-ES"/>
              </w:rPr>
            </w:pPr>
            <w:r>
              <w:rPr>
                <w:color w:val="000000"/>
                <w:sz w:val="16"/>
                <w:szCs w:val="16"/>
                <w:lang w:eastAsia="es-ES"/>
              </w:rPr>
              <w:t xml:space="preserve">Group of advanced applications that aim to provide services relating to different transport modes and traffic management, enabling users </w:t>
            </w:r>
            <w:r w:rsidRPr="00780B75">
              <w:rPr>
                <w:color w:val="000000"/>
                <w:sz w:val="16"/>
                <w:szCs w:val="16"/>
                <w:lang w:val="en-US" w:eastAsia="es-ES"/>
              </w:rPr>
              <w:t>to ‘economize time, improve individual mobility, facilitate access to information and services, save energy and resources, and participate in urban decision-making processes'</w:t>
            </w:r>
            <w:r>
              <w:rPr>
                <w:color w:val="000000"/>
                <w:sz w:val="16"/>
                <w:szCs w:val="16"/>
                <w:lang w:val="en-US" w:eastAsia="es-ES"/>
              </w:rPr>
              <w:t xml:space="preserve"> </w:t>
            </w:r>
            <w:r w:rsidR="00DD794F">
              <w:rPr>
                <w:color w:val="000000"/>
                <w:sz w:val="16"/>
                <w:szCs w:val="16"/>
                <w:lang w:val="en-US" w:eastAsia="es-ES"/>
              </w:rPr>
              <w:t>(Garau et al., 2016)</w:t>
            </w:r>
            <w:r>
              <w:rPr>
                <w:color w:val="000000"/>
                <w:sz w:val="16"/>
                <w:szCs w:val="16"/>
                <w:lang w:val="en-US" w:eastAsia="es-ES"/>
              </w:rPr>
              <w:t>.</w:t>
            </w:r>
          </w:p>
        </w:tc>
        <w:tc>
          <w:tcPr>
            <w:tcW w:w="1201" w:type="dxa"/>
            <w:vAlign w:val="center"/>
          </w:tcPr>
          <w:p w14:paraId="40A1BDFF" w14:textId="2C7CDEF1" w:rsidR="00595021" w:rsidRPr="00595021" w:rsidRDefault="00595021"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4762C33C" w14:textId="1802A6BF" w:rsidTr="00541FA1">
        <w:trPr>
          <w:trHeight w:val="468"/>
          <w:jc w:val="center"/>
        </w:trPr>
        <w:tc>
          <w:tcPr>
            <w:tcW w:w="7436" w:type="dxa"/>
            <w:gridSpan w:val="2"/>
            <w:tcBorders>
              <w:top w:val="single" w:sz="4" w:space="0" w:color="auto"/>
              <w:bottom w:val="single" w:sz="4" w:space="0" w:color="auto"/>
            </w:tcBorders>
            <w:shd w:val="clear" w:color="auto" w:fill="auto"/>
            <w:vAlign w:val="center"/>
          </w:tcPr>
          <w:p w14:paraId="07AB081C" w14:textId="77777777" w:rsidR="00595021" w:rsidRPr="00C1374F" w:rsidRDefault="00595021" w:rsidP="00C35795">
            <w:pPr>
              <w:spacing w:line="240" w:lineRule="auto"/>
              <w:jc w:val="center"/>
              <w:rPr>
                <w:b/>
                <w:bCs/>
                <w:color w:val="000000"/>
                <w:sz w:val="22"/>
                <w:szCs w:val="22"/>
                <w:lang w:eastAsia="es-ES"/>
              </w:rPr>
            </w:pPr>
            <w:r w:rsidRPr="00C1374F">
              <w:rPr>
                <w:b/>
                <w:bCs/>
                <w:color w:val="000000"/>
                <w:sz w:val="22"/>
                <w:szCs w:val="22"/>
                <w:lang w:eastAsia="es-ES"/>
              </w:rPr>
              <w:t>Social dimension</w:t>
            </w:r>
          </w:p>
        </w:tc>
        <w:tc>
          <w:tcPr>
            <w:tcW w:w="1201" w:type="dxa"/>
            <w:vAlign w:val="center"/>
          </w:tcPr>
          <w:p w14:paraId="38C3AF53" w14:textId="77777777" w:rsidR="00595021" w:rsidRPr="00595021" w:rsidRDefault="00595021" w:rsidP="00C35795">
            <w:pPr>
              <w:spacing w:line="240" w:lineRule="auto"/>
              <w:jc w:val="center"/>
              <w:rPr>
                <w:b/>
                <w:bCs/>
                <w:color w:val="000000"/>
                <w:sz w:val="18"/>
                <w:szCs w:val="18"/>
                <w:lang w:eastAsia="es-ES"/>
              </w:rPr>
            </w:pPr>
          </w:p>
        </w:tc>
      </w:tr>
      <w:tr w:rsidR="00595021" w:rsidRPr="00B63640" w14:paraId="692763A8" w14:textId="4629D6FF" w:rsidTr="00541FA1">
        <w:trPr>
          <w:trHeight w:val="493"/>
          <w:jc w:val="center"/>
        </w:trPr>
        <w:tc>
          <w:tcPr>
            <w:tcW w:w="1660" w:type="dxa"/>
            <w:tcBorders>
              <w:top w:val="single" w:sz="4" w:space="0" w:color="auto"/>
            </w:tcBorders>
            <w:shd w:val="clear" w:color="auto" w:fill="auto"/>
            <w:vAlign w:val="center"/>
          </w:tcPr>
          <w:p w14:paraId="32E89CF4" w14:textId="77777777" w:rsidR="00595021" w:rsidRPr="00B63640" w:rsidRDefault="00595021" w:rsidP="00C35795">
            <w:pPr>
              <w:spacing w:line="240" w:lineRule="auto"/>
              <w:jc w:val="center"/>
              <w:rPr>
                <w:color w:val="000000"/>
                <w:sz w:val="18"/>
                <w:szCs w:val="18"/>
                <w:lang w:eastAsia="es-ES"/>
              </w:rPr>
            </w:pPr>
            <w:r>
              <w:rPr>
                <w:color w:val="000000"/>
                <w:sz w:val="18"/>
                <w:szCs w:val="18"/>
                <w:lang w:eastAsia="es-ES"/>
              </w:rPr>
              <w:t>Road s</w:t>
            </w:r>
            <w:r w:rsidRPr="00B63640">
              <w:rPr>
                <w:color w:val="000000"/>
                <w:sz w:val="18"/>
                <w:szCs w:val="18"/>
                <w:lang w:eastAsia="es-ES"/>
              </w:rPr>
              <w:t>afety</w:t>
            </w:r>
          </w:p>
        </w:tc>
        <w:tc>
          <w:tcPr>
            <w:tcW w:w="5776" w:type="dxa"/>
            <w:tcBorders>
              <w:top w:val="single" w:sz="4" w:space="0" w:color="auto"/>
            </w:tcBorders>
            <w:vAlign w:val="center"/>
          </w:tcPr>
          <w:p w14:paraId="20DA1369" w14:textId="07C17509" w:rsidR="00595021" w:rsidRPr="00B63640" w:rsidRDefault="00595021" w:rsidP="00C35795">
            <w:pPr>
              <w:spacing w:line="240" w:lineRule="auto"/>
              <w:rPr>
                <w:color w:val="000000"/>
                <w:sz w:val="16"/>
                <w:szCs w:val="16"/>
                <w:lang w:eastAsia="es-ES"/>
              </w:rPr>
            </w:pPr>
            <w:r>
              <w:rPr>
                <w:color w:val="000000"/>
                <w:sz w:val="16"/>
                <w:szCs w:val="16"/>
                <w:lang w:eastAsia="es-ES"/>
              </w:rPr>
              <w:t>A sustainable road safety intends to m</w:t>
            </w:r>
            <w:r w:rsidRPr="00B63640">
              <w:rPr>
                <w:color w:val="000000"/>
                <w:sz w:val="16"/>
                <w:szCs w:val="16"/>
                <w:lang w:eastAsia="es-ES"/>
              </w:rPr>
              <w:t xml:space="preserve">inimize </w:t>
            </w:r>
            <w:r>
              <w:rPr>
                <w:color w:val="000000"/>
                <w:sz w:val="16"/>
                <w:szCs w:val="16"/>
                <w:lang w:eastAsia="es-ES"/>
              </w:rPr>
              <w:t xml:space="preserve">the </w:t>
            </w:r>
            <w:r w:rsidRPr="00B63640">
              <w:rPr>
                <w:color w:val="000000"/>
                <w:sz w:val="16"/>
                <w:szCs w:val="16"/>
                <w:lang w:eastAsia="es-ES"/>
              </w:rPr>
              <w:t>number of accidents, fatalities and injuries</w:t>
            </w:r>
            <w:r>
              <w:rPr>
                <w:color w:val="000000"/>
                <w:sz w:val="16"/>
                <w:szCs w:val="16"/>
                <w:lang w:eastAsia="es-ES"/>
              </w:rPr>
              <w:t xml:space="preserve"> and maximize </w:t>
            </w:r>
            <w:r w:rsidRPr="00B63640">
              <w:rPr>
                <w:color w:val="000000"/>
                <w:sz w:val="16"/>
                <w:szCs w:val="16"/>
                <w:lang w:eastAsia="es-ES"/>
              </w:rPr>
              <w:t xml:space="preserve">safe streets, crossings, and public spaces, especially for non-motorized transport and vulnerable groups </w:t>
            </w:r>
            <w:r w:rsidR="00DD794F">
              <w:rPr>
                <w:color w:val="000000"/>
                <w:sz w:val="16"/>
                <w:szCs w:val="16"/>
                <w:lang w:eastAsia="es-ES"/>
              </w:rPr>
              <w:t>(Yannis et al., 2020)</w:t>
            </w:r>
            <w:r>
              <w:rPr>
                <w:color w:val="000000"/>
                <w:sz w:val="16"/>
                <w:szCs w:val="16"/>
                <w:lang w:eastAsia="es-ES"/>
              </w:rPr>
              <w:t>.</w:t>
            </w:r>
            <w:r w:rsidRPr="00B63640">
              <w:rPr>
                <w:color w:val="000000"/>
                <w:sz w:val="16"/>
                <w:szCs w:val="16"/>
                <w:lang w:eastAsia="es-ES"/>
              </w:rPr>
              <w:t xml:space="preserve"> </w:t>
            </w:r>
          </w:p>
        </w:tc>
        <w:tc>
          <w:tcPr>
            <w:tcW w:w="1201" w:type="dxa"/>
            <w:vAlign w:val="center"/>
          </w:tcPr>
          <w:p w14:paraId="4E29D84A" w14:textId="5A1A7FF8"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3689A7FD" w14:textId="365B7F0D" w:rsidTr="00541FA1">
        <w:trPr>
          <w:trHeight w:val="649"/>
          <w:jc w:val="center"/>
        </w:trPr>
        <w:tc>
          <w:tcPr>
            <w:tcW w:w="1660" w:type="dxa"/>
            <w:shd w:val="clear" w:color="auto" w:fill="auto"/>
            <w:vAlign w:val="center"/>
          </w:tcPr>
          <w:p w14:paraId="27270CEF" w14:textId="77777777" w:rsidR="00595021" w:rsidRPr="00B63640" w:rsidRDefault="00595021" w:rsidP="00C35795">
            <w:pPr>
              <w:spacing w:line="240" w:lineRule="auto"/>
              <w:jc w:val="center"/>
              <w:rPr>
                <w:color w:val="000000"/>
                <w:sz w:val="18"/>
                <w:szCs w:val="18"/>
                <w:lang w:eastAsia="es-ES"/>
              </w:rPr>
            </w:pPr>
            <w:r w:rsidRPr="00B63640">
              <w:rPr>
                <w:color w:val="000000"/>
                <w:sz w:val="18"/>
                <w:szCs w:val="18"/>
                <w:lang w:eastAsia="es-ES"/>
              </w:rPr>
              <w:t>Security</w:t>
            </w:r>
          </w:p>
        </w:tc>
        <w:tc>
          <w:tcPr>
            <w:tcW w:w="5776" w:type="dxa"/>
            <w:vAlign w:val="center"/>
          </w:tcPr>
          <w:p w14:paraId="2027EBB1" w14:textId="77777777" w:rsidR="00595021" w:rsidRPr="00B63640" w:rsidRDefault="00595021" w:rsidP="00C35795">
            <w:pPr>
              <w:spacing w:line="240" w:lineRule="auto"/>
              <w:rPr>
                <w:color w:val="000000"/>
                <w:sz w:val="16"/>
                <w:szCs w:val="16"/>
                <w:lang w:eastAsia="es-ES"/>
              </w:rPr>
            </w:pPr>
            <w:r>
              <w:rPr>
                <w:color w:val="000000"/>
                <w:sz w:val="16"/>
                <w:szCs w:val="16"/>
                <w:lang w:eastAsia="es-ES"/>
              </w:rPr>
              <w:t>Transport security refers as measures taken to protect people from theft, crime, violence, or other harm, in the public spaces and in the vehicles.</w:t>
            </w:r>
          </w:p>
        </w:tc>
        <w:tc>
          <w:tcPr>
            <w:tcW w:w="1201" w:type="dxa"/>
            <w:vAlign w:val="center"/>
          </w:tcPr>
          <w:p w14:paraId="6F25EC56" w14:textId="45AC2BBA"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43C148A6" w14:textId="1CE89E8C" w:rsidTr="00541FA1">
        <w:trPr>
          <w:trHeight w:val="1012"/>
          <w:jc w:val="center"/>
        </w:trPr>
        <w:tc>
          <w:tcPr>
            <w:tcW w:w="1660" w:type="dxa"/>
            <w:shd w:val="clear" w:color="auto" w:fill="auto"/>
            <w:vAlign w:val="center"/>
          </w:tcPr>
          <w:p w14:paraId="59FE61B6" w14:textId="77777777" w:rsidR="00595021" w:rsidRPr="00B63640" w:rsidRDefault="00595021" w:rsidP="00C35795">
            <w:pPr>
              <w:spacing w:line="240" w:lineRule="auto"/>
              <w:jc w:val="center"/>
              <w:rPr>
                <w:color w:val="000000"/>
                <w:sz w:val="18"/>
                <w:szCs w:val="18"/>
                <w:lang w:eastAsia="es-ES"/>
              </w:rPr>
            </w:pPr>
            <w:r w:rsidRPr="00B63640">
              <w:rPr>
                <w:color w:val="000000"/>
                <w:sz w:val="18"/>
                <w:szCs w:val="18"/>
                <w:lang w:eastAsia="es-ES"/>
              </w:rPr>
              <w:t>Accessibility</w:t>
            </w:r>
          </w:p>
        </w:tc>
        <w:tc>
          <w:tcPr>
            <w:tcW w:w="5776" w:type="dxa"/>
            <w:vAlign w:val="center"/>
          </w:tcPr>
          <w:p w14:paraId="0EF763EE" w14:textId="1F3D494F" w:rsidR="00595021" w:rsidRPr="00B63640" w:rsidRDefault="00595021" w:rsidP="00C35795">
            <w:pPr>
              <w:spacing w:line="240" w:lineRule="auto"/>
              <w:rPr>
                <w:color w:val="000000"/>
                <w:sz w:val="16"/>
                <w:szCs w:val="16"/>
                <w:lang w:eastAsia="es-ES"/>
              </w:rPr>
            </w:pPr>
            <w:r>
              <w:rPr>
                <w:color w:val="000000"/>
                <w:sz w:val="16"/>
                <w:szCs w:val="16"/>
                <w:lang w:eastAsia="es-ES"/>
              </w:rPr>
              <w:t xml:space="preserve">There is not a single definition of accessibility. However, for the purpose of this review, the most suitable definition is the capacity of cities to allow people to move efficiently by guaranteeing equity and equal access to personal and professional opportunities either by public or private transport. It also encompasses the availability of services for disabled or disadvantaged people </w:t>
            </w:r>
            <w:r w:rsidR="00DD794F">
              <w:rPr>
                <w:color w:val="000000"/>
                <w:sz w:val="16"/>
                <w:szCs w:val="16"/>
                <w:lang w:eastAsia="es-ES"/>
              </w:rPr>
              <w:t>(Biazzo et al., 2019)</w:t>
            </w:r>
            <w:r>
              <w:rPr>
                <w:color w:val="000000"/>
                <w:sz w:val="16"/>
                <w:szCs w:val="16"/>
                <w:lang w:eastAsia="es-ES"/>
              </w:rPr>
              <w:t>.</w:t>
            </w:r>
          </w:p>
        </w:tc>
        <w:tc>
          <w:tcPr>
            <w:tcW w:w="1201" w:type="dxa"/>
            <w:vAlign w:val="center"/>
          </w:tcPr>
          <w:p w14:paraId="23172BB7" w14:textId="79166837"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583C0308" w14:textId="4AF4D090" w:rsidTr="00541FA1">
        <w:trPr>
          <w:trHeight w:val="503"/>
          <w:jc w:val="center"/>
        </w:trPr>
        <w:tc>
          <w:tcPr>
            <w:tcW w:w="1660" w:type="dxa"/>
            <w:shd w:val="clear" w:color="auto" w:fill="auto"/>
            <w:vAlign w:val="center"/>
          </w:tcPr>
          <w:p w14:paraId="690CE211" w14:textId="77777777" w:rsidR="00595021" w:rsidRPr="00B63640" w:rsidRDefault="00595021" w:rsidP="00C35795">
            <w:pPr>
              <w:spacing w:line="240" w:lineRule="auto"/>
              <w:jc w:val="center"/>
              <w:rPr>
                <w:color w:val="000000"/>
                <w:sz w:val="18"/>
                <w:szCs w:val="18"/>
                <w:lang w:eastAsia="es-ES"/>
              </w:rPr>
            </w:pPr>
            <w:r w:rsidRPr="00B63640">
              <w:rPr>
                <w:color w:val="000000"/>
                <w:sz w:val="18"/>
                <w:szCs w:val="18"/>
                <w:lang w:eastAsia="es-ES"/>
              </w:rPr>
              <w:t>Affordability</w:t>
            </w:r>
          </w:p>
        </w:tc>
        <w:tc>
          <w:tcPr>
            <w:tcW w:w="5776" w:type="dxa"/>
            <w:vAlign w:val="center"/>
          </w:tcPr>
          <w:p w14:paraId="2E49973E" w14:textId="08FB6247" w:rsidR="00595021" w:rsidRPr="00B63640" w:rsidRDefault="00595021" w:rsidP="00C35795">
            <w:pPr>
              <w:spacing w:line="240" w:lineRule="auto"/>
              <w:rPr>
                <w:color w:val="000000"/>
                <w:sz w:val="16"/>
                <w:szCs w:val="16"/>
                <w:lang w:eastAsia="es-ES"/>
              </w:rPr>
            </w:pPr>
            <w:r>
              <w:rPr>
                <w:color w:val="000000"/>
                <w:sz w:val="16"/>
                <w:szCs w:val="16"/>
                <w:lang w:eastAsia="es-ES"/>
              </w:rPr>
              <w:t xml:space="preserve">It is an important add-on to the principle of accessible cities, meaning the economic capability of citizens to afford the use of the transport services in order to be integrated into the economic and social life of a city </w:t>
            </w:r>
            <w:r w:rsidR="00DD794F">
              <w:rPr>
                <w:color w:val="000000"/>
                <w:sz w:val="16"/>
                <w:szCs w:val="16"/>
                <w:lang w:eastAsia="es-ES"/>
              </w:rPr>
              <w:t>(Robert Cervero, Erick Guerra, and Stefan Al, 2017)</w:t>
            </w:r>
            <w:r>
              <w:rPr>
                <w:color w:val="000000"/>
                <w:sz w:val="16"/>
                <w:szCs w:val="16"/>
                <w:lang w:eastAsia="es-ES"/>
              </w:rPr>
              <w:t>.</w:t>
            </w:r>
          </w:p>
        </w:tc>
        <w:tc>
          <w:tcPr>
            <w:tcW w:w="1201" w:type="dxa"/>
            <w:vAlign w:val="center"/>
          </w:tcPr>
          <w:p w14:paraId="2CF21049" w14:textId="6BA90A87"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661C3A5A" w14:textId="5D67908B" w:rsidTr="00541FA1">
        <w:trPr>
          <w:trHeight w:val="1001"/>
          <w:jc w:val="center"/>
        </w:trPr>
        <w:tc>
          <w:tcPr>
            <w:tcW w:w="1660" w:type="dxa"/>
            <w:shd w:val="clear" w:color="auto" w:fill="auto"/>
            <w:vAlign w:val="center"/>
          </w:tcPr>
          <w:p w14:paraId="114D3E20" w14:textId="77777777" w:rsidR="00595021" w:rsidRPr="00B63640" w:rsidRDefault="00595021" w:rsidP="00C35795">
            <w:pPr>
              <w:spacing w:line="240" w:lineRule="auto"/>
              <w:jc w:val="center"/>
              <w:rPr>
                <w:color w:val="000000"/>
                <w:sz w:val="18"/>
                <w:szCs w:val="18"/>
                <w:lang w:eastAsia="es-ES"/>
              </w:rPr>
            </w:pPr>
            <w:r>
              <w:rPr>
                <w:color w:val="000000"/>
                <w:sz w:val="18"/>
                <w:szCs w:val="18"/>
                <w:lang w:eastAsia="es-ES"/>
              </w:rPr>
              <w:lastRenderedPageBreak/>
              <w:t>PT service quality</w:t>
            </w:r>
          </w:p>
        </w:tc>
        <w:tc>
          <w:tcPr>
            <w:tcW w:w="5776" w:type="dxa"/>
            <w:vAlign w:val="center"/>
          </w:tcPr>
          <w:p w14:paraId="5B54FA89" w14:textId="055C22D6" w:rsidR="00595021" w:rsidRPr="00B63640" w:rsidRDefault="00595021" w:rsidP="00C35795">
            <w:pPr>
              <w:spacing w:line="240" w:lineRule="auto"/>
              <w:jc w:val="both"/>
              <w:rPr>
                <w:color w:val="000000"/>
                <w:sz w:val="16"/>
                <w:szCs w:val="16"/>
                <w:lang w:eastAsia="es-ES"/>
              </w:rPr>
            </w:pPr>
            <w:r>
              <w:rPr>
                <w:color w:val="000000"/>
                <w:sz w:val="16"/>
                <w:szCs w:val="16"/>
                <w:lang w:eastAsia="es-ES"/>
              </w:rPr>
              <w:t xml:space="preserve">Service quality results from a comparison of what users feel service providers should offer (their expectations) with their perceptions of the performance of the service providers. Aspects such as transport information, ticket price, frequency, cleanliness of vehicles and at the bus stops, are some examples of what users expect when using PT </w:t>
            </w:r>
            <w:r w:rsidR="00DD794F">
              <w:rPr>
                <w:color w:val="000000"/>
                <w:sz w:val="16"/>
                <w:szCs w:val="16"/>
                <w:lang w:eastAsia="es-ES"/>
              </w:rPr>
              <w:t>(Freitas et al., 2023)</w:t>
            </w:r>
            <w:r>
              <w:rPr>
                <w:color w:val="000000"/>
                <w:sz w:val="16"/>
                <w:szCs w:val="16"/>
                <w:lang w:eastAsia="es-ES"/>
              </w:rPr>
              <w:t>.</w:t>
            </w:r>
          </w:p>
        </w:tc>
        <w:tc>
          <w:tcPr>
            <w:tcW w:w="1201" w:type="dxa"/>
            <w:vAlign w:val="center"/>
          </w:tcPr>
          <w:p w14:paraId="6920FE09" w14:textId="4F05C352"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73DA6061" w14:textId="31BE7B6F" w:rsidTr="00541FA1">
        <w:trPr>
          <w:trHeight w:val="1272"/>
          <w:jc w:val="center"/>
        </w:trPr>
        <w:tc>
          <w:tcPr>
            <w:tcW w:w="1660" w:type="dxa"/>
            <w:shd w:val="clear" w:color="auto" w:fill="auto"/>
            <w:vAlign w:val="center"/>
          </w:tcPr>
          <w:p w14:paraId="0C29EC45" w14:textId="77777777" w:rsidR="00595021" w:rsidRPr="00B63640" w:rsidRDefault="00595021" w:rsidP="00C35795">
            <w:pPr>
              <w:spacing w:line="240" w:lineRule="auto"/>
              <w:jc w:val="center"/>
              <w:rPr>
                <w:color w:val="000000"/>
                <w:sz w:val="18"/>
                <w:szCs w:val="18"/>
                <w:lang w:eastAsia="es-ES"/>
              </w:rPr>
            </w:pPr>
            <w:r>
              <w:rPr>
                <w:color w:val="000000"/>
                <w:sz w:val="18"/>
                <w:szCs w:val="18"/>
                <w:lang w:eastAsia="es-ES"/>
              </w:rPr>
              <w:t>Equity</w:t>
            </w:r>
          </w:p>
        </w:tc>
        <w:tc>
          <w:tcPr>
            <w:tcW w:w="5776" w:type="dxa"/>
            <w:vAlign w:val="center"/>
          </w:tcPr>
          <w:p w14:paraId="3F59D202" w14:textId="5C1641D5" w:rsidR="00595021" w:rsidRPr="00B63640" w:rsidRDefault="00595021" w:rsidP="00C35795">
            <w:pPr>
              <w:spacing w:line="240" w:lineRule="auto"/>
              <w:rPr>
                <w:color w:val="000000"/>
                <w:sz w:val="16"/>
                <w:szCs w:val="16"/>
                <w:lang w:eastAsia="es-ES"/>
              </w:rPr>
            </w:pPr>
            <w:r>
              <w:rPr>
                <w:color w:val="000000"/>
                <w:sz w:val="16"/>
                <w:szCs w:val="16"/>
                <w:lang w:eastAsia="es-ES"/>
              </w:rPr>
              <w:t xml:space="preserve">Equity is a broad category related to the comprehensive objective of reducing inequalities. Equitable transport means how transport accessibility is equitably distributed among social groups, encompassing horizontal (fair share of resources and external costs) and vertical equity (inclusivity, affordability, and social justice). However, there is still an unclear definition of equity </w:t>
            </w:r>
            <w:r w:rsidR="00DD794F">
              <w:rPr>
                <w:color w:val="000000"/>
                <w:sz w:val="16"/>
                <w:szCs w:val="16"/>
                <w:lang w:eastAsia="es-ES"/>
              </w:rPr>
              <w:t>(Bruzzone et al., 2023)</w:t>
            </w:r>
            <w:r>
              <w:rPr>
                <w:color w:val="000000"/>
                <w:sz w:val="16"/>
                <w:szCs w:val="16"/>
                <w:lang w:eastAsia="es-ES"/>
              </w:rPr>
              <w:t>.</w:t>
            </w:r>
          </w:p>
        </w:tc>
        <w:tc>
          <w:tcPr>
            <w:tcW w:w="1201" w:type="dxa"/>
            <w:vAlign w:val="center"/>
          </w:tcPr>
          <w:p w14:paraId="739214D5" w14:textId="2B22F862"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0C87CA61" w14:textId="46362278" w:rsidTr="00541FA1">
        <w:trPr>
          <w:trHeight w:val="675"/>
          <w:jc w:val="center"/>
        </w:trPr>
        <w:tc>
          <w:tcPr>
            <w:tcW w:w="1660" w:type="dxa"/>
            <w:shd w:val="clear" w:color="auto" w:fill="auto"/>
            <w:vAlign w:val="center"/>
          </w:tcPr>
          <w:p w14:paraId="1BB05849" w14:textId="3618313C" w:rsidR="00595021" w:rsidRDefault="00595021" w:rsidP="00C35795">
            <w:pPr>
              <w:spacing w:line="240" w:lineRule="auto"/>
              <w:jc w:val="center"/>
              <w:rPr>
                <w:color w:val="000000"/>
                <w:sz w:val="18"/>
                <w:szCs w:val="18"/>
                <w:lang w:eastAsia="es-ES"/>
              </w:rPr>
            </w:pPr>
            <w:r>
              <w:rPr>
                <w:color w:val="000000"/>
                <w:sz w:val="18"/>
                <w:szCs w:val="18"/>
                <w:lang w:eastAsia="es-ES"/>
              </w:rPr>
              <w:t xml:space="preserve">Good </w:t>
            </w:r>
            <w:r w:rsidRPr="004F763F">
              <w:rPr>
                <w:color w:val="000000"/>
                <w:sz w:val="18"/>
                <w:szCs w:val="18"/>
                <w:lang w:eastAsia="es-ES"/>
              </w:rPr>
              <w:t>health</w:t>
            </w:r>
            <w:r>
              <w:rPr>
                <w:color w:val="000000"/>
                <w:sz w:val="18"/>
                <w:szCs w:val="18"/>
                <w:lang w:eastAsia="es-ES"/>
              </w:rPr>
              <w:t xml:space="preserve"> &amp; well-being</w:t>
            </w:r>
          </w:p>
        </w:tc>
        <w:tc>
          <w:tcPr>
            <w:tcW w:w="5776" w:type="dxa"/>
            <w:vAlign w:val="center"/>
          </w:tcPr>
          <w:p w14:paraId="5737A37D" w14:textId="3EBC1F0F" w:rsidR="00595021" w:rsidRPr="00B63640" w:rsidRDefault="00595021" w:rsidP="00C35795">
            <w:pPr>
              <w:spacing w:line="240" w:lineRule="auto"/>
              <w:rPr>
                <w:color w:val="000000"/>
                <w:sz w:val="16"/>
                <w:szCs w:val="16"/>
                <w:lang w:eastAsia="es-ES"/>
              </w:rPr>
            </w:pPr>
            <w:r w:rsidRPr="00B1358E">
              <w:rPr>
                <w:color w:val="000000"/>
                <w:sz w:val="16"/>
                <w:szCs w:val="16"/>
                <w:lang w:eastAsia="es-ES"/>
              </w:rPr>
              <w:t>The concept of health in relation to transport pertains to the dual impact of various transport modes on human health. Active modes of transport, such as walking and cycling, offer numerous benefits to both individuals and the environment. Conversely, the excessive reliance on private vehicles has been demonstrated to encourage sedentary lifestyles, resulting in increased greenhouse gas (GHG) and air pollutant emissions</w:t>
            </w:r>
            <w:r>
              <w:rPr>
                <w:color w:val="000000"/>
                <w:sz w:val="16"/>
                <w:szCs w:val="16"/>
                <w:lang w:eastAsia="es-ES"/>
              </w:rPr>
              <w:t xml:space="preserve"> </w:t>
            </w:r>
            <w:r w:rsidR="00DD794F">
              <w:rPr>
                <w:color w:val="000000"/>
                <w:sz w:val="16"/>
                <w:szCs w:val="16"/>
                <w:lang w:eastAsia="es-ES"/>
              </w:rPr>
              <w:t>(Litman, 2019)</w:t>
            </w:r>
            <w:r w:rsidRPr="00B1358E">
              <w:rPr>
                <w:color w:val="000000"/>
                <w:sz w:val="16"/>
                <w:szCs w:val="16"/>
                <w:lang w:eastAsia="es-ES"/>
              </w:rPr>
              <w:t>.</w:t>
            </w:r>
            <w:r>
              <w:rPr>
                <w:color w:val="000000"/>
                <w:sz w:val="16"/>
                <w:szCs w:val="16"/>
                <w:lang w:eastAsia="es-ES"/>
              </w:rPr>
              <w:t xml:space="preserve"> Also, transportation operations are major contributors to noise in modern urban environments. Noise is generated by the engine and exhaust systems of vehicles, aerodynamic friction, and the interaction between the vehicle and its support system. Therefore, source controls, noise path controls, and receiver-side controls should be implemented </w:t>
            </w:r>
            <w:r w:rsidR="003F730B">
              <w:rPr>
                <w:color w:val="000000"/>
                <w:sz w:val="16"/>
                <w:szCs w:val="16"/>
                <w:lang w:eastAsia="es-ES"/>
              </w:rPr>
              <w:t>to</w:t>
            </w:r>
            <w:r>
              <w:rPr>
                <w:color w:val="000000"/>
                <w:sz w:val="16"/>
                <w:szCs w:val="16"/>
                <w:lang w:eastAsia="es-ES"/>
              </w:rPr>
              <w:t xml:space="preserve"> prevent or diminish noise levels </w:t>
            </w:r>
            <w:r w:rsidR="00DD794F">
              <w:rPr>
                <w:color w:val="000000"/>
                <w:sz w:val="16"/>
                <w:szCs w:val="16"/>
                <w:lang w:eastAsia="es-ES"/>
              </w:rPr>
              <w:t>(Papacostas &amp; Prevedouros, 2012)</w:t>
            </w:r>
            <w:r>
              <w:rPr>
                <w:color w:val="000000"/>
                <w:sz w:val="16"/>
                <w:szCs w:val="16"/>
                <w:lang w:eastAsia="es-ES"/>
              </w:rPr>
              <w:t>.</w:t>
            </w:r>
          </w:p>
        </w:tc>
        <w:tc>
          <w:tcPr>
            <w:tcW w:w="1201" w:type="dxa"/>
            <w:vAlign w:val="center"/>
          </w:tcPr>
          <w:p w14:paraId="25D52F6F" w14:textId="779F8809"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32B263C8" w14:textId="7E8986FE" w:rsidTr="00541FA1">
        <w:trPr>
          <w:trHeight w:val="675"/>
          <w:jc w:val="center"/>
        </w:trPr>
        <w:tc>
          <w:tcPr>
            <w:tcW w:w="1660" w:type="dxa"/>
            <w:tcBorders>
              <w:bottom w:val="single" w:sz="4" w:space="0" w:color="auto"/>
            </w:tcBorders>
            <w:shd w:val="clear" w:color="auto" w:fill="auto"/>
            <w:vAlign w:val="center"/>
          </w:tcPr>
          <w:p w14:paraId="506BA828" w14:textId="77777777" w:rsidR="00595021" w:rsidRDefault="00595021" w:rsidP="00C35795">
            <w:pPr>
              <w:spacing w:line="240" w:lineRule="auto"/>
              <w:jc w:val="center"/>
              <w:rPr>
                <w:color w:val="000000"/>
                <w:sz w:val="18"/>
                <w:szCs w:val="18"/>
                <w:lang w:eastAsia="es-ES"/>
              </w:rPr>
            </w:pPr>
            <w:r>
              <w:rPr>
                <w:color w:val="000000"/>
                <w:sz w:val="18"/>
                <w:szCs w:val="18"/>
                <w:lang w:eastAsia="es-ES"/>
              </w:rPr>
              <w:t>Cultural preservation</w:t>
            </w:r>
          </w:p>
        </w:tc>
        <w:tc>
          <w:tcPr>
            <w:tcW w:w="5776" w:type="dxa"/>
            <w:tcBorders>
              <w:bottom w:val="single" w:sz="4" w:space="0" w:color="auto"/>
            </w:tcBorders>
            <w:vAlign w:val="center"/>
          </w:tcPr>
          <w:p w14:paraId="4D1ED3DB" w14:textId="3C322A80" w:rsidR="00595021" w:rsidRPr="00D4477D" w:rsidRDefault="00595021" w:rsidP="00C35795">
            <w:pPr>
              <w:spacing w:line="240" w:lineRule="auto"/>
              <w:rPr>
                <w:color w:val="000000"/>
                <w:sz w:val="16"/>
                <w:szCs w:val="16"/>
                <w:lang w:val="en-US" w:eastAsia="es-ES"/>
              </w:rPr>
            </w:pPr>
            <w:r w:rsidRPr="00D4477D">
              <w:rPr>
                <w:color w:val="000000"/>
                <w:sz w:val="16"/>
                <w:szCs w:val="16"/>
                <w:lang w:val="en-US" w:eastAsia="es-ES"/>
              </w:rPr>
              <w:t>Degree to which cultural and historic values are reflected and preserved in transport planning decisions</w:t>
            </w:r>
            <w:r>
              <w:rPr>
                <w:color w:val="000000"/>
                <w:sz w:val="16"/>
                <w:szCs w:val="16"/>
                <w:lang w:val="en-US" w:eastAsia="es-ES"/>
              </w:rPr>
              <w:t xml:space="preserve"> </w:t>
            </w:r>
            <w:r w:rsidR="00DD794F">
              <w:rPr>
                <w:color w:val="000000"/>
                <w:sz w:val="16"/>
                <w:szCs w:val="16"/>
                <w:lang w:val="en-US" w:eastAsia="es-ES"/>
              </w:rPr>
              <w:t>(Litman, 2019)</w:t>
            </w:r>
            <w:r w:rsidRPr="00D4477D">
              <w:rPr>
                <w:color w:val="000000"/>
                <w:sz w:val="16"/>
                <w:szCs w:val="16"/>
                <w:lang w:val="en-US" w:eastAsia="es-ES"/>
              </w:rPr>
              <w:t>.</w:t>
            </w:r>
          </w:p>
        </w:tc>
        <w:tc>
          <w:tcPr>
            <w:tcW w:w="1201" w:type="dxa"/>
            <w:vAlign w:val="center"/>
          </w:tcPr>
          <w:p w14:paraId="7D0CBE06" w14:textId="3E32C991"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32968398" w14:textId="6CE2E0D7" w:rsidTr="00541FA1">
        <w:trPr>
          <w:trHeight w:val="675"/>
          <w:jc w:val="center"/>
        </w:trPr>
        <w:tc>
          <w:tcPr>
            <w:tcW w:w="7436" w:type="dxa"/>
            <w:gridSpan w:val="2"/>
            <w:tcBorders>
              <w:top w:val="single" w:sz="4" w:space="0" w:color="auto"/>
              <w:bottom w:val="single" w:sz="4" w:space="0" w:color="auto"/>
            </w:tcBorders>
            <w:shd w:val="clear" w:color="auto" w:fill="auto"/>
            <w:vAlign w:val="center"/>
          </w:tcPr>
          <w:p w14:paraId="00AAC6BA" w14:textId="77777777" w:rsidR="00595021" w:rsidRPr="00C1374F" w:rsidRDefault="00595021" w:rsidP="00C35795">
            <w:pPr>
              <w:spacing w:line="240" w:lineRule="auto"/>
              <w:jc w:val="center"/>
              <w:rPr>
                <w:b/>
                <w:bCs/>
                <w:color w:val="000000"/>
                <w:sz w:val="22"/>
                <w:szCs w:val="22"/>
                <w:lang w:eastAsia="es-ES"/>
              </w:rPr>
            </w:pPr>
            <w:r w:rsidRPr="00C1374F">
              <w:rPr>
                <w:b/>
                <w:bCs/>
                <w:color w:val="000000"/>
                <w:sz w:val="22"/>
                <w:szCs w:val="22"/>
                <w:lang w:eastAsia="es-ES"/>
              </w:rPr>
              <w:t>Environmental dimension</w:t>
            </w:r>
          </w:p>
        </w:tc>
        <w:tc>
          <w:tcPr>
            <w:tcW w:w="1201" w:type="dxa"/>
            <w:vAlign w:val="center"/>
          </w:tcPr>
          <w:p w14:paraId="56D89143" w14:textId="77777777" w:rsidR="00595021" w:rsidRPr="00595021" w:rsidRDefault="00595021" w:rsidP="00C35795">
            <w:pPr>
              <w:spacing w:line="240" w:lineRule="auto"/>
              <w:jc w:val="center"/>
              <w:rPr>
                <w:b/>
                <w:bCs/>
                <w:color w:val="000000"/>
                <w:sz w:val="18"/>
                <w:szCs w:val="18"/>
                <w:lang w:eastAsia="es-ES"/>
              </w:rPr>
            </w:pPr>
          </w:p>
        </w:tc>
      </w:tr>
      <w:tr w:rsidR="00595021" w:rsidRPr="00B63640" w14:paraId="46AF03EA" w14:textId="4D49AC9A" w:rsidTr="00541FA1">
        <w:trPr>
          <w:trHeight w:val="1007"/>
          <w:jc w:val="center"/>
        </w:trPr>
        <w:tc>
          <w:tcPr>
            <w:tcW w:w="1660" w:type="dxa"/>
            <w:tcBorders>
              <w:top w:val="single" w:sz="4" w:space="0" w:color="auto"/>
            </w:tcBorders>
            <w:shd w:val="clear" w:color="auto" w:fill="auto"/>
            <w:vAlign w:val="center"/>
          </w:tcPr>
          <w:p w14:paraId="534336A2" w14:textId="7EC6F221" w:rsidR="00595021" w:rsidRPr="00B63640" w:rsidRDefault="00595021" w:rsidP="00C35795">
            <w:pPr>
              <w:spacing w:line="240" w:lineRule="auto"/>
              <w:jc w:val="center"/>
              <w:rPr>
                <w:color w:val="000000"/>
                <w:sz w:val="18"/>
                <w:szCs w:val="18"/>
                <w:lang w:eastAsia="es-ES"/>
              </w:rPr>
            </w:pPr>
            <w:r w:rsidRPr="00B63640">
              <w:rPr>
                <w:color w:val="000000"/>
                <w:sz w:val="18"/>
                <w:szCs w:val="18"/>
                <w:lang w:eastAsia="es-ES"/>
              </w:rPr>
              <w:t xml:space="preserve">Air </w:t>
            </w:r>
            <w:r>
              <w:rPr>
                <w:color w:val="000000"/>
                <w:sz w:val="18"/>
                <w:szCs w:val="18"/>
                <w:lang w:eastAsia="es-ES"/>
              </w:rPr>
              <w:t>quality</w:t>
            </w:r>
          </w:p>
        </w:tc>
        <w:tc>
          <w:tcPr>
            <w:tcW w:w="5776" w:type="dxa"/>
            <w:tcBorders>
              <w:top w:val="single" w:sz="4" w:space="0" w:color="auto"/>
            </w:tcBorders>
            <w:vAlign w:val="center"/>
          </w:tcPr>
          <w:p w14:paraId="5493D714" w14:textId="2BF92381" w:rsidR="00595021" w:rsidRPr="00B63640" w:rsidRDefault="00595021" w:rsidP="00C35795">
            <w:pPr>
              <w:spacing w:line="240" w:lineRule="auto"/>
              <w:rPr>
                <w:color w:val="000000"/>
                <w:sz w:val="16"/>
                <w:szCs w:val="16"/>
                <w:lang w:eastAsia="es-ES"/>
              </w:rPr>
            </w:pPr>
            <w:r>
              <w:rPr>
                <w:color w:val="000000"/>
                <w:sz w:val="16"/>
                <w:szCs w:val="16"/>
                <w:lang w:eastAsia="es-ES"/>
              </w:rPr>
              <w:t xml:space="preserve">The combustion of transportation fuels releases several contaminants into the atmosphere. Therefore, stricter air pollution standards for vehicles have been issued worldwide to diminish detrimental environmental and health effects </w:t>
            </w:r>
            <w:r w:rsidR="00DD794F">
              <w:rPr>
                <w:color w:val="000000"/>
                <w:sz w:val="16"/>
                <w:szCs w:val="16"/>
                <w:lang w:eastAsia="es-ES"/>
              </w:rPr>
              <w:t>(Papacostas &amp; Prevedouros, 2012)</w:t>
            </w:r>
            <w:r>
              <w:rPr>
                <w:color w:val="000000"/>
                <w:sz w:val="16"/>
                <w:szCs w:val="16"/>
                <w:lang w:eastAsia="es-ES"/>
              </w:rPr>
              <w:t xml:space="preserve">. </w:t>
            </w:r>
          </w:p>
        </w:tc>
        <w:tc>
          <w:tcPr>
            <w:tcW w:w="1201" w:type="dxa"/>
            <w:vAlign w:val="center"/>
          </w:tcPr>
          <w:p w14:paraId="1E6F740D" w14:textId="3D6B82BD"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147432EA" w14:textId="34C3E3FA" w:rsidTr="00541FA1">
        <w:trPr>
          <w:trHeight w:val="1273"/>
          <w:jc w:val="center"/>
        </w:trPr>
        <w:tc>
          <w:tcPr>
            <w:tcW w:w="1660" w:type="dxa"/>
            <w:shd w:val="clear" w:color="auto" w:fill="auto"/>
            <w:vAlign w:val="center"/>
          </w:tcPr>
          <w:p w14:paraId="43360631" w14:textId="77777777" w:rsidR="00595021" w:rsidRPr="00B63640" w:rsidRDefault="00595021" w:rsidP="00C35795">
            <w:pPr>
              <w:spacing w:line="240" w:lineRule="auto"/>
              <w:jc w:val="center"/>
              <w:rPr>
                <w:color w:val="000000"/>
                <w:sz w:val="18"/>
                <w:szCs w:val="18"/>
                <w:lang w:eastAsia="es-ES"/>
              </w:rPr>
            </w:pPr>
            <w:r w:rsidRPr="00B63640">
              <w:rPr>
                <w:color w:val="000000"/>
                <w:sz w:val="18"/>
                <w:szCs w:val="18"/>
                <w:lang w:eastAsia="es-ES"/>
              </w:rPr>
              <w:t>Climate change</w:t>
            </w:r>
          </w:p>
        </w:tc>
        <w:tc>
          <w:tcPr>
            <w:tcW w:w="5776" w:type="dxa"/>
            <w:vAlign w:val="center"/>
          </w:tcPr>
          <w:p w14:paraId="0A986C02" w14:textId="3115DCE9" w:rsidR="00595021" w:rsidRPr="00B46840" w:rsidRDefault="00595021" w:rsidP="00C35795">
            <w:pPr>
              <w:spacing w:line="240" w:lineRule="auto"/>
              <w:rPr>
                <w:color w:val="000000"/>
                <w:sz w:val="16"/>
                <w:szCs w:val="16"/>
                <w:lang w:val="en-US" w:eastAsia="es-ES"/>
              </w:rPr>
            </w:pPr>
            <w:r>
              <w:rPr>
                <w:color w:val="000000"/>
                <w:sz w:val="16"/>
                <w:szCs w:val="16"/>
                <w:lang w:eastAsia="es-ES"/>
              </w:rPr>
              <w:t xml:space="preserve">Then link between transport activities and climate change is undeniable. In most of the countries of the world, transportation is the primary source of greenhouse gas emissions </w:t>
            </w:r>
            <w:r w:rsidR="00DD794F">
              <w:rPr>
                <w:color w:val="000000"/>
                <w:sz w:val="16"/>
                <w:szCs w:val="16"/>
                <w:lang w:eastAsia="es-ES"/>
              </w:rPr>
              <w:t>(Babaei et al., 2023)</w:t>
            </w:r>
            <w:r>
              <w:rPr>
                <w:color w:val="000000"/>
                <w:sz w:val="16"/>
                <w:szCs w:val="16"/>
                <w:lang w:eastAsia="es-ES"/>
              </w:rPr>
              <w:t xml:space="preserve">. Climate change causes different damages such as </w:t>
            </w:r>
            <w:r w:rsidRPr="00B46840">
              <w:rPr>
                <w:color w:val="000000"/>
                <w:sz w:val="16"/>
                <w:szCs w:val="16"/>
                <w:lang w:val="en-US" w:eastAsia="es-ES"/>
              </w:rPr>
              <w:t>changes in precipitation pattern, forest fires, flooding, drought events, sea level rise, and storms. These damages contribute to people’s deaths and costs.</w:t>
            </w:r>
            <w:r>
              <w:rPr>
                <w:color w:val="000000"/>
                <w:sz w:val="16"/>
                <w:szCs w:val="16"/>
                <w:lang w:val="en-US" w:eastAsia="es-ES"/>
              </w:rPr>
              <w:t xml:space="preserve"> Therefore, a sustainable transport system should prevent and mitigate climate change.</w:t>
            </w:r>
          </w:p>
        </w:tc>
        <w:tc>
          <w:tcPr>
            <w:tcW w:w="1201" w:type="dxa"/>
            <w:vAlign w:val="center"/>
          </w:tcPr>
          <w:p w14:paraId="5A0DABB6" w14:textId="66631D89"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F"/>
            </w:r>
          </w:p>
        </w:tc>
      </w:tr>
      <w:tr w:rsidR="00595021" w:rsidRPr="00B63640" w14:paraId="01602F7A" w14:textId="5981404E" w:rsidTr="00541FA1">
        <w:trPr>
          <w:trHeight w:val="1419"/>
          <w:jc w:val="center"/>
        </w:trPr>
        <w:tc>
          <w:tcPr>
            <w:tcW w:w="1660" w:type="dxa"/>
            <w:shd w:val="clear" w:color="auto" w:fill="auto"/>
            <w:vAlign w:val="center"/>
          </w:tcPr>
          <w:p w14:paraId="48D1F899" w14:textId="3C481CAC" w:rsidR="00595021" w:rsidRPr="00B63640" w:rsidRDefault="00595021" w:rsidP="00C35795">
            <w:pPr>
              <w:spacing w:line="240" w:lineRule="auto"/>
              <w:jc w:val="center"/>
              <w:rPr>
                <w:color w:val="000000"/>
                <w:sz w:val="18"/>
                <w:szCs w:val="18"/>
                <w:lang w:eastAsia="es-ES"/>
              </w:rPr>
            </w:pPr>
            <w:r>
              <w:rPr>
                <w:color w:val="000000"/>
                <w:sz w:val="18"/>
                <w:szCs w:val="18"/>
                <w:lang w:eastAsia="es-ES"/>
              </w:rPr>
              <w:t>Energy consumption</w:t>
            </w:r>
          </w:p>
        </w:tc>
        <w:tc>
          <w:tcPr>
            <w:tcW w:w="5776" w:type="dxa"/>
            <w:vAlign w:val="center"/>
          </w:tcPr>
          <w:p w14:paraId="3A3AEB43" w14:textId="473A61B9" w:rsidR="00595021" w:rsidRPr="00B63640" w:rsidRDefault="00595021" w:rsidP="00C35795">
            <w:pPr>
              <w:spacing w:line="240" w:lineRule="auto"/>
              <w:rPr>
                <w:color w:val="000000"/>
                <w:sz w:val="16"/>
                <w:szCs w:val="16"/>
                <w:lang w:eastAsia="es-ES"/>
              </w:rPr>
            </w:pPr>
            <w:r>
              <w:rPr>
                <w:color w:val="000000"/>
                <w:sz w:val="16"/>
                <w:szCs w:val="16"/>
                <w:lang w:eastAsia="es-ES"/>
              </w:rPr>
              <w:t>T</w:t>
            </w:r>
            <w:r w:rsidRPr="00A94759">
              <w:rPr>
                <w:color w:val="000000"/>
                <w:sz w:val="16"/>
                <w:szCs w:val="16"/>
                <w:lang w:eastAsia="es-ES"/>
              </w:rPr>
              <w:t>he movement of people and goods requires energy, with fossil fuels constituting the predominant source of energy</w:t>
            </w:r>
            <w:r>
              <w:rPr>
                <w:color w:val="000000"/>
                <w:sz w:val="16"/>
                <w:szCs w:val="16"/>
                <w:lang w:eastAsia="es-ES"/>
              </w:rPr>
              <w:t xml:space="preserve">. </w:t>
            </w:r>
            <w:r w:rsidRPr="00A94759">
              <w:rPr>
                <w:color w:val="000000"/>
                <w:sz w:val="16"/>
                <w:szCs w:val="16"/>
                <w:lang w:eastAsia="es-ES"/>
              </w:rPr>
              <w:t>However, the utilisation of fossil fuels is associated with adverse environmental and health implications. Consequently, it is imperative to curtail energy consumption in the transport sector to attain sustainable levels for the Earth and urban areas</w:t>
            </w:r>
            <w:r>
              <w:rPr>
                <w:color w:val="000000"/>
                <w:sz w:val="16"/>
                <w:szCs w:val="16"/>
                <w:lang w:eastAsia="es-ES"/>
              </w:rPr>
              <w:t xml:space="preserve"> </w:t>
            </w:r>
            <w:r w:rsidR="00DD794F">
              <w:rPr>
                <w:color w:val="000000"/>
                <w:sz w:val="16"/>
                <w:szCs w:val="16"/>
                <w:lang w:eastAsia="es-ES"/>
              </w:rPr>
              <w:t>(Bueno et al., 2015)</w:t>
            </w:r>
            <w:r w:rsidRPr="00A94759">
              <w:rPr>
                <w:color w:val="000000"/>
                <w:sz w:val="16"/>
                <w:szCs w:val="16"/>
                <w:lang w:eastAsia="es-ES"/>
              </w:rPr>
              <w:t>.</w:t>
            </w:r>
            <w:r>
              <w:rPr>
                <w:color w:val="000000"/>
                <w:sz w:val="16"/>
                <w:szCs w:val="16"/>
                <w:lang w:eastAsia="es-ES"/>
              </w:rPr>
              <w:t xml:space="preserve"> Consequently, the power of vehicles should be provided from renewable or inexhaustible energy sources such as solar power in the long run; and recycle natural resources used in vehicles and infrastructure </w:t>
            </w:r>
            <w:r w:rsidR="00DD794F">
              <w:rPr>
                <w:color w:val="000000"/>
                <w:sz w:val="16"/>
                <w:szCs w:val="16"/>
                <w:lang w:eastAsia="es-ES"/>
              </w:rPr>
              <w:t>(Jeon, 2007)</w:t>
            </w:r>
          </w:p>
        </w:tc>
        <w:tc>
          <w:tcPr>
            <w:tcW w:w="1201" w:type="dxa"/>
            <w:vAlign w:val="center"/>
          </w:tcPr>
          <w:p w14:paraId="4E8CCC59" w14:textId="6100172E" w:rsidR="00595021" w:rsidRPr="00595021" w:rsidRDefault="00E4514B" w:rsidP="00595021">
            <w:pPr>
              <w:spacing w:line="240" w:lineRule="auto"/>
              <w:jc w:val="center"/>
              <w:rPr>
                <w:b/>
                <w:bCs/>
                <w:color w:val="000000"/>
                <w:sz w:val="18"/>
                <w:szCs w:val="18"/>
                <w:lang w:eastAsia="es-ES"/>
              </w:rPr>
            </w:pPr>
            <w:r>
              <w:rPr>
                <w:b/>
                <w:bCs/>
                <w:color w:val="000000"/>
                <w:sz w:val="18"/>
                <w:szCs w:val="18"/>
                <w:lang w:eastAsia="es-ES"/>
              </w:rPr>
              <w:sym w:font="Symbol" w:char="F0AF"/>
            </w:r>
          </w:p>
        </w:tc>
      </w:tr>
      <w:tr w:rsidR="00595021" w:rsidRPr="00B63640" w14:paraId="350E21A3" w14:textId="0A884E46" w:rsidTr="00541FA1">
        <w:trPr>
          <w:trHeight w:val="1559"/>
          <w:jc w:val="center"/>
        </w:trPr>
        <w:tc>
          <w:tcPr>
            <w:tcW w:w="1660" w:type="dxa"/>
            <w:shd w:val="clear" w:color="auto" w:fill="auto"/>
            <w:vAlign w:val="center"/>
          </w:tcPr>
          <w:p w14:paraId="620A0F65" w14:textId="4997ECB8" w:rsidR="00595021" w:rsidRPr="00B63640" w:rsidRDefault="00595021" w:rsidP="00C35795">
            <w:pPr>
              <w:spacing w:line="240" w:lineRule="auto"/>
              <w:jc w:val="center"/>
              <w:rPr>
                <w:color w:val="000000"/>
                <w:sz w:val="18"/>
                <w:szCs w:val="18"/>
                <w:lang w:eastAsia="es-ES"/>
              </w:rPr>
            </w:pPr>
            <w:r>
              <w:rPr>
                <w:color w:val="000000"/>
                <w:sz w:val="18"/>
                <w:szCs w:val="18"/>
                <w:lang w:eastAsia="es-ES"/>
              </w:rPr>
              <w:t xml:space="preserve">Land </w:t>
            </w:r>
            <w:r w:rsidR="00A138E4">
              <w:rPr>
                <w:color w:val="000000"/>
                <w:sz w:val="18"/>
                <w:szCs w:val="18"/>
                <w:lang w:eastAsia="es-ES"/>
              </w:rPr>
              <w:t>consumption</w:t>
            </w:r>
          </w:p>
        </w:tc>
        <w:tc>
          <w:tcPr>
            <w:tcW w:w="5776" w:type="dxa"/>
            <w:vAlign w:val="center"/>
          </w:tcPr>
          <w:p w14:paraId="36FD78C0" w14:textId="41824DE6" w:rsidR="00595021" w:rsidRPr="00B63640" w:rsidRDefault="00595021" w:rsidP="00C35795">
            <w:pPr>
              <w:spacing w:line="240" w:lineRule="auto"/>
              <w:rPr>
                <w:color w:val="000000"/>
                <w:sz w:val="16"/>
                <w:szCs w:val="16"/>
                <w:lang w:eastAsia="es-ES"/>
              </w:rPr>
            </w:pPr>
            <w:r>
              <w:rPr>
                <w:color w:val="000000"/>
                <w:sz w:val="16"/>
                <w:szCs w:val="16"/>
                <w:lang w:eastAsia="es-ES"/>
              </w:rPr>
              <w:t xml:space="preserve">Transport and land use are intrinsically connected. The infrastructures for transport (roads, stops, terminals, garages, parking lots) consume large quantities of surfaces. Besides these impacts, the surrounding areas nearby transport networks may benefit from public transport services or being affected by highways and high-intensity road usage. Therefore, land use policies should express the community’s principles and procedures that are intended to guide land development in desirable directions </w:t>
            </w:r>
            <w:r w:rsidR="00DD794F">
              <w:rPr>
                <w:color w:val="000000"/>
                <w:sz w:val="16"/>
                <w:szCs w:val="16"/>
                <w:lang w:eastAsia="es-ES"/>
              </w:rPr>
              <w:t>(Papacostas &amp; Prevedouros, 2012)</w:t>
            </w:r>
            <w:r>
              <w:rPr>
                <w:color w:val="000000"/>
                <w:sz w:val="16"/>
                <w:szCs w:val="16"/>
                <w:lang w:eastAsia="es-ES"/>
              </w:rPr>
              <w:t>.</w:t>
            </w:r>
          </w:p>
        </w:tc>
        <w:tc>
          <w:tcPr>
            <w:tcW w:w="1201" w:type="dxa"/>
            <w:vAlign w:val="center"/>
          </w:tcPr>
          <w:p w14:paraId="2A2F8209" w14:textId="4D271215"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sym w:font="Symbol" w:char="F0AF"/>
            </w:r>
          </w:p>
        </w:tc>
      </w:tr>
      <w:tr w:rsidR="00595021" w:rsidRPr="00B63640" w14:paraId="19FF7E24" w14:textId="7B9C6C5B" w:rsidTr="00541FA1">
        <w:trPr>
          <w:trHeight w:val="675"/>
          <w:jc w:val="center"/>
        </w:trPr>
        <w:tc>
          <w:tcPr>
            <w:tcW w:w="1660" w:type="dxa"/>
            <w:shd w:val="clear" w:color="auto" w:fill="auto"/>
            <w:vAlign w:val="center"/>
          </w:tcPr>
          <w:p w14:paraId="7A2D336B" w14:textId="77777777" w:rsidR="00595021" w:rsidRPr="00B63640" w:rsidRDefault="00595021" w:rsidP="00C35795">
            <w:pPr>
              <w:spacing w:line="240" w:lineRule="auto"/>
              <w:jc w:val="center"/>
              <w:rPr>
                <w:color w:val="000000"/>
                <w:sz w:val="18"/>
                <w:szCs w:val="18"/>
                <w:lang w:eastAsia="es-ES"/>
              </w:rPr>
            </w:pPr>
            <w:r w:rsidRPr="00C1374F">
              <w:rPr>
                <w:color w:val="000000"/>
                <w:sz w:val="18"/>
                <w:szCs w:val="18"/>
                <w:lang w:eastAsia="es-ES"/>
              </w:rPr>
              <w:t>Environmental impacts &amp; ecological system</w:t>
            </w:r>
          </w:p>
        </w:tc>
        <w:tc>
          <w:tcPr>
            <w:tcW w:w="5776" w:type="dxa"/>
            <w:vAlign w:val="center"/>
          </w:tcPr>
          <w:p w14:paraId="331A7B78" w14:textId="147D6D79" w:rsidR="00595021" w:rsidRPr="007D05C2" w:rsidRDefault="00595021" w:rsidP="00C35795">
            <w:pPr>
              <w:spacing w:line="240" w:lineRule="auto"/>
              <w:rPr>
                <w:color w:val="000000"/>
                <w:sz w:val="16"/>
                <w:szCs w:val="16"/>
                <w:lang w:val="en-US" w:eastAsia="es-ES"/>
              </w:rPr>
            </w:pPr>
            <w:r w:rsidRPr="007D05C2">
              <w:rPr>
                <w:color w:val="000000"/>
                <w:sz w:val="16"/>
                <w:szCs w:val="16"/>
                <w:lang w:val="en-US" w:eastAsia="es-ES"/>
              </w:rPr>
              <w:t>Sustainable transport should minimize t</w:t>
            </w:r>
            <w:r>
              <w:rPr>
                <w:color w:val="000000"/>
                <w:sz w:val="16"/>
                <w:szCs w:val="16"/>
                <w:lang w:val="en-US" w:eastAsia="es-ES"/>
              </w:rPr>
              <w:t xml:space="preserve">he disruption of ecological processes, land and water supply areas as well as uses of sensitive habitats. Also, transport systems should limit emissions and waste that pollute air, soil and water within the urban area´s ability to absorb/recycle/cleanse </w:t>
            </w:r>
            <w:r w:rsidR="00DD794F">
              <w:rPr>
                <w:color w:val="000000"/>
                <w:sz w:val="16"/>
                <w:szCs w:val="16"/>
                <w:lang w:val="en-US" w:eastAsia="es-ES"/>
              </w:rPr>
              <w:t>(Jeon, 2007)</w:t>
            </w:r>
            <w:r>
              <w:rPr>
                <w:color w:val="000000"/>
                <w:sz w:val="16"/>
                <w:szCs w:val="16"/>
                <w:lang w:val="en-US" w:eastAsia="es-ES"/>
              </w:rPr>
              <w:t xml:space="preserve">. </w:t>
            </w:r>
          </w:p>
        </w:tc>
        <w:tc>
          <w:tcPr>
            <w:tcW w:w="1201" w:type="dxa"/>
            <w:vAlign w:val="center"/>
          </w:tcPr>
          <w:p w14:paraId="3AF5DE23" w14:textId="646139EA"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sym w:font="Symbol" w:char="F0AF"/>
            </w:r>
          </w:p>
        </w:tc>
      </w:tr>
      <w:tr w:rsidR="00595021" w:rsidRPr="00B63640" w14:paraId="3E1438D0" w14:textId="0557C0F5" w:rsidTr="00541FA1">
        <w:trPr>
          <w:trHeight w:val="1105"/>
          <w:jc w:val="center"/>
        </w:trPr>
        <w:tc>
          <w:tcPr>
            <w:tcW w:w="1660" w:type="dxa"/>
            <w:shd w:val="clear" w:color="auto" w:fill="auto"/>
            <w:vAlign w:val="center"/>
          </w:tcPr>
          <w:p w14:paraId="7996F2DB" w14:textId="77777777" w:rsidR="00595021" w:rsidRPr="00B63640" w:rsidRDefault="00595021" w:rsidP="00C35795">
            <w:pPr>
              <w:spacing w:line="240" w:lineRule="auto"/>
              <w:jc w:val="center"/>
              <w:rPr>
                <w:color w:val="000000"/>
                <w:sz w:val="18"/>
                <w:szCs w:val="18"/>
                <w:lang w:eastAsia="es-ES"/>
              </w:rPr>
            </w:pPr>
            <w:r w:rsidRPr="00C1374F">
              <w:rPr>
                <w:color w:val="000000"/>
                <w:sz w:val="18"/>
                <w:szCs w:val="18"/>
                <w:lang w:eastAsia="es-ES"/>
              </w:rPr>
              <w:t>Waste production &amp; management</w:t>
            </w:r>
          </w:p>
        </w:tc>
        <w:tc>
          <w:tcPr>
            <w:tcW w:w="5776" w:type="dxa"/>
            <w:vAlign w:val="center"/>
          </w:tcPr>
          <w:p w14:paraId="2EEFBC36" w14:textId="21F76663" w:rsidR="00595021" w:rsidRPr="00B63640" w:rsidRDefault="00595021" w:rsidP="00C35795">
            <w:pPr>
              <w:spacing w:line="240" w:lineRule="auto"/>
              <w:rPr>
                <w:color w:val="000000"/>
                <w:sz w:val="16"/>
                <w:szCs w:val="16"/>
                <w:lang w:eastAsia="es-ES"/>
              </w:rPr>
            </w:pPr>
            <w:r>
              <w:rPr>
                <w:color w:val="000000"/>
                <w:sz w:val="16"/>
                <w:szCs w:val="16"/>
                <w:lang w:eastAsia="es-ES"/>
              </w:rPr>
              <w:t xml:space="preserve">The reduction of waste and hazardous materials to the environment should be of primary interest for a sustainable transport system. Examples of these materials are oils, lubricants, parts of the engines, wheels, batteries and several other vehicle parts that when not properly managed represent a dangerous source of heavy metals sources </w:t>
            </w:r>
            <w:r w:rsidR="00DD794F">
              <w:rPr>
                <w:color w:val="000000"/>
                <w:sz w:val="16"/>
                <w:szCs w:val="16"/>
                <w:lang w:eastAsia="es-ES"/>
              </w:rPr>
              <w:t>(Rajak et al., 2016)</w:t>
            </w:r>
            <w:r>
              <w:rPr>
                <w:color w:val="000000"/>
                <w:sz w:val="16"/>
                <w:szCs w:val="16"/>
                <w:lang w:eastAsia="es-ES"/>
              </w:rPr>
              <w:t xml:space="preserve"> . </w:t>
            </w:r>
          </w:p>
        </w:tc>
        <w:tc>
          <w:tcPr>
            <w:tcW w:w="1201" w:type="dxa"/>
            <w:vAlign w:val="center"/>
          </w:tcPr>
          <w:p w14:paraId="12921B1F" w14:textId="00F7B581"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sym w:font="Symbol" w:char="F0AF"/>
            </w:r>
          </w:p>
        </w:tc>
      </w:tr>
      <w:tr w:rsidR="00595021" w:rsidRPr="00B63640" w14:paraId="33896A51" w14:textId="0A273CDF" w:rsidTr="00541FA1">
        <w:trPr>
          <w:trHeight w:val="675"/>
          <w:jc w:val="center"/>
        </w:trPr>
        <w:tc>
          <w:tcPr>
            <w:tcW w:w="1660" w:type="dxa"/>
            <w:tcBorders>
              <w:bottom w:val="single" w:sz="4" w:space="0" w:color="auto"/>
            </w:tcBorders>
            <w:shd w:val="clear" w:color="auto" w:fill="auto"/>
            <w:vAlign w:val="center"/>
          </w:tcPr>
          <w:p w14:paraId="28D44B32" w14:textId="77777777" w:rsidR="00595021" w:rsidRPr="00B63640" w:rsidRDefault="00595021" w:rsidP="00C35795">
            <w:pPr>
              <w:spacing w:line="240" w:lineRule="auto"/>
              <w:jc w:val="center"/>
              <w:rPr>
                <w:color w:val="000000"/>
                <w:sz w:val="18"/>
                <w:szCs w:val="18"/>
                <w:lang w:eastAsia="es-ES"/>
              </w:rPr>
            </w:pPr>
            <w:r w:rsidRPr="00C1374F">
              <w:rPr>
                <w:color w:val="000000"/>
                <w:sz w:val="18"/>
                <w:szCs w:val="18"/>
                <w:lang w:eastAsia="es-ES"/>
              </w:rPr>
              <w:t>Water pollution</w:t>
            </w:r>
          </w:p>
        </w:tc>
        <w:tc>
          <w:tcPr>
            <w:tcW w:w="5776" w:type="dxa"/>
            <w:tcBorders>
              <w:bottom w:val="single" w:sz="4" w:space="0" w:color="auto"/>
            </w:tcBorders>
            <w:vAlign w:val="center"/>
          </w:tcPr>
          <w:p w14:paraId="73558983" w14:textId="49184DA8" w:rsidR="00595021" w:rsidRPr="00B63640" w:rsidRDefault="00595021" w:rsidP="00C35795">
            <w:pPr>
              <w:spacing w:line="240" w:lineRule="auto"/>
              <w:rPr>
                <w:color w:val="000000"/>
                <w:sz w:val="16"/>
                <w:szCs w:val="16"/>
                <w:lang w:eastAsia="es-ES"/>
              </w:rPr>
            </w:pPr>
            <w:r>
              <w:rPr>
                <w:color w:val="000000"/>
                <w:sz w:val="16"/>
                <w:szCs w:val="16"/>
                <w:lang w:eastAsia="es-ES"/>
              </w:rPr>
              <w:t xml:space="preserve">Water is essential for human survival. Its pollution by transport activities and infrastructures (oil spills, lubricants without treatment sent to water bodies, vehicle pollutants deposited on surface areas, underground storage tank petroleum leaks) has increased dramatically causing severe problems for safe water supply. </w:t>
            </w:r>
            <w:r w:rsidR="003F730B">
              <w:rPr>
                <w:color w:val="000000"/>
                <w:sz w:val="16"/>
                <w:szCs w:val="16"/>
                <w:lang w:eastAsia="es-ES"/>
              </w:rPr>
              <w:t>Therefore,</w:t>
            </w:r>
            <w:r w:rsidRPr="00CB0265">
              <w:rPr>
                <w:color w:val="000000"/>
                <w:sz w:val="16"/>
                <w:szCs w:val="16"/>
                <w:lang w:eastAsia="es-ES"/>
              </w:rPr>
              <w:t xml:space="preserve"> the reduction in dissemination transport waste, including but not limited to asbestos, </w:t>
            </w:r>
            <w:r w:rsidRPr="00CB0265">
              <w:rPr>
                <w:color w:val="000000"/>
                <w:sz w:val="16"/>
                <w:szCs w:val="16"/>
                <w:lang w:eastAsia="es-ES"/>
              </w:rPr>
              <w:lastRenderedPageBreak/>
              <w:t xml:space="preserve">rubber, gasoline, and lubricants, </w:t>
            </w:r>
            <w:r>
              <w:rPr>
                <w:color w:val="000000"/>
                <w:sz w:val="16"/>
                <w:szCs w:val="16"/>
                <w:lang w:eastAsia="es-ES"/>
              </w:rPr>
              <w:t xml:space="preserve">should be reinforced to avoid </w:t>
            </w:r>
            <w:r w:rsidRPr="00CB0265">
              <w:rPr>
                <w:color w:val="000000"/>
                <w:sz w:val="16"/>
                <w:szCs w:val="16"/>
                <w:lang w:eastAsia="es-ES"/>
              </w:rPr>
              <w:t xml:space="preserve">water pollution </w:t>
            </w:r>
            <w:r w:rsidR="00DD794F">
              <w:rPr>
                <w:color w:val="000000"/>
                <w:sz w:val="16"/>
                <w:szCs w:val="16"/>
                <w:lang w:eastAsia="es-ES"/>
              </w:rPr>
              <w:t>(Rajak et al., 2016)</w:t>
            </w:r>
            <w:r>
              <w:rPr>
                <w:color w:val="000000"/>
                <w:sz w:val="16"/>
                <w:szCs w:val="16"/>
                <w:lang w:eastAsia="es-ES"/>
              </w:rPr>
              <w:t>.</w:t>
            </w:r>
          </w:p>
        </w:tc>
        <w:tc>
          <w:tcPr>
            <w:tcW w:w="1201" w:type="dxa"/>
            <w:vAlign w:val="center"/>
          </w:tcPr>
          <w:p w14:paraId="1E56EADD" w14:textId="39FAD421"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lastRenderedPageBreak/>
              <w:sym w:font="Symbol" w:char="F0AF"/>
            </w:r>
          </w:p>
        </w:tc>
      </w:tr>
      <w:tr w:rsidR="00595021" w:rsidRPr="00B63640" w14:paraId="28A808A7" w14:textId="077CEE70" w:rsidTr="00541FA1">
        <w:trPr>
          <w:trHeight w:val="483"/>
          <w:jc w:val="center"/>
        </w:trPr>
        <w:tc>
          <w:tcPr>
            <w:tcW w:w="7436" w:type="dxa"/>
            <w:gridSpan w:val="2"/>
            <w:tcBorders>
              <w:top w:val="single" w:sz="4" w:space="0" w:color="auto"/>
              <w:bottom w:val="single" w:sz="4" w:space="0" w:color="auto"/>
            </w:tcBorders>
            <w:shd w:val="clear" w:color="auto" w:fill="auto"/>
            <w:vAlign w:val="center"/>
          </w:tcPr>
          <w:p w14:paraId="21788C38" w14:textId="77777777" w:rsidR="00595021" w:rsidRPr="00C1374F" w:rsidRDefault="00595021" w:rsidP="00C35795">
            <w:pPr>
              <w:spacing w:line="240" w:lineRule="auto"/>
              <w:jc w:val="center"/>
              <w:rPr>
                <w:b/>
                <w:bCs/>
                <w:color w:val="000000"/>
                <w:sz w:val="22"/>
                <w:szCs w:val="22"/>
                <w:lang w:eastAsia="es-ES"/>
              </w:rPr>
            </w:pPr>
            <w:r w:rsidRPr="00C1374F">
              <w:rPr>
                <w:b/>
                <w:bCs/>
                <w:color w:val="000000"/>
                <w:sz w:val="22"/>
                <w:szCs w:val="22"/>
                <w:lang w:eastAsia="es-ES"/>
              </w:rPr>
              <w:t>Economic dimension</w:t>
            </w:r>
          </w:p>
        </w:tc>
        <w:tc>
          <w:tcPr>
            <w:tcW w:w="1201" w:type="dxa"/>
            <w:vAlign w:val="center"/>
          </w:tcPr>
          <w:p w14:paraId="5ED40378" w14:textId="77777777" w:rsidR="00595021" w:rsidRPr="00595021" w:rsidRDefault="00595021" w:rsidP="00C35795">
            <w:pPr>
              <w:spacing w:line="240" w:lineRule="auto"/>
              <w:jc w:val="center"/>
              <w:rPr>
                <w:b/>
                <w:bCs/>
                <w:color w:val="000000"/>
                <w:sz w:val="18"/>
                <w:szCs w:val="18"/>
                <w:lang w:eastAsia="es-ES"/>
              </w:rPr>
            </w:pPr>
          </w:p>
        </w:tc>
      </w:tr>
      <w:tr w:rsidR="00595021" w:rsidRPr="00B63640" w14:paraId="3AE62712" w14:textId="0696090F" w:rsidTr="00541FA1">
        <w:trPr>
          <w:trHeight w:val="675"/>
          <w:jc w:val="center"/>
        </w:trPr>
        <w:tc>
          <w:tcPr>
            <w:tcW w:w="1660" w:type="dxa"/>
            <w:tcBorders>
              <w:top w:val="single" w:sz="4" w:space="0" w:color="auto"/>
            </w:tcBorders>
            <w:shd w:val="clear" w:color="auto" w:fill="auto"/>
            <w:vAlign w:val="center"/>
          </w:tcPr>
          <w:p w14:paraId="5160AD02" w14:textId="705FCAC6" w:rsidR="00595021" w:rsidRPr="00B63640" w:rsidRDefault="00595021" w:rsidP="00C35795">
            <w:pPr>
              <w:spacing w:line="240" w:lineRule="auto"/>
              <w:jc w:val="center"/>
              <w:rPr>
                <w:color w:val="000000"/>
                <w:sz w:val="18"/>
                <w:szCs w:val="18"/>
                <w:lang w:eastAsia="es-ES"/>
              </w:rPr>
            </w:pPr>
            <w:r>
              <w:rPr>
                <w:color w:val="000000"/>
                <w:sz w:val="18"/>
                <w:szCs w:val="18"/>
                <w:lang w:eastAsia="es-ES"/>
              </w:rPr>
              <w:t>User costs</w:t>
            </w:r>
          </w:p>
        </w:tc>
        <w:tc>
          <w:tcPr>
            <w:tcW w:w="5776" w:type="dxa"/>
            <w:tcBorders>
              <w:top w:val="single" w:sz="4" w:space="0" w:color="auto"/>
            </w:tcBorders>
            <w:vAlign w:val="center"/>
          </w:tcPr>
          <w:p w14:paraId="04DA045D" w14:textId="4556FAE3" w:rsidR="00595021" w:rsidRPr="00B63640" w:rsidRDefault="00D607F8" w:rsidP="00C35795">
            <w:pPr>
              <w:spacing w:line="240" w:lineRule="auto"/>
              <w:rPr>
                <w:color w:val="000000"/>
                <w:sz w:val="16"/>
                <w:szCs w:val="16"/>
                <w:lang w:eastAsia="es-ES"/>
              </w:rPr>
            </w:pPr>
            <w:r>
              <w:rPr>
                <w:color w:val="000000"/>
                <w:sz w:val="16"/>
                <w:szCs w:val="16"/>
                <w:lang w:eastAsia="es-ES"/>
              </w:rPr>
              <w:t xml:space="preserve">It refers to the final cost for the user to use a PT transport service, i.e., a daily ticket fare, a monthly card or an annual pass. </w:t>
            </w:r>
          </w:p>
        </w:tc>
        <w:tc>
          <w:tcPr>
            <w:tcW w:w="1201" w:type="dxa"/>
            <w:vAlign w:val="center"/>
          </w:tcPr>
          <w:p w14:paraId="44E63E98" w14:textId="3143E87B"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sym w:font="Symbol" w:char="F0AF"/>
            </w:r>
          </w:p>
        </w:tc>
      </w:tr>
      <w:tr w:rsidR="00595021" w:rsidRPr="00B63640" w14:paraId="1EA12E60" w14:textId="4FFC2542" w:rsidTr="00541FA1">
        <w:trPr>
          <w:trHeight w:val="417"/>
          <w:jc w:val="center"/>
        </w:trPr>
        <w:tc>
          <w:tcPr>
            <w:tcW w:w="1660" w:type="dxa"/>
            <w:shd w:val="clear" w:color="auto" w:fill="auto"/>
            <w:vAlign w:val="center"/>
          </w:tcPr>
          <w:p w14:paraId="488CA1AC" w14:textId="02699FDC" w:rsidR="00595021" w:rsidRDefault="00595021" w:rsidP="00C35795">
            <w:pPr>
              <w:spacing w:line="240" w:lineRule="auto"/>
              <w:jc w:val="center"/>
              <w:rPr>
                <w:color w:val="000000"/>
                <w:sz w:val="18"/>
                <w:szCs w:val="18"/>
                <w:lang w:eastAsia="es-ES"/>
              </w:rPr>
            </w:pPr>
            <w:r>
              <w:rPr>
                <w:color w:val="000000"/>
                <w:sz w:val="18"/>
                <w:szCs w:val="18"/>
                <w:lang w:eastAsia="es-ES"/>
              </w:rPr>
              <w:t>PT operators’ costs</w:t>
            </w:r>
          </w:p>
        </w:tc>
        <w:tc>
          <w:tcPr>
            <w:tcW w:w="5776" w:type="dxa"/>
            <w:vAlign w:val="center"/>
          </w:tcPr>
          <w:p w14:paraId="56232DCE" w14:textId="10656DD5" w:rsidR="00595021" w:rsidRPr="00B63640" w:rsidRDefault="005743AC" w:rsidP="00C35795">
            <w:pPr>
              <w:spacing w:line="240" w:lineRule="auto"/>
              <w:rPr>
                <w:color w:val="000000"/>
                <w:sz w:val="16"/>
                <w:szCs w:val="16"/>
                <w:lang w:eastAsia="es-ES"/>
              </w:rPr>
            </w:pPr>
            <w:r>
              <w:rPr>
                <w:color w:val="000000"/>
                <w:sz w:val="16"/>
                <w:szCs w:val="16"/>
                <w:lang w:eastAsia="es-ES"/>
              </w:rPr>
              <w:t xml:space="preserve">The goal of this category is to minimize maintenance costs, operation costs, </w:t>
            </w:r>
          </w:p>
        </w:tc>
        <w:tc>
          <w:tcPr>
            <w:tcW w:w="1201" w:type="dxa"/>
            <w:vAlign w:val="center"/>
          </w:tcPr>
          <w:p w14:paraId="172E3F3A" w14:textId="153A8057"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sym w:font="Symbol" w:char="F0AF"/>
            </w:r>
          </w:p>
        </w:tc>
      </w:tr>
      <w:tr w:rsidR="00595021" w:rsidRPr="00B63640" w14:paraId="1961309C" w14:textId="643C5D46" w:rsidTr="00541FA1">
        <w:trPr>
          <w:trHeight w:val="564"/>
          <w:jc w:val="center"/>
        </w:trPr>
        <w:tc>
          <w:tcPr>
            <w:tcW w:w="1660" w:type="dxa"/>
            <w:shd w:val="clear" w:color="auto" w:fill="auto"/>
            <w:vAlign w:val="center"/>
          </w:tcPr>
          <w:p w14:paraId="07F55900" w14:textId="647C492E" w:rsidR="00595021" w:rsidRDefault="00595021" w:rsidP="00C35795">
            <w:pPr>
              <w:spacing w:line="240" w:lineRule="auto"/>
              <w:jc w:val="center"/>
              <w:rPr>
                <w:color w:val="000000"/>
                <w:sz w:val="18"/>
                <w:szCs w:val="18"/>
                <w:lang w:eastAsia="es-ES"/>
              </w:rPr>
            </w:pPr>
            <w:r>
              <w:rPr>
                <w:color w:val="000000"/>
                <w:sz w:val="18"/>
                <w:szCs w:val="18"/>
                <w:lang w:eastAsia="es-ES"/>
              </w:rPr>
              <w:t>PrT costs</w:t>
            </w:r>
          </w:p>
        </w:tc>
        <w:tc>
          <w:tcPr>
            <w:tcW w:w="5776" w:type="dxa"/>
            <w:vAlign w:val="center"/>
          </w:tcPr>
          <w:p w14:paraId="6A640002" w14:textId="498B920F" w:rsidR="00595021" w:rsidRPr="00D607F8" w:rsidRDefault="00D607F8" w:rsidP="00C35795">
            <w:pPr>
              <w:spacing w:line="240" w:lineRule="auto"/>
              <w:rPr>
                <w:color w:val="000000"/>
                <w:sz w:val="16"/>
                <w:szCs w:val="16"/>
                <w:lang w:val="en-US" w:eastAsia="es-ES"/>
              </w:rPr>
            </w:pPr>
            <w:r w:rsidRPr="00D607F8">
              <w:rPr>
                <w:color w:val="000000"/>
                <w:sz w:val="16"/>
                <w:szCs w:val="16"/>
                <w:lang w:val="en-US" w:eastAsia="es-ES"/>
              </w:rPr>
              <w:t>It refers to the costs incurred by private owners of cars and motorcycles to move their vehicles. This includes the costs of fuel, maintenance and spare parts.</w:t>
            </w:r>
          </w:p>
        </w:tc>
        <w:tc>
          <w:tcPr>
            <w:tcW w:w="1201" w:type="dxa"/>
            <w:vAlign w:val="center"/>
          </w:tcPr>
          <w:p w14:paraId="7AD33206" w14:textId="1F49126C"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46F722B1" w14:textId="13330A17" w:rsidTr="00541FA1">
        <w:trPr>
          <w:trHeight w:val="840"/>
          <w:jc w:val="center"/>
        </w:trPr>
        <w:tc>
          <w:tcPr>
            <w:tcW w:w="1660" w:type="dxa"/>
            <w:shd w:val="clear" w:color="auto" w:fill="auto"/>
            <w:vAlign w:val="center"/>
            <w:hideMark/>
          </w:tcPr>
          <w:p w14:paraId="2A75BBBA" w14:textId="26E24478" w:rsidR="00595021" w:rsidRPr="00B63640" w:rsidRDefault="00595021" w:rsidP="00C35795">
            <w:pPr>
              <w:spacing w:line="240" w:lineRule="auto"/>
              <w:jc w:val="center"/>
              <w:rPr>
                <w:color w:val="000000"/>
                <w:sz w:val="18"/>
                <w:szCs w:val="18"/>
                <w:lang w:eastAsia="es-ES"/>
              </w:rPr>
            </w:pPr>
            <w:r>
              <w:rPr>
                <w:color w:val="000000"/>
                <w:sz w:val="18"/>
                <w:szCs w:val="18"/>
                <w:lang w:eastAsia="es-ES"/>
              </w:rPr>
              <w:t>PT productivity</w:t>
            </w:r>
          </w:p>
        </w:tc>
        <w:tc>
          <w:tcPr>
            <w:tcW w:w="5776" w:type="dxa"/>
            <w:vAlign w:val="center"/>
          </w:tcPr>
          <w:p w14:paraId="01AF8E6A" w14:textId="5216D284" w:rsidR="00595021" w:rsidRPr="00B63640" w:rsidRDefault="005743AC" w:rsidP="00C35795">
            <w:pPr>
              <w:spacing w:line="240" w:lineRule="auto"/>
              <w:rPr>
                <w:color w:val="000000"/>
                <w:sz w:val="16"/>
                <w:szCs w:val="16"/>
                <w:lang w:eastAsia="es-ES"/>
              </w:rPr>
            </w:pPr>
            <w:r>
              <w:rPr>
                <w:color w:val="000000"/>
                <w:sz w:val="16"/>
                <w:szCs w:val="16"/>
                <w:lang w:eastAsia="es-ES"/>
              </w:rPr>
              <w:t>This category is related to economic efficiency</w:t>
            </w:r>
            <w:r w:rsidR="00E95A5C">
              <w:rPr>
                <w:color w:val="000000"/>
                <w:sz w:val="16"/>
                <w:szCs w:val="16"/>
                <w:lang w:eastAsia="es-ES"/>
              </w:rPr>
              <w:t>,</w:t>
            </w:r>
            <w:r>
              <w:rPr>
                <w:color w:val="000000"/>
                <w:sz w:val="16"/>
                <w:szCs w:val="16"/>
                <w:lang w:eastAsia="es-ES"/>
              </w:rPr>
              <w:t xml:space="preserve"> which intends to maximize internal rate of return</w:t>
            </w:r>
            <w:r w:rsidR="00E95A5C">
              <w:rPr>
                <w:color w:val="000000"/>
                <w:sz w:val="16"/>
                <w:szCs w:val="16"/>
                <w:lang w:eastAsia="es-ES"/>
              </w:rPr>
              <w:t xml:space="preserve"> and to foster economic self-sufficiency, while optimizing staff and PT vehicles productivity </w:t>
            </w:r>
            <w:r w:rsidR="00DD794F">
              <w:rPr>
                <w:color w:val="000000"/>
                <w:sz w:val="16"/>
                <w:szCs w:val="16"/>
                <w:lang w:eastAsia="es-ES"/>
              </w:rPr>
              <w:t>(Yannis et al., 2020)</w:t>
            </w:r>
            <w:r w:rsidR="00E95A5C">
              <w:rPr>
                <w:color w:val="000000"/>
                <w:sz w:val="16"/>
                <w:szCs w:val="16"/>
                <w:lang w:eastAsia="es-ES"/>
              </w:rPr>
              <w:t>.</w:t>
            </w:r>
          </w:p>
        </w:tc>
        <w:tc>
          <w:tcPr>
            <w:tcW w:w="1201" w:type="dxa"/>
            <w:vAlign w:val="center"/>
          </w:tcPr>
          <w:p w14:paraId="2816DC37" w14:textId="51548CC7"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4E8D96AD" w14:textId="100AE4E1" w:rsidTr="00541FA1">
        <w:trPr>
          <w:trHeight w:val="2066"/>
          <w:jc w:val="center"/>
        </w:trPr>
        <w:tc>
          <w:tcPr>
            <w:tcW w:w="1660" w:type="dxa"/>
            <w:shd w:val="clear" w:color="auto" w:fill="auto"/>
            <w:vAlign w:val="center"/>
          </w:tcPr>
          <w:p w14:paraId="11FAC443" w14:textId="77777777" w:rsidR="00595021" w:rsidRPr="00B63640" w:rsidRDefault="00595021" w:rsidP="00C35795">
            <w:pPr>
              <w:spacing w:line="240" w:lineRule="auto"/>
              <w:jc w:val="center"/>
              <w:rPr>
                <w:color w:val="000000"/>
                <w:sz w:val="18"/>
                <w:szCs w:val="18"/>
                <w:lang w:eastAsia="es-ES"/>
              </w:rPr>
            </w:pPr>
            <w:r w:rsidRPr="00C1374F">
              <w:rPr>
                <w:color w:val="000000"/>
                <w:sz w:val="18"/>
                <w:szCs w:val="18"/>
                <w:lang w:eastAsia="es-ES"/>
              </w:rPr>
              <w:t>Government financial sustainability</w:t>
            </w:r>
          </w:p>
        </w:tc>
        <w:tc>
          <w:tcPr>
            <w:tcW w:w="5776" w:type="dxa"/>
            <w:vAlign w:val="center"/>
          </w:tcPr>
          <w:p w14:paraId="5C47EE4B" w14:textId="2E1C6DD0" w:rsidR="00595021" w:rsidRPr="006B378E" w:rsidRDefault="006B378E" w:rsidP="00C35795">
            <w:pPr>
              <w:spacing w:line="240" w:lineRule="auto"/>
              <w:rPr>
                <w:color w:val="000000"/>
                <w:sz w:val="16"/>
                <w:szCs w:val="16"/>
                <w:lang w:val="en-US" w:eastAsia="es-ES"/>
              </w:rPr>
            </w:pPr>
            <w:r>
              <w:rPr>
                <w:color w:val="000000"/>
                <w:sz w:val="16"/>
                <w:szCs w:val="16"/>
                <w:lang w:eastAsia="es-ES"/>
              </w:rPr>
              <w:t>PT, PrT and NMT share the public space</w:t>
            </w:r>
            <w:r w:rsidR="004A47F6">
              <w:rPr>
                <w:color w:val="000000"/>
                <w:sz w:val="16"/>
                <w:szCs w:val="16"/>
                <w:lang w:eastAsia="es-ES"/>
              </w:rPr>
              <w:t xml:space="preserve"> for its operation.</w:t>
            </w:r>
            <w:r>
              <w:rPr>
                <w:color w:val="000000"/>
                <w:sz w:val="16"/>
                <w:szCs w:val="16"/>
                <w:lang w:eastAsia="es-ES"/>
              </w:rPr>
              <w:t xml:space="preserve"> </w:t>
            </w:r>
            <w:r w:rsidR="004A47F6">
              <w:rPr>
                <w:color w:val="000000"/>
                <w:sz w:val="16"/>
                <w:szCs w:val="16"/>
                <w:lang w:eastAsia="es-ES"/>
              </w:rPr>
              <w:t>H</w:t>
            </w:r>
            <w:r>
              <w:rPr>
                <w:color w:val="000000"/>
                <w:sz w:val="16"/>
                <w:szCs w:val="16"/>
                <w:lang w:eastAsia="es-ES"/>
              </w:rPr>
              <w:t xml:space="preserve">owever, from a sustainability point of view dedicated infrastructures for sustainable modes, such as bicycle lanes, exclusive PT corridors, terminals and bus stops, </w:t>
            </w:r>
            <w:r w:rsidR="004A47F6">
              <w:rPr>
                <w:color w:val="000000"/>
                <w:sz w:val="16"/>
                <w:szCs w:val="16"/>
                <w:lang w:eastAsia="es-ES"/>
              </w:rPr>
              <w:t>should be prioritized. Since</w:t>
            </w:r>
            <w:r>
              <w:rPr>
                <w:color w:val="000000"/>
                <w:sz w:val="16"/>
                <w:szCs w:val="16"/>
                <w:lang w:eastAsia="es-ES"/>
              </w:rPr>
              <w:t xml:space="preserve"> transport infrastructures </w:t>
            </w:r>
            <w:r w:rsidR="004A47F6">
              <w:rPr>
                <w:color w:val="000000"/>
                <w:sz w:val="16"/>
                <w:szCs w:val="16"/>
                <w:lang w:eastAsia="es-ES"/>
              </w:rPr>
              <w:t>for motorized traffic</w:t>
            </w:r>
            <w:r>
              <w:rPr>
                <w:color w:val="000000"/>
                <w:sz w:val="16"/>
                <w:szCs w:val="16"/>
                <w:lang w:eastAsia="es-ES"/>
              </w:rPr>
              <w:t xml:space="preserve"> requires large investments, usually governments devote large quantities of money for the maintenance and improvement of</w:t>
            </w:r>
            <w:r w:rsidR="004A47F6">
              <w:rPr>
                <w:color w:val="000000"/>
                <w:sz w:val="16"/>
                <w:szCs w:val="16"/>
                <w:lang w:eastAsia="es-ES"/>
              </w:rPr>
              <w:t xml:space="preserve"> these</w:t>
            </w:r>
            <w:r>
              <w:rPr>
                <w:color w:val="000000"/>
                <w:sz w:val="16"/>
                <w:szCs w:val="16"/>
                <w:lang w:eastAsia="es-ES"/>
              </w:rPr>
              <w:t xml:space="preserve"> transport networks</w:t>
            </w:r>
            <w:r w:rsidR="004A47F6">
              <w:rPr>
                <w:color w:val="000000"/>
                <w:sz w:val="16"/>
                <w:szCs w:val="16"/>
                <w:lang w:eastAsia="es-ES"/>
              </w:rPr>
              <w:t>. When</w:t>
            </w:r>
            <w:r>
              <w:rPr>
                <w:color w:val="000000"/>
                <w:sz w:val="16"/>
                <w:szCs w:val="16"/>
                <w:lang w:eastAsia="es-ES"/>
              </w:rPr>
              <w:t xml:space="preserve"> some of the expenditures for initial capital cost and the recurring annual cost for operation and maintenance are contributed from sources external to the governments, it can be considered a </w:t>
            </w:r>
            <w:r w:rsidR="004A47F6">
              <w:rPr>
                <w:color w:val="000000"/>
                <w:sz w:val="16"/>
                <w:szCs w:val="16"/>
                <w:lang w:eastAsia="es-ES"/>
              </w:rPr>
              <w:t>positive</w:t>
            </w:r>
            <w:r>
              <w:rPr>
                <w:color w:val="000000"/>
                <w:sz w:val="16"/>
                <w:szCs w:val="16"/>
                <w:lang w:eastAsia="es-ES"/>
              </w:rPr>
              <w:t xml:space="preserve"> occurrence, since leveraging of nontraditional funding sources can help free state funds to promote other modes of transportation</w:t>
            </w:r>
            <w:r w:rsidR="004A47F6">
              <w:rPr>
                <w:color w:val="000000"/>
                <w:sz w:val="16"/>
                <w:szCs w:val="16"/>
                <w:lang w:eastAsia="es-ES"/>
              </w:rPr>
              <w:t xml:space="preserve"> </w:t>
            </w:r>
            <w:r w:rsidR="00DD794F">
              <w:rPr>
                <w:color w:val="000000"/>
                <w:sz w:val="16"/>
                <w:szCs w:val="16"/>
                <w:lang w:eastAsia="es-ES"/>
              </w:rPr>
              <w:t>(T. Ramani, 2018)</w:t>
            </w:r>
            <w:r>
              <w:rPr>
                <w:color w:val="000000"/>
                <w:sz w:val="16"/>
                <w:szCs w:val="16"/>
                <w:lang w:eastAsia="es-ES"/>
              </w:rPr>
              <w:t>.</w:t>
            </w:r>
          </w:p>
        </w:tc>
        <w:tc>
          <w:tcPr>
            <w:tcW w:w="1201" w:type="dxa"/>
            <w:vAlign w:val="center"/>
          </w:tcPr>
          <w:p w14:paraId="0CFB3660" w14:textId="0CE34EFB"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6C7446FB" w14:textId="1C61C1EA" w:rsidTr="00541FA1">
        <w:trPr>
          <w:trHeight w:val="840"/>
          <w:jc w:val="center"/>
        </w:trPr>
        <w:tc>
          <w:tcPr>
            <w:tcW w:w="1660" w:type="dxa"/>
            <w:tcBorders>
              <w:bottom w:val="single" w:sz="4" w:space="0" w:color="auto"/>
            </w:tcBorders>
            <w:shd w:val="clear" w:color="auto" w:fill="auto"/>
            <w:vAlign w:val="center"/>
          </w:tcPr>
          <w:p w14:paraId="28DA461D" w14:textId="77777777" w:rsidR="00595021" w:rsidRPr="00C1374F" w:rsidRDefault="00595021" w:rsidP="00C35795">
            <w:pPr>
              <w:spacing w:line="240" w:lineRule="auto"/>
              <w:jc w:val="center"/>
              <w:rPr>
                <w:color w:val="000000"/>
                <w:sz w:val="18"/>
                <w:szCs w:val="18"/>
                <w:lang w:eastAsia="es-ES"/>
              </w:rPr>
            </w:pPr>
            <w:r w:rsidRPr="005E6C72">
              <w:rPr>
                <w:color w:val="000000"/>
                <w:sz w:val="18"/>
                <w:szCs w:val="18"/>
                <w:lang w:eastAsia="es-ES"/>
              </w:rPr>
              <w:t>Socio-economic development</w:t>
            </w:r>
          </w:p>
        </w:tc>
        <w:tc>
          <w:tcPr>
            <w:tcW w:w="5776" w:type="dxa"/>
            <w:tcBorders>
              <w:bottom w:val="single" w:sz="4" w:space="0" w:color="auto"/>
            </w:tcBorders>
            <w:vAlign w:val="center"/>
          </w:tcPr>
          <w:p w14:paraId="58C08327" w14:textId="42D98D25" w:rsidR="00595021" w:rsidRPr="00B63640" w:rsidRDefault="00E95A5C" w:rsidP="00C35795">
            <w:pPr>
              <w:spacing w:line="240" w:lineRule="auto"/>
              <w:rPr>
                <w:color w:val="000000"/>
                <w:sz w:val="16"/>
                <w:szCs w:val="16"/>
                <w:lang w:eastAsia="es-ES"/>
              </w:rPr>
            </w:pPr>
            <w:r>
              <w:rPr>
                <w:color w:val="000000"/>
                <w:sz w:val="16"/>
                <w:szCs w:val="16"/>
                <w:lang w:eastAsia="es-ES"/>
              </w:rPr>
              <w:t xml:space="preserve">Transport systems should contribute to economic growth, maximizing regional development, the positive effects of tourism, facilitating the connection between residential and employment areas and enhancing the positive effects on local employment </w:t>
            </w:r>
            <w:r w:rsidR="00DD794F">
              <w:rPr>
                <w:color w:val="000000"/>
                <w:sz w:val="16"/>
                <w:szCs w:val="16"/>
                <w:lang w:eastAsia="es-ES"/>
              </w:rPr>
              <w:t>(Yannis et al., 2020)</w:t>
            </w:r>
            <w:r>
              <w:rPr>
                <w:color w:val="000000"/>
                <w:sz w:val="16"/>
                <w:szCs w:val="16"/>
                <w:lang w:eastAsia="es-ES"/>
              </w:rPr>
              <w:t xml:space="preserve">. </w:t>
            </w:r>
          </w:p>
        </w:tc>
        <w:tc>
          <w:tcPr>
            <w:tcW w:w="1201" w:type="dxa"/>
            <w:vAlign w:val="center"/>
          </w:tcPr>
          <w:p w14:paraId="6D58FAF5" w14:textId="33A99C70"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38192E79" w14:textId="09A077C0" w:rsidTr="00541FA1">
        <w:trPr>
          <w:trHeight w:val="555"/>
          <w:jc w:val="center"/>
        </w:trPr>
        <w:tc>
          <w:tcPr>
            <w:tcW w:w="7436" w:type="dxa"/>
            <w:gridSpan w:val="2"/>
            <w:tcBorders>
              <w:top w:val="single" w:sz="4" w:space="0" w:color="auto"/>
              <w:bottom w:val="single" w:sz="4" w:space="0" w:color="auto"/>
            </w:tcBorders>
            <w:shd w:val="clear" w:color="auto" w:fill="auto"/>
            <w:vAlign w:val="center"/>
          </w:tcPr>
          <w:p w14:paraId="43D406E4" w14:textId="77777777" w:rsidR="00595021" w:rsidRPr="005E6C72" w:rsidRDefault="00595021" w:rsidP="00C35795">
            <w:pPr>
              <w:spacing w:line="240" w:lineRule="auto"/>
              <w:jc w:val="center"/>
              <w:rPr>
                <w:b/>
                <w:bCs/>
                <w:color w:val="000000"/>
                <w:sz w:val="16"/>
                <w:szCs w:val="16"/>
                <w:lang w:eastAsia="es-ES"/>
              </w:rPr>
            </w:pPr>
            <w:r w:rsidRPr="005E6C72">
              <w:rPr>
                <w:b/>
                <w:bCs/>
                <w:color w:val="000000"/>
                <w:sz w:val="22"/>
                <w:szCs w:val="22"/>
                <w:lang w:eastAsia="es-ES"/>
              </w:rPr>
              <w:t>Governance and Integrated Transport Planning</w:t>
            </w:r>
          </w:p>
        </w:tc>
        <w:tc>
          <w:tcPr>
            <w:tcW w:w="1201" w:type="dxa"/>
            <w:vAlign w:val="center"/>
          </w:tcPr>
          <w:p w14:paraId="6C1EC635" w14:textId="77777777" w:rsidR="00595021" w:rsidRPr="00595021" w:rsidRDefault="00595021" w:rsidP="00C35795">
            <w:pPr>
              <w:spacing w:line="240" w:lineRule="auto"/>
              <w:jc w:val="center"/>
              <w:rPr>
                <w:b/>
                <w:bCs/>
                <w:color w:val="000000"/>
                <w:sz w:val="18"/>
                <w:szCs w:val="18"/>
                <w:lang w:eastAsia="es-ES"/>
              </w:rPr>
            </w:pPr>
          </w:p>
        </w:tc>
      </w:tr>
      <w:tr w:rsidR="00595021" w:rsidRPr="00B63640" w14:paraId="2C804596" w14:textId="73A6C7B3" w:rsidTr="00541FA1">
        <w:trPr>
          <w:trHeight w:val="896"/>
          <w:jc w:val="center"/>
        </w:trPr>
        <w:tc>
          <w:tcPr>
            <w:tcW w:w="1660" w:type="dxa"/>
            <w:tcBorders>
              <w:top w:val="single" w:sz="4" w:space="0" w:color="auto"/>
            </w:tcBorders>
            <w:shd w:val="clear" w:color="auto" w:fill="auto"/>
            <w:vAlign w:val="center"/>
            <w:hideMark/>
          </w:tcPr>
          <w:p w14:paraId="3918A309" w14:textId="77777777" w:rsidR="00595021" w:rsidRPr="00B63640" w:rsidRDefault="00595021" w:rsidP="00C35795">
            <w:pPr>
              <w:spacing w:line="240" w:lineRule="auto"/>
              <w:jc w:val="center"/>
              <w:rPr>
                <w:color w:val="000000"/>
                <w:sz w:val="18"/>
                <w:szCs w:val="18"/>
                <w:lang w:eastAsia="es-ES"/>
              </w:rPr>
            </w:pPr>
            <w:r w:rsidRPr="005E6C72">
              <w:rPr>
                <w:color w:val="000000"/>
                <w:sz w:val="18"/>
                <w:szCs w:val="18"/>
                <w:lang w:eastAsia="es-ES"/>
              </w:rPr>
              <w:t>Land use and transport planning</w:t>
            </w:r>
          </w:p>
        </w:tc>
        <w:tc>
          <w:tcPr>
            <w:tcW w:w="5776" w:type="dxa"/>
            <w:tcBorders>
              <w:top w:val="single" w:sz="4" w:space="0" w:color="auto"/>
            </w:tcBorders>
            <w:vAlign w:val="center"/>
          </w:tcPr>
          <w:p w14:paraId="01336A43" w14:textId="3961B9F0" w:rsidR="00595021" w:rsidRPr="00B63640" w:rsidRDefault="00595021" w:rsidP="000779BD">
            <w:pPr>
              <w:spacing w:line="240" w:lineRule="auto"/>
              <w:rPr>
                <w:color w:val="000000"/>
                <w:sz w:val="16"/>
                <w:szCs w:val="16"/>
                <w:lang w:eastAsia="es-ES"/>
              </w:rPr>
            </w:pPr>
            <w:r w:rsidRPr="000779BD">
              <w:rPr>
                <w:color w:val="000000"/>
                <w:sz w:val="16"/>
                <w:szCs w:val="16"/>
                <w:lang w:val="en-US" w:eastAsia="es-ES"/>
              </w:rPr>
              <w:t xml:space="preserve">The </w:t>
            </w:r>
            <w:r>
              <w:rPr>
                <w:color w:val="000000"/>
                <w:sz w:val="16"/>
                <w:szCs w:val="16"/>
                <w:lang w:val="en-US" w:eastAsia="es-ES"/>
              </w:rPr>
              <w:t xml:space="preserve">urban </w:t>
            </w:r>
            <w:r w:rsidRPr="000779BD">
              <w:rPr>
                <w:color w:val="000000"/>
                <w:sz w:val="16"/>
                <w:szCs w:val="16"/>
                <w:lang w:val="en-US" w:eastAsia="es-ES"/>
              </w:rPr>
              <w:t xml:space="preserve">land area is </w:t>
            </w:r>
            <w:r>
              <w:rPr>
                <w:color w:val="000000"/>
                <w:sz w:val="16"/>
                <w:szCs w:val="16"/>
                <w:lang w:val="en-US" w:eastAsia="es-ES"/>
              </w:rPr>
              <w:t xml:space="preserve">typically </w:t>
            </w:r>
            <w:r w:rsidRPr="000779BD">
              <w:rPr>
                <w:color w:val="000000"/>
                <w:sz w:val="16"/>
                <w:szCs w:val="16"/>
                <w:lang w:val="en-US" w:eastAsia="es-ES"/>
              </w:rPr>
              <w:t>classified into three categories: residential,</w:t>
            </w:r>
            <w:r>
              <w:rPr>
                <w:color w:val="000000"/>
                <w:sz w:val="16"/>
                <w:szCs w:val="16"/>
                <w:lang w:val="en-US" w:eastAsia="es-ES"/>
              </w:rPr>
              <w:t xml:space="preserve"> </w:t>
            </w:r>
            <w:r w:rsidRPr="000779BD">
              <w:rPr>
                <w:color w:val="000000"/>
                <w:sz w:val="16"/>
                <w:szCs w:val="16"/>
                <w:lang w:val="en-US" w:eastAsia="es-ES"/>
              </w:rPr>
              <w:t xml:space="preserve">commercial/industrial, and institutional/public. </w:t>
            </w:r>
            <w:r>
              <w:rPr>
                <w:color w:val="000000"/>
                <w:sz w:val="16"/>
                <w:szCs w:val="16"/>
                <w:lang w:val="en-US" w:eastAsia="es-ES"/>
              </w:rPr>
              <w:t xml:space="preserve">One of the common measures </w:t>
            </w:r>
            <w:r w:rsidRPr="000779BD">
              <w:rPr>
                <w:color w:val="000000"/>
                <w:sz w:val="16"/>
                <w:szCs w:val="16"/>
                <w:lang w:val="en-US" w:eastAsia="es-ES"/>
              </w:rPr>
              <w:t>is the estimation of</w:t>
            </w:r>
            <w:r>
              <w:rPr>
                <w:color w:val="000000"/>
                <w:sz w:val="16"/>
                <w:szCs w:val="16"/>
                <w:lang w:val="en-US" w:eastAsia="es-ES"/>
              </w:rPr>
              <w:t xml:space="preserve"> land-use entropy used to evaluate diversity of land use. </w:t>
            </w:r>
            <w:r>
              <w:rPr>
                <w:color w:val="000000"/>
                <w:sz w:val="16"/>
                <w:szCs w:val="16"/>
                <w:lang w:eastAsia="es-ES"/>
              </w:rPr>
              <w:t xml:space="preserve">This procedure examines a mix of land uses and points out the benefits in the short and long-term for business, local trade, neighbourhoods’ vitality and liveability </w:t>
            </w:r>
            <w:r w:rsidR="00DD794F">
              <w:rPr>
                <w:color w:val="000000"/>
                <w:sz w:val="16"/>
                <w:szCs w:val="16"/>
                <w:lang w:eastAsia="es-ES"/>
              </w:rPr>
              <w:t>(T. Ramani, 2018)</w:t>
            </w:r>
            <w:r>
              <w:rPr>
                <w:color w:val="000000"/>
                <w:sz w:val="16"/>
                <w:szCs w:val="16"/>
                <w:lang w:eastAsia="es-ES"/>
              </w:rPr>
              <w:t>. Other aspects considered in this category are the integration of land use plans with transport planning, public spaces quality, and the existence of Sustainable Urban Mobility Plans (SUMPs).</w:t>
            </w:r>
          </w:p>
        </w:tc>
        <w:tc>
          <w:tcPr>
            <w:tcW w:w="1201" w:type="dxa"/>
            <w:vAlign w:val="center"/>
          </w:tcPr>
          <w:p w14:paraId="60482652" w14:textId="0759A1F1" w:rsidR="00595021" w:rsidRPr="00595021" w:rsidRDefault="00A138E4" w:rsidP="00595021">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4B7A1E68" w14:textId="4AF30136" w:rsidTr="00541FA1">
        <w:trPr>
          <w:trHeight w:val="1311"/>
          <w:jc w:val="center"/>
        </w:trPr>
        <w:tc>
          <w:tcPr>
            <w:tcW w:w="1660" w:type="dxa"/>
            <w:shd w:val="clear" w:color="auto" w:fill="auto"/>
            <w:vAlign w:val="center"/>
            <w:hideMark/>
          </w:tcPr>
          <w:p w14:paraId="4FFA5CA4" w14:textId="77777777" w:rsidR="00595021" w:rsidRPr="00B63640" w:rsidRDefault="00595021" w:rsidP="00C35795">
            <w:pPr>
              <w:spacing w:line="240" w:lineRule="auto"/>
              <w:jc w:val="center"/>
              <w:rPr>
                <w:color w:val="000000"/>
                <w:sz w:val="18"/>
                <w:szCs w:val="18"/>
                <w:lang w:eastAsia="es-ES"/>
              </w:rPr>
            </w:pPr>
            <w:r w:rsidRPr="005E6C72">
              <w:rPr>
                <w:color w:val="000000"/>
                <w:sz w:val="18"/>
                <w:szCs w:val="18"/>
                <w:lang w:eastAsia="es-ES"/>
              </w:rPr>
              <w:t>Transport governance and institutionality</w:t>
            </w:r>
          </w:p>
        </w:tc>
        <w:tc>
          <w:tcPr>
            <w:tcW w:w="5776" w:type="dxa"/>
            <w:vAlign w:val="center"/>
          </w:tcPr>
          <w:p w14:paraId="52C0DA0E" w14:textId="3589562A" w:rsidR="00595021" w:rsidRPr="00B63640" w:rsidRDefault="00D607F8" w:rsidP="00D607F8">
            <w:pPr>
              <w:spacing w:line="240" w:lineRule="auto"/>
              <w:rPr>
                <w:color w:val="000000"/>
                <w:sz w:val="16"/>
                <w:szCs w:val="16"/>
                <w:lang w:eastAsia="es-ES"/>
              </w:rPr>
            </w:pPr>
            <w:r w:rsidRPr="00D607F8">
              <w:rPr>
                <w:color w:val="000000"/>
                <w:sz w:val="16"/>
                <w:szCs w:val="16"/>
                <w:lang w:eastAsia="es-ES"/>
              </w:rPr>
              <w:t xml:space="preserve">Transport policy and planning require governance, which is associated with the </w:t>
            </w:r>
            <w:r w:rsidRPr="00D607F8">
              <w:rPr>
                <w:b/>
                <w:bCs/>
                <w:color w:val="000000"/>
                <w:sz w:val="16"/>
                <w:szCs w:val="16"/>
                <w:lang w:eastAsia="es-ES"/>
              </w:rPr>
              <w:t>practical usage of existing resources</w:t>
            </w:r>
            <w:r w:rsidRPr="00D607F8">
              <w:rPr>
                <w:color w:val="000000"/>
                <w:sz w:val="16"/>
                <w:szCs w:val="16"/>
                <w:lang w:eastAsia="es-ES"/>
              </w:rPr>
              <w:t xml:space="preserve"> as well as the allocation of new resources, such as investments.</w:t>
            </w:r>
            <w:r>
              <w:rPr>
                <w:color w:val="000000"/>
                <w:sz w:val="16"/>
                <w:szCs w:val="16"/>
                <w:lang w:eastAsia="es-ES"/>
              </w:rPr>
              <w:t xml:space="preserve"> </w:t>
            </w:r>
            <w:r w:rsidRPr="00D607F8">
              <w:rPr>
                <w:color w:val="000000"/>
                <w:sz w:val="16"/>
                <w:szCs w:val="16"/>
                <w:lang w:eastAsia="es-ES"/>
              </w:rPr>
              <w:t xml:space="preserve">The governance of transport infrastructure is particularly relevant because of its </w:t>
            </w:r>
            <w:r w:rsidRPr="00D607F8">
              <w:rPr>
                <w:b/>
                <w:bCs/>
                <w:color w:val="000000"/>
                <w:sz w:val="16"/>
                <w:szCs w:val="16"/>
                <w:lang w:eastAsia="es-ES"/>
              </w:rPr>
              <w:t>strategic, economic, and social importance</w:t>
            </w:r>
            <w:r w:rsidRPr="00D607F8">
              <w:rPr>
                <w:color w:val="000000"/>
                <w:sz w:val="16"/>
                <w:szCs w:val="16"/>
                <w:lang w:eastAsia="es-ES"/>
              </w:rPr>
              <w:t xml:space="preserve"> and the cross-jurisdictional character of many infrastructures, such as highways, rail, and telecommunication networks</w:t>
            </w:r>
            <w:r w:rsidR="00DD4661">
              <w:rPr>
                <w:color w:val="000000"/>
                <w:sz w:val="16"/>
                <w:szCs w:val="16"/>
                <w:lang w:eastAsia="es-ES"/>
              </w:rPr>
              <w:t xml:space="preserve"> </w:t>
            </w:r>
            <w:r w:rsidR="00DD794F">
              <w:rPr>
                <w:color w:val="000000"/>
                <w:sz w:val="16"/>
                <w:szCs w:val="16"/>
                <w:lang w:eastAsia="es-ES"/>
              </w:rPr>
              <w:t>(Stopher &amp; Stanley, 2014)</w:t>
            </w:r>
            <w:r w:rsidRPr="00D607F8">
              <w:rPr>
                <w:color w:val="000000"/>
                <w:sz w:val="16"/>
                <w:szCs w:val="16"/>
                <w:lang w:eastAsia="es-ES"/>
              </w:rPr>
              <w:t>.</w:t>
            </w:r>
          </w:p>
        </w:tc>
        <w:tc>
          <w:tcPr>
            <w:tcW w:w="1201" w:type="dxa"/>
            <w:vAlign w:val="center"/>
          </w:tcPr>
          <w:p w14:paraId="67826442" w14:textId="14A65B38" w:rsidR="00595021" w:rsidRPr="00595021" w:rsidRDefault="00A138E4" w:rsidP="00C35795">
            <w:pPr>
              <w:spacing w:line="240" w:lineRule="auto"/>
              <w:jc w:val="center"/>
              <w:rPr>
                <w:b/>
                <w:bCs/>
                <w:color w:val="000000"/>
                <w:sz w:val="18"/>
                <w:szCs w:val="18"/>
                <w:lang w:eastAsia="es-ES"/>
              </w:rPr>
            </w:pPr>
            <w:r>
              <w:rPr>
                <w:b/>
                <w:bCs/>
                <w:color w:val="000000"/>
                <w:sz w:val="18"/>
                <w:szCs w:val="18"/>
                <w:lang w:eastAsia="es-ES"/>
              </w:rPr>
              <w:sym w:font="Symbol" w:char="F0AD"/>
            </w:r>
          </w:p>
        </w:tc>
      </w:tr>
      <w:tr w:rsidR="00595021" w:rsidRPr="00B63640" w14:paraId="28D0DA97" w14:textId="104D2A8C" w:rsidTr="00541FA1">
        <w:trPr>
          <w:trHeight w:val="601"/>
          <w:jc w:val="center"/>
        </w:trPr>
        <w:tc>
          <w:tcPr>
            <w:tcW w:w="1660" w:type="dxa"/>
            <w:shd w:val="clear" w:color="auto" w:fill="auto"/>
            <w:vAlign w:val="center"/>
            <w:hideMark/>
          </w:tcPr>
          <w:p w14:paraId="26ED5506" w14:textId="77777777" w:rsidR="00595021" w:rsidRPr="00B63640" w:rsidRDefault="00595021" w:rsidP="00C35795">
            <w:pPr>
              <w:spacing w:line="240" w:lineRule="auto"/>
              <w:jc w:val="center"/>
              <w:rPr>
                <w:color w:val="000000"/>
                <w:sz w:val="18"/>
                <w:szCs w:val="18"/>
                <w:lang w:eastAsia="es-ES"/>
              </w:rPr>
            </w:pPr>
            <w:r w:rsidRPr="00B63640">
              <w:rPr>
                <w:color w:val="000000"/>
                <w:sz w:val="18"/>
                <w:szCs w:val="18"/>
                <w:lang w:eastAsia="es-ES"/>
              </w:rPr>
              <w:t>Citizen participation</w:t>
            </w:r>
          </w:p>
        </w:tc>
        <w:tc>
          <w:tcPr>
            <w:tcW w:w="5776" w:type="dxa"/>
            <w:vAlign w:val="center"/>
          </w:tcPr>
          <w:p w14:paraId="79E38777" w14:textId="0FB9085D" w:rsidR="00595021" w:rsidRPr="00DD4661" w:rsidRDefault="00DD4661" w:rsidP="00DD4661">
            <w:pPr>
              <w:spacing w:line="240" w:lineRule="auto"/>
              <w:rPr>
                <w:color w:val="000000"/>
                <w:sz w:val="16"/>
                <w:szCs w:val="16"/>
                <w:lang w:val="en-US" w:eastAsia="es-ES"/>
              </w:rPr>
            </w:pPr>
            <w:r w:rsidRPr="00DD4661">
              <w:rPr>
                <w:color w:val="000000"/>
                <w:sz w:val="16"/>
                <w:szCs w:val="16"/>
                <w:lang w:val="en-US" w:eastAsia="es-ES"/>
              </w:rPr>
              <w:t xml:space="preserve">The involvement of the public, whether in person or online, has been demonstrated to assist developers in aligning their efforts with the requirements of the community, thereby facilitating continuous enhancement and maintenance of various projects. This engagement fosters a sense of connection and investment among members in their respective communities. Residents who exhibit a strong sense of commitment to their community contribute to its betterment, enhancing the overall satisfaction of the community while also augmenting the social capital available to its members. The utilisation of participatory planning methodologies has been identified as a pivotal strategy for </w:t>
            </w:r>
            <w:r w:rsidR="00541FA1">
              <w:rPr>
                <w:color w:val="000000"/>
                <w:sz w:val="16"/>
                <w:szCs w:val="16"/>
                <w:lang w:val="en-US" w:eastAsia="es-ES"/>
              </w:rPr>
              <w:t>sustainable transport planning</w:t>
            </w:r>
            <w:r>
              <w:rPr>
                <w:color w:val="000000"/>
                <w:sz w:val="16"/>
                <w:szCs w:val="16"/>
                <w:lang w:val="en-US" w:eastAsia="es-ES"/>
              </w:rPr>
              <w:t xml:space="preserve"> </w:t>
            </w:r>
            <w:r w:rsidR="00DD794F">
              <w:rPr>
                <w:color w:val="000000"/>
                <w:sz w:val="16"/>
                <w:szCs w:val="16"/>
                <w:lang w:val="en-US" w:eastAsia="es-ES"/>
              </w:rPr>
              <w:t>(Robert Cervero, Erick Guerra, and Stefan Al, 2017)</w:t>
            </w:r>
            <w:r>
              <w:rPr>
                <w:color w:val="000000"/>
                <w:sz w:val="16"/>
                <w:szCs w:val="16"/>
                <w:lang w:val="en-US" w:eastAsia="es-ES"/>
              </w:rPr>
              <w:t>.</w:t>
            </w:r>
          </w:p>
        </w:tc>
        <w:tc>
          <w:tcPr>
            <w:tcW w:w="1201" w:type="dxa"/>
            <w:vAlign w:val="center"/>
          </w:tcPr>
          <w:p w14:paraId="7B65E5EB" w14:textId="4D061D74" w:rsidR="00595021" w:rsidRPr="00595021" w:rsidRDefault="00A138E4" w:rsidP="00C35795">
            <w:pPr>
              <w:spacing w:line="240" w:lineRule="auto"/>
              <w:jc w:val="center"/>
              <w:rPr>
                <w:b/>
                <w:bCs/>
                <w:color w:val="000000"/>
                <w:sz w:val="18"/>
                <w:szCs w:val="18"/>
                <w:lang w:eastAsia="es-ES"/>
              </w:rPr>
            </w:pPr>
            <w:r>
              <w:rPr>
                <w:b/>
                <w:bCs/>
                <w:color w:val="000000"/>
                <w:sz w:val="18"/>
                <w:szCs w:val="18"/>
                <w:lang w:eastAsia="es-ES"/>
              </w:rPr>
              <w:sym w:font="Symbol" w:char="F0AD"/>
            </w:r>
          </w:p>
        </w:tc>
      </w:tr>
    </w:tbl>
    <w:p w14:paraId="6F5E9E28" w14:textId="77777777" w:rsidR="00DB324C" w:rsidRPr="009756FF" w:rsidRDefault="00DB324C" w:rsidP="00DB324C">
      <w:pPr>
        <w:pStyle w:val="Newparagraph"/>
        <w:ind w:firstLine="0"/>
      </w:pPr>
    </w:p>
    <w:p w14:paraId="62824B4E" w14:textId="32C430E7" w:rsidR="0068694D" w:rsidRDefault="0068694D">
      <w:pPr>
        <w:spacing w:line="240" w:lineRule="auto"/>
      </w:pPr>
      <w:r>
        <w:br w:type="page"/>
      </w:r>
    </w:p>
    <w:p w14:paraId="458BAAA2" w14:textId="77777777" w:rsidR="0068694D" w:rsidRDefault="0068694D">
      <w:pPr>
        <w:spacing w:line="240" w:lineRule="auto"/>
        <w:rPr>
          <w:rFonts w:cs="Arial"/>
          <w:b/>
          <w:bCs/>
          <w:kern w:val="32"/>
          <w:szCs w:val="32"/>
        </w:rPr>
        <w:sectPr w:rsidR="0068694D" w:rsidSect="00DB324C">
          <w:pgSz w:w="11901" w:h="16840" w:code="9"/>
          <w:pgMar w:top="1418" w:right="1701" w:bottom="1418" w:left="1701" w:header="709" w:footer="709" w:gutter="0"/>
          <w:cols w:space="708"/>
          <w:docGrid w:linePitch="360"/>
        </w:sectPr>
      </w:pPr>
    </w:p>
    <w:p w14:paraId="7B145637" w14:textId="0386A279" w:rsidR="00795DC1" w:rsidRDefault="00795DC1" w:rsidP="00B1145F">
      <w:pPr>
        <w:pStyle w:val="Tabletitle"/>
      </w:pPr>
      <w:bookmarkStart w:id="4" w:name="_Ref189170868"/>
      <w:r w:rsidRPr="00B1145F">
        <w:rPr>
          <w:b/>
          <w:bCs/>
        </w:rPr>
        <w:lastRenderedPageBreak/>
        <w:t xml:space="preserve">Table </w:t>
      </w:r>
      <w:r w:rsidRPr="00B1145F">
        <w:rPr>
          <w:b/>
          <w:bCs/>
        </w:rPr>
        <w:fldChar w:fldCharType="begin"/>
      </w:r>
      <w:r w:rsidRPr="00B1145F">
        <w:rPr>
          <w:b/>
          <w:bCs/>
        </w:rPr>
        <w:instrText xml:space="preserve"> SEQ Table \* ARABIC </w:instrText>
      </w:r>
      <w:r w:rsidRPr="00B1145F">
        <w:rPr>
          <w:b/>
          <w:bCs/>
        </w:rPr>
        <w:fldChar w:fldCharType="separate"/>
      </w:r>
      <w:r w:rsidR="00077109">
        <w:rPr>
          <w:b/>
          <w:bCs/>
          <w:noProof/>
        </w:rPr>
        <w:t>8</w:t>
      </w:r>
      <w:r w:rsidRPr="00B1145F">
        <w:rPr>
          <w:b/>
          <w:bCs/>
        </w:rPr>
        <w:fldChar w:fldCharType="end"/>
      </w:r>
      <w:bookmarkEnd w:id="4"/>
      <w:r w:rsidR="00B1145F">
        <w:t xml:space="preserve"> </w:t>
      </w:r>
      <w:r>
        <w:t xml:space="preserve"> Catalogue of indicator</w:t>
      </w:r>
      <w:r w:rsidR="00526B62">
        <w:t>s</w:t>
      </w:r>
      <w:r>
        <w:t xml:space="preserve"> categorisation and integration</w:t>
      </w:r>
    </w:p>
    <w:p w14:paraId="27EE328B" w14:textId="77777777" w:rsidR="00B1145F" w:rsidRDefault="00795DC1">
      <w:pPr>
        <w:spacing w:line="240" w:lineRule="auto"/>
        <w:rPr>
          <w:rFonts w:cs="Arial"/>
          <w:b/>
          <w:bCs/>
          <w:kern w:val="32"/>
          <w:szCs w:val="32"/>
        </w:rPr>
      </w:pPr>
      <w:r w:rsidRPr="00795DC1">
        <w:rPr>
          <w:noProof/>
        </w:rPr>
        <w:drawing>
          <wp:inline distT="0" distB="0" distL="0" distR="0" wp14:anchorId="7F1734E0" wp14:editId="7B6E889E">
            <wp:extent cx="8391525" cy="4951723"/>
            <wp:effectExtent l="0" t="0" r="0" b="1905"/>
            <wp:docPr id="211445582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8447488" cy="4984746"/>
                    </a:xfrm>
                    <a:prstGeom prst="rect">
                      <a:avLst/>
                    </a:prstGeom>
                    <a:noFill/>
                    <a:ln>
                      <a:noFill/>
                    </a:ln>
                  </pic:spPr>
                </pic:pic>
              </a:graphicData>
            </a:graphic>
          </wp:inline>
        </w:drawing>
      </w:r>
    </w:p>
    <w:p w14:paraId="347EC132" w14:textId="106FB137" w:rsidR="0068694D" w:rsidRDefault="00B1145F">
      <w:pPr>
        <w:spacing w:line="240" w:lineRule="auto"/>
        <w:rPr>
          <w:rFonts w:cs="Arial"/>
          <w:b/>
          <w:bCs/>
          <w:kern w:val="32"/>
          <w:szCs w:val="32"/>
        </w:rPr>
      </w:pPr>
      <w:r w:rsidRPr="00795DC1">
        <w:rPr>
          <w:noProof/>
        </w:rPr>
        <w:lastRenderedPageBreak/>
        <w:drawing>
          <wp:inline distT="0" distB="0" distL="0" distR="0" wp14:anchorId="6410C9ED" wp14:editId="13E01B04">
            <wp:extent cx="8248650" cy="692785"/>
            <wp:effectExtent l="0" t="0" r="0" b="0"/>
            <wp:docPr id="6254761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248650" cy="692785"/>
                    </a:xfrm>
                    <a:prstGeom prst="rect">
                      <a:avLst/>
                    </a:prstGeom>
                    <a:noFill/>
                    <a:ln>
                      <a:noFill/>
                    </a:ln>
                  </pic:spPr>
                </pic:pic>
              </a:graphicData>
            </a:graphic>
          </wp:inline>
        </w:drawing>
      </w:r>
    </w:p>
    <w:p w14:paraId="2EE94A11" w14:textId="77777777" w:rsidR="00795DC1" w:rsidRDefault="00795DC1">
      <w:pPr>
        <w:spacing w:line="240" w:lineRule="auto"/>
        <w:rPr>
          <w:rFonts w:cs="Arial"/>
          <w:b/>
          <w:bCs/>
          <w:kern w:val="32"/>
          <w:szCs w:val="32"/>
        </w:rPr>
      </w:pPr>
      <w:r w:rsidRPr="00795DC1">
        <w:rPr>
          <w:noProof/>
        </w:rPr>
        <w:drawing>
          <wp:inline distT="0" distB="0" distL="0" distR="0" wp14:anchorId="38783E3F" wp14:editId="599D2552">
            <wp:extent cx="8248650" cy="4693907"/>
            <wp:effectExtent l="0" t="0" r="0" b="0"/>
            <wp:docPr id="127974364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273393" cy="4707987"/>
                    </a:xfrm>
                    <a:prstGeom prst="rect">
                      <a:avLst/>
                    </a:prstGeom>
                    <a:noFill/>
                    <a:ln>
                      <a:noFill/>
                    </a:ln>
                  </pic:spPr>
                </pic:pic>
              </a:graphicData>
            </a:graphic>
          </wp:inline>
        </w:drawing>
      </w:r>
    </w:p>
    <w:p w14:paraId="373CE332" w14:textId="77777777" w:rsidR="00795DC1" w:rsidRDefault="00795DC1">
      <w:pPr>
        <w:spacing w:line="240" w:lineRule="auto"/>
        <w:rPr>
          <w:rFonts w:cs="Arial"/>
          <w:b/>
          <w:bCs/>
          <w:kern w:val="32"/>
          <w:szCs w:val="32"/>
        </w:rPr>
      </w:pPr>
      <w:r w:rsidRPr="00795DC1">
        <w:rPr>
          <w:noProof/>
        </w:rPr>
        <w:lastRenderedPageBreak/>
        <w:drawing>
          <wp:inline distT="0" distB="0" distL="0" distR="0" wp14:anchorId="3A3E9085" wp14:editId="766312AB">
            <wp:extent cx="8892540" cy="692785"/>
            <wp:effectExtent l="0" t="0" r="3810" b="0"/>
            <wp:docPr id="4626627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2540" cy="692785"/>
                    </a:xfrm>
                    <a:prstGeom prst="rect">
                      <a:avLst/>
                    </a:prstGeom>
                    <a:noFill/>
                    <a:ln>
                      <a:noFill/>
                    </a:ln>
                  </pic:spPr>
                </pic:pic>
              </a:graphicData>
            </a:graphic>
          </wp:inline>
        </w:drawing>
      </w:r>
    </w:p>
    <w:p w14:paraId="3D34C09D" w14:textId="77777777" w:rsidR="00795DC1" w:rsidRDefault="00490ECA">
      <w:pPr>
        <w:spacing w:line="240" w:lineRule="auto"/>
        <w:rPr>
          <w:rFonts w:cs="Arial"/>
          <w:b/>
          <w:bCs/>
          <w:kern w:val="32"/>
          <w:szCs w:val="32"/>
        </w:rPr>
      </w:pPr>
      <w:r w:rsidRPr="00490ECA">
        <w:rPr>
          <w:noProof/>
        </w:rPr>
        <w:drawing>
          <wp:inline distT="0" distB="0" distL="0" distR="0" wp14:anchorId="6EF5BAD5" wp14:editId="56A2A5A7">
            <wp:extent cx="8892540" cy="4633468"/>
            <wp:effectExtent l="0" t="0" r="3810" b="0"/>
            <wp:docPr id="45246943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922164" cy="4648904"/>
                    </a:xfrm>
                    <a:prstGeom prst="rect">
                      <a:avLst/>
                    </a:prstGeom>
                    <a:noFill/>
                    <a:ln>
                      <a:noFill/>
                    </a:ln>
                  </pic:spPr>
                </pic:pic>
              </a:graphicData>
            </a:graphic>
          </wp:inline>
        </w:drawing>
      </w:r>
    </w:p>
    <w:p w14:paraId="19FFDF6C" w14:textId="4C00EB4C" w:rsidR="00172E94" w:rsidRDefault="00172E94">
      <w:pPr>
        <w:spacing w:line="240" w:lineRule="auto"/>
        <w:rPr>
          <w:rFonts w:cs="Arial"/>
          <w:b/>
          <w:bCs/>
          <w:kern w:val="32"/>
          <w:szCs w:val="32"/>
        </w:rPr>
      </w:pPr>
      <w:r w:rsidRPr="00795DC1">
        <w:rPr>
          <w:noProof/>
        </w:rPr>
        <w:lastRenderedPageBreak/>
        <w:drawing>
          <wp:inline distT="0" distB="0" distL="0" distR="0" wp14:anchorId="5A4F9B40" wp14:editId="0917D7AF">
            <wp:extent cx="8892540" cy="692785"/>
            <wp:effectExtent l="0" t="0" r="3810" b="0"/>
            <wp:docPr id="192394543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2540" cy="692785"/>
                    </a:xfrm>
                    <a:prstGeom prst="rect">
                      <a:avLst/>
                    </a:prstGeom>
                    <a:noFill/>
                    <a:ln>
                      <a:noFill/>
                    </a:ln>
                  </pic:spPr>
                </pic:pic>
              </a:graphicData>
            </a:graphic>
          </wp:inline>
        </w:drawing>
      </w:r>
      <w:r w:rsidRPr="00172E94">
        <w:rPr>
          <w:noProof/>
        </w:rPr>
        <w:drawing>
          <wp:inline distT="0" distB="0" distL="0" distR="0" wp14:anchorId="20CE0EC8" wp14:editId="2A2C6B64">
            <wp:extent cx="8892540" cy="4321175"/>
            <wp:effectExtent l="0" t="0" r="3810" b="3175"/>
            <wp:docPr id="167264837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892540" cy="4321175"/>
                    </a:xfrm>
                    <a:prstGeom prst="rect">
                      <a:avLst/>
                    </a:prstGeom>
                    <a:noFill/>
                    <a:ln>
                      <a:noFill/>
                    </a:ln>
                  </pic:spPr>
                </pic:pic>
              </a:graphicData>
            </a:graphic>
          </wp:inline>
        </w:drawing>
      </w:r>
    </w:p>
    <w:p w14:paraId="672C9CE0" w14:textId="77777777" w:rsidR="00172E94" w:rsidRDefault="00172E94">
      <w:pPr>
        <w:spacing w:line="240" w:lineRule="auto"/>
        <w:rPr>
          <w:rFonts w:cs="Arial"/>
          <w:b/>
          <w:bCs/>
          <w:kern w:val="32"/>
          <w:szCs w:val="32"/>
        </w:rPr>
      </w:pPr>
    </w:p>
    <w:p w14:paraId="510AEC1D" w14:textId="77777777" w:rsidR="00172E94" w:rsidRDefault="00172E94">
      <w:pPr>
        <w:spacing w:line="240" w:lineRule="auto"/>
        <w:rPr>
          <w:rFonts w:cs="Arial"/>
          <w:b/>
          <w:bCs/>
          <w:kern w:val="32"/>
          <w:szCs w:val="32"/>
        </w:rPr>
      </w:pPr>
      <w:r w:rsidRPr="00795DC1">
        <w:rPr>
          <w:noProof/>
        </w:rPr>
        <w:lastRenderedPageBreak/>
        <w:drawing>
          <wp:inline distT="0" distB="0" distL="0" distR="0" wp14:anchorId="349BE3EE" wp14:editId="5475F657">
            <wp:extent cx="8892540" cy="692785"/>
            <wp:effectExtent l="0" t="0" r="3810" b="0"/>
            <wp:docPr id="7211962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2540" cy="692785"/>
                    </a:xfrm>
                    <a:prstGeom prst="rect">
                      <a:avLst/>
                    </a:prstGeom>
                    <a:noFill/>
                    <a:ln>
                      <a:noFill/>
                    </a:ln>
                  </pic:spPr>
                </pic:pic>
              </a:graphicData>
            </a:graphic>
          </wp:inline>
        </w:drawing>
      </w:r>
      <w:r w:rsidRPr="00172E94">
        <w:rPr>
          <w:noProof/>
        </w:rPr>
        <w:drawing>
          <wp:inline distT="0" distB="0" distL="0" distR="0" wp14:anchorId="6A13C90E" wp14:editId="1BB71354">
            <wp:extent cx="8892540" cy="4681855"/>
            <wp:effectExtent l="0" t="0" r="3810" b="4445"/>
            <wp:docPr id="11861319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93676" cy="4682453"/>
                    </a:xfrm>
                    <a:prstGeom prst="rect">
                      <a:avLst/>
                    </a:prstGeom>
                    <a:noFill/>
                    <a:ln>
                      <a:noFill/>
                    </a:ln>
                  </pic:spPr>
                </pic:pic>
              </a:graphicData>
            </a:graphic>
          </wp:inline>
        </w:drawing>
      </w:r>
    </w:p>
    <w:p w14:paraId="78BC431A" w14:textId="77777777" w:rsidR="00172E94" w:rsidRDefault="00172E94">
      <w:pPr>
        <w:spacing w:line="240" w:lineRule="auto"/>
        <w:rPr>
          <w:rFonts w:cs="Arial"/>
          <w:b/>
          <w:bCs/>
          <w:kern w:val="32"/>
          <w:szCs w:val="32"/>
        </w:rPr>
      </w:pPr>
      <w:r w:rsidRPr="00795DC1">
        <w:rPr>
          <w:noProof/>
        </w:rPr>
        <w:lastRenderedPageBreak/>
        <w:drawing>
          <wp:inline distT="0" distB="0" distL="0" distR="0" wp14:anchorId="46056E7C" wp14:editId="503968E5">
            <wp:extent cx="8892540" cy="692785"/>
            <wp:effectExtent l="0" t="0" r="3810" b="0"/>
            <wp:docPr id="189604616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2540" cy="692785"/>
                    </a:xfrm>
                    <a:prstGeom prst="rect">
                      <a:avLst/>
                    </a:prstGeom>
                    <a:noFill/>
                    <a:ln>
                      <a:noFill/>
                    </a:ln>
                  </pic:spPr>
                </pic:pic>
              </a:graphicData>
            </a:graphic>
          </wp:inline>
        </w:drawing>
      </w:r>
      <w:r w:rsidRPr="00172E94">
        <w:rPr>
          <w:noProof/>
        </w:rPr>
        <w:drawing>
          <wp:inline distT="0" distB="0" distL="0" distR="0" wp14:anchorId="4B0E2B2D" wp14:editId="5E26C41F">
            <wp:extent cx="8892540" cy="4542790"/>
            <wp:effectExtent l="0" t="0" r="3810" b="0"/>
            <wp:docPr id="127915030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92540" cy="4542790"/>
                    </a:xfrm>
                    <a:prstGeom prst="rect">
                      <a:avLst/>
                    </a:prstGeom>
                    <a:noFill/>
                    <a:ln>
                      <a:noFill/>
                    </a:ln>
                  </pic:spPr>
                </pic:pic>
              </a:graphicData>
            </a:graphic>
          </wp:inline>
        </w:drawing>
      </w:r>
    </w:p>
    <w:p w14:paraId="5A678EBA" w14:textId="77777777" w:rsidR="00172E94" w:rsidRDefault="00172E94">
      <w:pPr>
        <w:spacing w:line="240" w:lineRule="auto"/>
        <w:rPr>
          <w:rFonts w:cs="Arial"/>
          <w:b/>
          <w:bCs/>
          <w:kern w:val="32"/>
          <w:szCs w:val="32"/>
        </w:rPr>
      </w:pPr>
      <w:r w:rsidRPr="00795DC1">
        <w:rPr>
          <w:noProof/>
        </w:rPr>
        <w:lastRenderedPageBreak/>
        <w:drawing>
          <wp:inline distT="0" distB="0" distL="0" distR="0" wp14:anchorId="3929B712" wp14:editId="5AFD0D9F">
            <wp:extent cx="8892540" cy="692785"/>
            <wp:effectExtent l="0" t="0" r="3810" b="0"/>
            <wp:docPr id="83315626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2540" cy="692785"/>
                    </a:xfrm>
                    <a:prstGeom prst="rect">
                      <a:avLst/>
                    </a:prstGeom>
                    <a:noFill/>
                    <a:ln>
                      <a:noFill/>
                    </a:ln>
                  </pic:spPr>
                </pic:pic>
              </a:graphicData>
            </a:graphic>
          </wp:inline>
        </w:drawing>
      </w:r>
      <w:r w:rsidRPr="00172E94">
        <w:rPr>
          <w:noProof/>
        </w:rPr>
        <w:drawing>
          <wp:inline distT="0" distB="0" distL="0" distR="0" wp14:anchorId="2C812DFB" wp14:editId="58EE3074">
            <wp:extent cx="8892540" cy="4679950"/>
            <wp:effectExtent l="0" t="0" r="3810" b="6350"/>
            <wp:docPr id="203791504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893532" cy="4680472"/>
                    </a:xfrm>
                    <a:prstGeom prst="rect">
                      <a:avLst/>
                    </a:prstGeom>
                    <a:noFill/>
                    <a:ln>
                      <a:noFill/>
                    </a:ln>
                  </pic:spPr>
                </pic:pic>
              </a:graphicData>
            </a:graphic>
          </wp:inline>
        </w:drawing>
      </w:r>
    </w:p>
    <w:p w14:paraId="6E402D1E" w14:textId="77777777" w:rsidR="00172E94" w:rsidRDefault="00172E94">
      <w:pPr>
        <w:spacing w:line="240" w:lineRule="auto"/>
        <w:rPr>
          <w:rFonts w:cs="Arial"/>
          <w:b/>
          <w:bCs/>
          <w:kern w:val="32"/>
          <w:szCs w:val="32"/>
        </w:rPr>
      </w:pPr>
      <w:r w:rsidRPr="00795DC1">
        <w:rPr>
          <w:noProof/>
        </w:rPr>
        <w:lastRenderedPageBreak/>
        <w:drawing>
          <wp:inline distT="0" distB="0" distL="0" distR="0" wp14:anchorId="678A8968" wp14:editId="37AD8DD4">
            <wp:extent cx="8892540" cy="692785"/>
            <wp:effectExtent l="0" t="0" r="3810" b="0"/>
            <wp:docPr id="14572886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2540" cy="692785"/>
                    </a:xfrm>
                    <a:prstGeom prst="rect">
                      <a:avLst/>
                    </a:prstGeom>
                    <a:noFill/>
                    <a:ln>
                      <a:noFill/>
                    </a:ln>
                  </pic:spPr>
                </pic:pic>
              </a:graphicData>
            </a:graphic>
          </wp:inline>
        </w:drawing>
      </w:r>
      <w:r w:rsidR="00A729C7" w:rsidRPr="00A729C7">
        <w:rPr>
          <w:noProof/>
        </w:rPr>
        <w:drawing>
          <wp:inline distT="0" distB="0" distL="0" distR="0" wp14:anchorId="0B5A939D" wp14:editId="77007B3B">
            <wp:extent cx="8892540" cy="4267835"/>
            <wp:effectExtent l="0" t="0" r="3810" b="0"/>
            <wp:docPr id="141068923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892540" cy="4267835"/>
                    </a:xfrm>
                    <a:prstGeom prst="rect">
                      <a:avLst/>
                    </a:prstGeom>
                    <a:noFill/>
                    <a:ln>
                      <a:noFill/>
                    </a:ln>
                  </pic:spPr>
                </pic:pic>
              </a:graphicData>
            </a:graphic>
          </wp:inline>
        </w:drawing>
      </w:r>
    </w:p>
    <w:p w14:paraId="1A1DF341" w14:textId="4CBFC2E9" w:rsidR="00A729C7" w:rsidRPr="0068694D" w:rsidRDefault="00A729C7">
      <w:pPr>
        <w:spacing w:line="240" w:lineRule="auto"/>
        <w:rPr>
          <w:rFonts w:cs="Arial"/>
          <w:b/>
          <w:bCs/>
          <w:kern w:val="32"/>
          <w:szCs w:val="32"/>
        </w:rPr>
        <w:sectPr w:rsidR="00A729C7" w:rsidRPr="0068694D" w:rsidSect="0068694D">
          <w:pgSz w:w="16840" w:h="11901" w:orient="landscape" w:code="9"/>
          <w:pgMar w:top="1701" w:right="1418" w:bottom="1701" w:left="1418" w:header="709" w:footer="709" w:gutter="0"/>
          <w:cols w:space="708"/>
          <w:docGrid w:linePitch="360"/>
        </w:sectPr>
      </w:pPr>
      <w:r w:rsidRPr="00795DC1">
        <w:rPr>
          <w:noProof/>
        </w:rPr>
        <w:lastRenderedPageBreak/>
        <w:drawing>
          <wp:inline distT="0" distB="0" distL="0" distR="0" wp14:anchorId="2D8C9500" wp14:editId="73665D01">
            <wp:extent cx="8892540" cy="692785"/>
            <wp:effectExtent l="0" t="0" r="3810" b="0"/>
            <wp:docPr id="6330859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8892540" cy="692785"/>
                    </a:xfrm>
                    <a:prstGeom prst="rect">
                      <a:avLst/>
                    </a:prstGeom>
                    <a:noFill/>
                    <a:ln>
                      <a:noFill/>
                    </a:ln>
                  </pic:spPr>
                </pic:pic>
              </a:graphicData>
            </a:graphic>
          </wp:inline>
        </w:drawing>
      </w:r>
      <w:r w:rsidRPr="00A729C7">
        <w:rPr>
          <w:noProof/>
        </w:rPr>
        <w:drawing>
          <wp:inline distT="0" distB="0" distL="0" distR="0" wp14:anchorId="36B2205A" wp14:editId="35F8D6C4">
            <wp:extent cx="8892540" cy="1294130"/>
            <wp:effectExtent l="0" t="0" r="3810" b="1270"/>
            <wp:docPr id="135571999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92540" cy="1294130"/>
                    </a:xfrm>
                    <a:prstGeom prst="rect">
                      <a:avLst/>
                    </a:prstGeom>
                    <a:noFill/>
                    <a:ln>
                      <a:noFill/>
                    </a:ln>
                  </pic:spPr>
                </pic:pic>
              </a:graphicData>
            </a:graphic>
          </wp:inline>
        </w:drawing>
      </w:r>
    </w:p>
    <w:p w14:paraId="71E4F797" w14:textId="77777777" w:rsidR="001843D0" w:rsidRPr="00B63640" w:rsidRDefault="001843D0" w:rsidP="00FE72D6">
      <w:pPr>
        <w:pStyle w:val="CitaviBibliographyHeading"/>
      </w:pPr>
    </w:p>
    <w:sectPr w:rsidR="001843D0" w:rsidRPr="00B63640" w:rsidSect="00074B81">
      <w:pgSz w:w="11901"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F8ED0D" w14:textId="77777777" w:rsidR="00D37F3C" w:rsidRDefault="00D37F3C" w:rsidP="00AF2C92">
      <w:r>
        <w:separator/>
      </w:r>
    </w:p>
  </w:endnote>
  <w:endnote w:type="continuationSeparator" w:id="0">
    <w:p w14:paraId="2AE8A885" w14:textId="77777777" w:rsidR="00D37F3C" w:rsidRDefault="00D37F3C" w:rsidP="00AF2C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AE79E7" w14:textId="77777777" w:rsidR="002211DD" w:rsidRDefault="002211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43363983"/>
      <w:docPartObj>
        <w:docPartGallery w:val="Page Numbers (Bottom of Page)"/>
        <w:docPartUnique/>
      </w:docPartObj>
    </w:sdtPr>
    <w:sdtContent>
      <w:p w14:paraId="3CBAB44F" w14:textId="2EBE48D5" w:rsidR="009B5E91" w:rsidRDefault="009B5E91">
        <w:pPr>
          <w:pStyle w:val="Footer"/>
          <w:jc w:val="right"/>
        </w:pPr>
        <w:r>
          <w:fldChar w:fldCharType="begin"/>
        </w:r>
        <w:r>
          <w:instrText>PAGE   \* MERGEFORMAT</w:instrText>
        </w:r>
        <w:r>
          <w:fldChar w:fldCharType="separate"/>
        </w:r>
        <w:r>
          <w:rPr>
            <w:lang w:val="es-ES"/>
          </w:rPr>
          <w:t>2</w:t>
        </w:r>
        <w:r>
          <w:fldChar w:fldCharType="end"/>
        </w:r>
      </w:p>
    </w:sdtContent>
  </w:sdt>
  <w:p w14:paraId="778C32D3" w14:textId="77777777" w:rsidR="002211DD" w:rsidRDefault="002211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B07F9" w14:textId="77777777" w:rsidR="002211DD" w:rsidRDefault="002211D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C8FE4" w14:textId="77777777" w:rsidR="00D37F3C" w:rsidRDefault="00D37F3C" w:rsidP="00AF2C92">
      <w:r>
        <w:separator/>
      </w:r>
    </w:p>
  </w:footnote>
  <w:footnote w:type="continuationSeparator" w:id="0">
    <w:p w14:paraId="23C2F3F7" w14:textId="77777777" w:rsidR="00D37F3C" w:rsidRDefault="00D37F3C" w:rsidP="00AF2C9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1A5B0" w14:textId="77777777" w:rsidR="002211DD" w:rsidRDefault="002211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AFF9A4" w14:textId="77777777" w:rsidR="00803BA8" w:rsidRDefault="00803BA8" w:rsidP="00803BA8">
    <w:pPr>
      <w:pStyle w:val="Header"/>
      <w:rPr>
        <w:i/>
        <w:iCs/>
        <w:sz w:val="18"/>
        <w:szCs w:val="18"/>
        <w:lang w:val="en-US"/>
      </w:rPr>
    </w:pPr>
    <w:r>
      <w:rPr>
        <w:i/>
        <w:iCs/>
        <w:sz w:val="18"/>
        <w:szCs w:val="18"/>
        <w:lang w:val="en-US"/>
      </w:rPr>
      <w:t>Evaluating urban transport systems: A systematic review for the identification of sustainable mobility</w:t>
    </w:r>
    <w:r w:rsidRPr="00D815B5">
      <w:rPr>
        <w:i/>
        <w:iCs/>
        <w:sz w:val="18"/>
        <w:szCs w:val="18"/>
        <w:lang w:val="en-US"/>
      </w:rPr>
      <w:t xml:space="preserve"> indicators </w:t>
    </w:r>
    <w:r>
      <w:rPr>
        <w:i/>
        <w:iCs/>
        <w:sz w:val="18"/>
        <w:szCs w:val="18"/>
        <w:lang w:val="en-US"/>
      </w:rPr>
      <w:t>for</w:t>
    </w:r>
    <w:r w:rsidRPr="00D815B5">
      <w:rPr>
        <w:i/>
        <w:iCs/>
        <w:sz w:val="18"/>
        <w:szCs w:val="18"/>
        <w:lang w:val="en-US"/>
      </w:rPr>
      <w:t xml:space="preserve"> Latin America</w:t>
    </w:r>
  </w:p>
  <w:p w14:paraId="03D8538C" w14:textId="51279A56" w:rsidR="003017A9" w:rsidRPr="003017A9" w:rsidRDefault="003017A9">
    <w:pPr>
      <w:pStyle w:val="Header"/>
      <w:rPr>
        <w:sz w:val="18"/>
        <w:szCs w:val="18"/>
        <w:lang w:val="en-US"/>
      </w:rPr>
    </w:pPr>
    <w:r>
      <w:rPr>
        <w:sz w:val="18"/>
        <w:szCs w:val="18"/>
        <w:lang w:val="en-US"/>
      </w:rPr>
      <w:t>TUD Dresden University of Technology</w:t>
    </w:r>
    <w:r w:rsidRPr="003017A9">
      <w:rPr>
        <w:sz w:val="18"/>
        <w:szCs w:val="18"/>
        <w:lang w:val="en-US"/>
      </w:rPr>
      <w:t xml:space="preserve"> </w:t>
    </w:r>
    <w:r>
      <w:rPr>
        <w:sz w:val="18"/>
        <w:szCs w:val="18"/>
        <w:lang w:val="en-US"/>
      </w:rPr>
      <w:t>– IVI Fraunhofer Institute for Transport and Infrastructure Systems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8FBC24" w14:textId="4C550BDA" w:rsidR="003017A9" w:rsidRDefault="00803BA8" w:rsidP="003017A9">
    <w:pPr>
      <w:pStyle w:val="Header"/>
      <w:rPr>
        <w:i/>
        <w:iCs/>
        <w:sz w:val="18"/>
        <w:szCs w:val="18"/>
        <w:lang w:val="en-US"/>
      </w:rPr>
    </w:pPr>
    <w:r>
      <w:rPr>
        <w:i/>
        <w:iCs/>
        <w:sz w:val="18"/>
        <w:szCs w:val="18"/>
        <w:lang w:val="en-US"/>
      </w:rPr>
      <w:t>Evaluating urban transport systems: A systematic review for the identification of sustainable mobility</w:t>
    </w:r>
    <w:r w:rsidR="003017A9" w:rsidRPr="00D815B5">
      <w:rPr>
        <w:i/>
        <w:iCs/>
        <w:sz w:val="18"/>
        <w:szCs w:val="18"/>
        <w:lang w:val="en-US"/>
      </w:rPr>
      <w:t xml:space="preserve"> indicators </w:t>
    </w:r>
    <w:r>
      <w:rPr>
        <w:i/>
        <w:iCs/>
        <w:sz w:val="18"/>
        <w:szCs w:val="18"/>
        <w:lang w:val="en-US"/>
      </w:rPr>
      <w:t>for</w:t>
    </w:r>
    <w:r w:rsidR="003017A9" w:rsidRPr="00D815B5">
      <w:rPr>
        <w:i/>
        <w:iCs/>
        <w:sz w:val="18"/>
        <w:szCs w:val="18"/>
        <w:lang w:val="en-US"/>
      </w:rPr>
      <w:t xml:space="preserve"> Latin America</w:t>
    </w:r>
  </w:p>
  <w:p w14:paraId="45643046" w14:textId="748EEEDD" w:rsidR="002211DD" w:rsidRPr="003017A9" w:rsidRDefault="003017A9">
    <w:pPr>
      <w:pStyle w:val="Header"/>
      <w:rPr>
        <w:sz w:val="18"/>
        <w:szCs w:val="18"/>
        <w:lang w:val="en-US"/>
      </w:rPr>
    </w:pPr>
    <w:r>
      <w:rPr>
        <w:sz w:val="18"/>
        <w:szCs w:val="18"/>
        <w:lang w:val="en-US"/>
      </w:rPr>
      <w:t>TUD Dresden University of Technology</w:t>
    </w:r>
    <w:r w:rsidRPr="003017A9">
      <w:rPr>
        <w:sz w:val="18"/>
        <w:szCs w:val="18"/>
        <w:lang w:val="en-US"/>
      </w:rPr>
      <w:t xml:space="preserve"> </w:t>
    </w:r>
    <w:r>
      <w:rPr>
        <w:sz w:val="18"/>
        <w:szCs w:val="18"/>
        <w:lang w:val="en-US"/>
      </w:rPr>
      <w:t>– IVI Fraunhofer Institute for Transport and Infrastructure Systems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176F12C"/>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A8A29A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F9CEE2A6"/>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B0B47E8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92707730"/>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682B5C6"/>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926FDBC"/>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99643384"/>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182D0E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D30EE8C"/>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15294E"/>
    <w:multiLevelType w:val="hybridMultilevel"/>
    <w:tmpl w:val="55A4D58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3C5D0C07"/>
    <w:multiLevelType w:val="hybridMultilevel"/>
    <w:tmpl w:val="4CA02766"/>
    <w:lvl w:ilvl="0" w:tplc="79367BA0">
      <w:start w:val="1"/>
      <w:numFmt w:val="decimal"/>
      <w:pStyle w:val="Numberedlist"/>
      <w:lvlText w:val="(%1)"/>
      <w:lvlJc w:val="right"/>
      <w:pPr>
        <w:ind w:left="720" w:hanging="153"/>
      </w:pPr>
      <w:rPr>
        <w:rFonts w:hint="default"/>
      </w:rPr>
    </w:lvl>
    <w:lvl w:ilvl="1" w:tplc="FE3AC208">
      <w:start w:val="1"/>
      <w:numFmt w:val="lowerLetter"/>
      <w:lvlText w:val="(%2)"/>
      <w:lvlJc w:val="left"/>
      <w:pPr>
        <w:ind w:left="1440" w:hanging="360"/>
      </w:pPr>
      <w:rPr>
        <w:rFonts w:hint="default"/>
      </w:rPr>
    </w:lvl>
    <w:lvl w:ilvl="2" w:tplc="77E4D7DE">
      <w:start w:val="1"/>
      <w:numFmt w:val="lowerRoman"/>
      <w:lvlText w:val="(%3)"/>
      <w:lvlJc w:val="right"/>
      <w:pPr>
        <w:ind w:left="2160" w:hanging="18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70479A9"/>
    <w:multiLevelType w:val="hybridMultilevel"/>
    <w:tmpl w:val="2334C8D8"/>
    <w:lvl w:ilvl="0" w:tplc="B91AA420">
      <w:start w:val="1"/>
      <w:numFmt w:val="bullet"/>
      <w:lvlText w:val="1"/>
      <w:lvlJc w:val="left"/>
      <w:pPr>
        <w:tabs>
          <w:tab w:val="num" w:pos="720"/>
        </w:tabs>
        <w:ind w:left="720" w:hanging="360"/>
      </w:pPr>
      <w:rPr>
        <w:rFonts w:ascii="Times New Roman" w:hAnsi="Times New Roman" w:hint="default"/>
      </w:rPr>
    </w:lvl>
    <w:lvl w:ilvl="1" w:tplc="F506A526" w:tentative="1">
      <w:start w:val="1"/>
      <w:numFmt w:val="bullet"/>
      <w:lvlText w:val="1"/>
      <w:lvlJc w:val="left"/>
      <w:pPr>
        <w:tabs>
          <w:tab w:val="num" w:pos="1440"/>
        </w:tabs>
        <w:ind w:left="1440" w:hanging="360"/>
      </w:pPr>
      <w:rPr>
        <w:rFonts w:ascii="Times New Roman" w:hAnsi="Times New Roman" w:hint="default"/>
      </w:rPr>
    </w:lvl>
    <w:lvl w:ilvl="2" w:tplc="4B40598E" w:tentative="1">
      <w:start w:val="1"/>
      <w:numFmt w:val="bullet"/>
      <w:lvlText w:val="1"/>
      <w:lvlJc w:val="left"/>
      <w:pPr>
        <w:tabs>
          <w:tab w:val="num" w:pos="2160"/>
        </w:tabs>
        <w:ind w:left="2160" w:hanging="360"/>
      </w:pPr>
      <w:rPr>
        <w:rFonts w:ascii="Times New Roman" w:hAnsi="Times New Roman" w:hint="default"/>
      </w:rPr>
    </w:lvl>
    <w:lvl w:ilvl="3" w:tplc="F5DEE7F8" w:tentative="1">
      <w:start w:val="1"/>
      <w:numFmt w:val="bullet"/>
      <w:lvlText w:val="1"/>
      <w:lvlJc w:val="left"/>
      <w:pPr>
        <w:tabs>
          <w:tab w:val="num" w:pos="2880"/>
        </w:tabs>
        <w:ind w:left="2880" w:hanging="360"/>
      </w:pPr>
      <w:rPr>
        <w:rFonts w:ascii="Times New Roman" w:hAnsi="Times New Roman" w:hint="default"/>
      </w:rPr>
    </w:lvl>
    <w:lvl w:ilvl="4" w:tplc="998E5E86" w:tentative="1">
      <w:start w:val="1"/>
      <w:numFmt w:val="bullet"/>
      <w:lvlText w:val="1"/>
      <w:lvlJc w:val="left"/>
      <w:pPr>
        <w:tabs>
          <w:tab w:val="num" w:pos="3600"/>
        </w:tabs>
        <w:ind w:left="3600" w:hanging="360"/>
      </w:pPr>
      <w:rPr>
        <w:rFonts w:ascii="Times New Roman" w:hAnsi="Times New Roman" w:hint="default"/>
      </w:rPr>
    </w:lvl>
    <w:lvl w:ilvl="5" w:tplc="A47E08EE" w:tentative="1">
      <w:start w:val="1"/>
      <w:numFmt w:val="bullet"/>
      <w:lvlText w:val="1"/>
      <w:lvlJc w:val="left"/>
      <w:pPr>
        <w:tabs>
          <w:tab w:val="num" w:pos="4320"/>
        </w:tabs>
        <w:ind w:left="4320" w:hanging="360"/>
      </w:pPr>
      <w:rPr>
        <w:rFonts w:ascii="Times New Roman" w:hAnsi="Times New Roman" w:hint="default"/>
      </w:rPr>
    </w:lvl>
    <w:lvl w:ilvl="6" w:tplc="0484A684" w:tentative="1">
      <w:start w:val="1"/>
      <w:numFmt w:val="bullet"/>
      <w:lvlText w:val="1"/>
      <w:lvlJc w:val="left"/>
      <w:pPr>
        <w:tabs>
          <w:tab w:val="num" w:pos="5040"/>
        </w:tabs>
        <w:ind w:left="5040" w:hanging="360"/>
      </w:pPr>
      <w:rPr>
        <w:rFonts w:ascii="Times New Roman" w:hAnsi="Times New Roman" w:hint="default"/>
      </w:rPr>
    </w:lvl>
    <w:lvl w:ilvl="7" w:tplc="C0A05E14" w:tentative="1">
      <w:start w:val="1"/>
      <w:numFmt w:val="bullet"/>
      <w:lvlText w:val="1"/>
      <w:lvlJc w:val="left"/>
      <w:pPr>
        <w:tabs>
          <w:tab w:val="num" w:pos="5760"/>
        </w:tabs>
        <w:ind w:left="5760" w:hanging="360"/>
      </w:pPr>
      <w:rPr>
        <w:rFonts w:ascii="Times New Roman" w:hAnsi="Times New Roman" w:hint="default"/>
      </w:rPr>
    </w:lvl>
    <w:lvl w:ilvl="8" w:tplc="973C558C" w:tentative="1">
      <w:start w:val="1"/>
      <w:numFmt w:val="bullet"/>
      <w:lvlText w:val="1"/>
      <w:lvlJc w:val="left"/>
      <w:pPr>
        <w:tabs>
          <w:tab w:val="num" w:pos="6480"/>
        </w:tabs>
        <w:ind w:left="6480" w:hanging="360"/>
      </w:pPr>
      <w:rPr>
        <w:rFonts w:ascii="Times New Roman" w:hAnsi="Times New Roman" w:hint="default"/>
      </w:rPr>
    </w:lvl>
  </w:abstractNum>
  <w:abstractNum w:abstractNumId="13" w15:restartNumberingAfterBreak="0">
    <w:nsid w:val="5BD96BF8"/>
    <w:multiLevelType w:val="hybridMultilevel"/>
    <w:tmpl w:val="76D2C65A"/>
    <w:lvl w:ilvl="0" w:tplc="0456C424">
      <w:start w:val="1"/>
      <w:numFmt w:val="bullet"/>
      <w:pStyle w:val="Bulleted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Aria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Arial"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DBE5BD4"/>
    <w:multiLevelType w:val="multilevel"/>
    <w:tmpl w:val="63007646"/>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894511030">
    <w:abstractNumId w:val="4"/>
  </w:num>
  <w:num w:numId="2" w16cid:durableId="506209949">
    <w:abstractNumId w:val="6"/>
  </w:num>
  <w:num w:numId="3" w16cid:durableId="1077098184">
    <w:abstractNumId w:val="5"/>
  </w:num>
  <w:num w:numId="4" w16cid:durableId="196360322">
    <w:abstractNumId w:val="9"/>
  </w:num>
  <w:num w:numId="5" w16cid:durableId="1662732463">
    <w:abstractNumId w:val="7"/>
  </w:num>
  <w:num w:numId="6" w16cid:durableId="1884097562">
    <w:abstractNumId w:val="11"/>
  </w:num>
  <w:num w:numId="7" w16cid:durableId="1254391418">
    <w:abstractNumId w:val="13"/>
  </w:num>
  <w:num w:numId="8" w16cid:durableId="303237247">
    <w:abstractNumId w:val="14"/>
  </w:num>
  <w:num w:numId="9" w16cid:durableId="594747643">
    <w:abstractNumId w:val="0"/>
  </w:num>
  <w:num w:numId="10" w16cid:durableId="616835702">
    <w:abstractNumId w:val="1"/>
  </w:num>
  <w:num w:numId="11" w16cid:durableId="1923368283">
    <w:abstractNumId w:val="2"/>
  </w:num>
  <w:num w:numId="12" w16cid:durableId="1545868170">
    <w:abstractNumId w:val="3"/>
  </w:num>
  <w:num w:numId="13" w16cid:durableId="1432580533">
    <w:abstractNumId w:val="8"/>
  </w:num>
  <w:num w:numId="14" w16cid:durableId="1400641143">
    <w:abstractNumId w:val="10"/>
  </w:num>
  <w:num w:numId="15" w16cid:durableId="614946064">
    <w:abstractNumId w:val="12"/>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attachedTemplate r:id="rId1"/>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19B2"/>
    <w:rsid w:val="00001899"/>
    <w:rsid w:val="000049AD"/>
    <w:rsid w:val="0000681B"/>
    <w:rsid w:val="00007F76"/>
    <w:rsid w:val="00010422"/>
    <w:rsid w:val="0001219E"/>
    <w:rsid w:val="000133C0"/>
    <w:rsid w:val="00014C4E"/>
    <w:rsid w:val="00017107"/>
    <w:rsid w:val="000202E2"/>
    <w:rsid w:val="0002172E"/>
    <w:rsid w:val="00022441"/>
    <w:rsid w:val="0002261E"/>
    <w:rsid w:val="000228D6"/>
    <w:rsid w:val="00022D65"/>
    <w:rsid w:val="0002333B"/>
    <w:rsid w:val="00023DD4"/>
    <w:rsid w:val="00023EB5"/>
    <w:rsid w:val="00024839"/>
    <w:rsid w:val="000263A2"/>
    <w:rsid w:val="00026871"/>
    <w:rsid w:val="0003057C"/>
    <w:rsid w:val="00030D73"/>
    <w:rsid w:val="0003167E"/>
    <w:rsid w:val="000323BD"/>
    <w:rsid w:val="00035B2F"/>
    <w:rsid w:val="00036C76"/>
    <w:rsid w:val="00037A98"/>
    <w:rsid w:val="00040B6D"/>
    <w:rsid w:val="000418F2"/>
    <w:rsid w:val="000427FB"/>
    <w:rsid w:val="00044329"/>
    <w:rsid w:val="0004455E"/>
    <w:rsid w:val="00044C43"/>
    <w:rsid w:val="00047CB5"/>
    <w:rsid w:val="00051FAA"/>
    <w:rsid w:val="00054E7D"/>
    <w:rsid w:val="000560A3"/>
    <w:rsid w:val="000572A9"/>
    <w:rsid w:val="00060C96"/>
    <w:rsid w:val="00061325"/>
    <w:rsid w:val="00062129"/>
    <w:rsid w:val="0006340F"/>
    <w:rsid w:val="000653E3"/>
    <w:rsid w:val="00065E5E"/>
    <w:rsid w:val="00066FDE"/>
    <w:rsid w:val="000673D9"/>
    <w:rsid w:val="00070A7A"/>
    <w:rsid w:val="0007151A"/>
    <w:rsid w:val="00072658"/>
    <w:rsid w:val="000733AC"/>
    <w:rsid w:val="000743C4"/>
    <w:rsid w:val="00074B81"/>
    <w:rsid w:val="00074D22"/>
    <w:rsid w:val="00075081"/>
    <w:rsid w:val="0007528A"/>
    <w:rsid w:val="00077109"/>
    <w:rsid w:val="000779BD"/>
    <w:rsid w:val="000811AB"/>
    <w:rsid w:val="00083C5F"/>
    <w:rsid w:val="00086872"/>
    <w:rsid w:val="00086CCF"/>
    <w:rsid w:val="00087EB4"/>
    <w:rsid w:val="0009172C"/>
    <w:rsid w:val="000930EC"/>
    <w:rsid w:val="000935AA"/>
    <w:rsid w:val="00093AB4"/>
    <w:rsid w:val="000946FE"/>
    <w:rsid w:val="00095E61"/>
    <w:rsid w:val="000966C1"/>
    <w:rsid w:val="0009707A"/>
    <w:rsid w:val="000970AC"/>
    <w:rsid w:val="000A1167"/>
    <w:rsid w:val="000A243C"/>
    <w:rsid w:val="000A4235"/>
    <w:rsid w:val="000A4428"/>
    <w:rsid w:val="000A6D40"/>
    <w:rsid w:val="000A7925"/>
    <w:rsid w:val="000A7BC3"/>
    <w:rsid w:val="000B1661"/>
    <w:rsid w:val="000B1F0B"/>
    <w:rsid w:val="000B2E88"/>
    <w:rsid w:val="000B3E20"/>
    <w:rsid w:val="000B4603"/>
    <w:rsid w:val="000B6182"/>
    <w:rsid w:val="000B63C9"/>
    <w:rsid w:val="000C09BE"/>
    <w:rsid w:val="000C1380"/>
    <w:rsid w:val="000C16F0"/>
    <w:rsid w:val="000C4E04"/>
    <w:rsid w:val="000C554F"/>
    <w:rsid w:val="000C575C"/>
    <w:rsid w:val="000D02B1"/>
    <w:rsid w:val="000D0DC5"/>
    <w:rsid w:val="000D15FF"/>
    <w:rsid w:val="000D28DF"/>
    <w:rsid w:val="000D3F6A"/>
    <w:rsid w:val="000D42CF"/>
    <w:rsid w:val="000D4879"/>
    <w:rsid w:val="000D488B"/>
    <w:rsid w:val="000D5A81"/>
    <w:rsid w:val="000D68DF"/>
    <w:rsid w:val="000D7AD4"/>
    <w:rsid w:val="000E138D"/>
    <w:rsid w:val="000E187A"/>
    <w:rsid w:val="000E2D61"/>
    <w:rsid w:val="000E31B1"/>
    <w:rsid w:val="000E450E"/>
    <w:rsid w:val="000E6259"/>
    <w:rsid w:val="000F4677"/>
    <w:rsid w:val="000F5BE0"/>
    <w:rsid w:val="000F7CF7"/>
    <w:rsid w:val="00100587"/>
    <w:rsid w:val="00100C50"/>
    <w:rsid w:val="0010284E"/>
    <w:rsid w:val="00103122"/>
    <w:rsid w:val="0010336A"/>
    <w:rsid w:val="00104C23"/>
    <w:rsid w:val="001050F1"/>
    <w:rsid w:val="00105AEA"/>
    <w:rsid w:val="00105FBB"/>
    <w:rsid w:val="00106CC3"/>
    <w:rsid w:val="00106DAF"/>
    <w:rsid w:val="00114ABE"/>
    <w:rsid w:val="00114F5D"/>
    <w:rsid w:val="00116023"/>
    <w:rsid w:val="00120CCC"/>
    <w:rsid w:val="0012158B"/>
    <w:rsid w:val="00122DB0"/>
    <w:rsid w:val="001246D8"/>
    <w:rsid w:val="00127E6C"/>
    <w:rsid w:val="001303D3"/>
    <w:rsid w:val="00134A51"/>
    <w:rsid w:val="00134EBE"/>
    <w:rsid w:val="001358D3"/>
    <w:rsid w:val="00135996"/>
    <w:rsid w:val="00136C71"/>
    <w:rsid w:val="00140727"/>
    <w:rsid w:val="00140E89"/>
    <w:rsid w:val="001415F2"/>
    <w:rsid w:val="0014170A"/>
    <w:rsid w:val="00141BA3"/>
    <w:rsid w:val="00145545"/>
    <w:rsid w:val="00146778"/>
    <w:rsid w:val="0014771C"/>
    <w:rsid w:val="00153473"/>
    <w:rsid w:val="001545E2"/>
    <w:rsid w:val="001557E0"/>
    <w:rsid w:val="00160628"/>
    <w:rsid w:val="00161344"/>
    <w:rsid w:val="00162195"/>
    <w:rsid w:val="001626B7"/>
    <w:rsid w:val="0016322A"/>
    <w:rsid w:val="0016485E"/>
    <w:rsid w:val="0016532D"/>
    <w:rsid w:val="00165A21"/>
    <w:rsid w:val="00166575"/>
    <w:rsid w:val="001705CE"/>
    <w:rsid w:val="00172E94"/>
    <w:rsid w:val="00174267"/>
    <w:rsid w:val="0017714B"/>
    <w:rsid w:val="001804DF"/>
    <w:rsid w:val="00181BDC"/>
    <w:rsid w:val="00181DB0"/>
    <w:rsid w:val="001829E3"/>
    <w:rsid w:val="00183F31"/>
    <w:rsid w:val="001843D0"/>
    <w:rsid w:val="001860C6"/>
    <w:rsid w:val="00191028"/>
    <w:rsid w:val="00191CE5"/>
    <w:rsid w:val="001924C0"/>
    <w:rsid w:val="00192E42"/>
    <w:rsid w:val="001934BA"/>
    <w:rsid w:val="0019536C"/>
    <w:rsid w:val="0019731E"/>
    <w:rsid w:val="0019773C"/>
    <w:rsid w:val="001A0021"/>
    <w:rsid w:val="001A09FE"/>
    <w:rsid w:val="001A2BD9"/>
    <w:rsid w:val="001A48BA"/>
    <w:rsid w:val="001A67C9"/>
    <w:rsid w:val="001A69DE"/>
    <w:rsid w:val="001A70DA"/>
    <w:rsid w:val="001A713C"/>
    <w:rsid w:val="001A7453"/>
    <w:rsid w:val="001A7975"/>
    <w:rsid w:val="001B0D83"/>
    <w:rsid w:val="001B1C7C"/>
    <w:rsid w:val="001B1E86"/>
    <w:rsid w:val="001B2B98"/>
    <w:rsid w:val="001B398F"/>
    <w:rsid w:val="001B46C6"/>
    <w:rsid w:val="001B4B48"/>
    <w:rsid w:val="001B4BFD"/>
    <w:rsid w:val="001B4D1F"/>
    <w:rsid w:val="001B5C8A"/>
    <w:rsid w:val="001B6C23"/>
    <w:rsid w:val="001B7681"/>
    <w:rsid w:val="001B77F5"/>
    <w:rsid w:val="001B7CAE"/>
    <w:rsid w:val="001C0772"/>
    <w:rsid w:val="001C0D4F"/>
    <w:rsid w:val="001C1BA3"/>
    <w:rsid w:val="001C1DEC"/>
    <w:rsid w:val="001C2F48"/>
    <w:rsid w:val="001C568D"/>
    <w:rsid w:val="001C5736"/>
    <w:rsid w:val="001D05D0"/>
    <w:rsid w:val="001D09B2"/>
    <w:rsid w:val="001D0DC7"/>
    <w:rsid w:val="001D5BC1"/>
    <w:rsid w:val="001D61AB"/>
    <w:rsid w:val="001D647F"/>
    <w:rsid w:val="001D6857"/>
    <w:rsid w:val="001E0572"/>
    <w:rsid w:val="001E0A67"/>
    <w:rsid w:val="001E1028"/>
    <w:rsid w:val="001E14E2"/>
    <w:rsid w:val="001E6302"/>
    <w:rsid w:val="001E7011"/>
    <w:rsid w:val="001E7DCB"/>
    <w:rsid w:val="001F0038"/>
    <w:rsid w:val="001F32D7"/>
    <w:rsid w:val="001F3411"/>
    <w:rsid w:val="001F4287"/>
    <w:rsid w:val="001F4DB6"/>
    <w:rsid w:val="001F4DBA"/>
    <w:rsid w:val="001F71A2"/>
    <w:rsid w:val="00201C19"/>
    <w:rsid w:val="0020254E"/>
    <w:rsid w:val="0020415E"/>
    <w:rsid w:val="00204FF4"/>
    <w:rsid w:val="0021056E"/>
    <w:rsid w:val="0021075D"/>
    <w:rsid w:val="00210ED5"/>
    <w:rsid w:val="0021165A"/>
    <w:rsid w:val="00211BC9"/>
    <w:rsid w:val="002129FF"/>
    <w:rsid w:val="00214990"/>
    <w:rsid w:val="00215A58"/>
    <w:rsid w:val="0021620C"/>
    <w:rsid w:val="00216DE4"/>
    <w:rsid w:val="00216E78"/>
    <w:rsid w:val="00217275"/>
    <w:rsid w:val="00217BC0"/>
    <w:rsid w:val="002211DD"/>
    <w:rsid w:val="00223284"/>
    <w:rsid w:val="00224664"/>
    <w:rsid w:val="00225EA2"/>
    <w:rsid w:val="00232A1E"/>
    <w:rsid w:val="00236F4B"/>
    <w:rsid w:val="0023745B"/>
    <w:rsid w:val="00237D17"/>
    <w:rsid w:val="00242B0D"/>
    <w:rsid w:val="002467C6"/>
    <w:rsid w:val="0024692A"/>
    <w:rsid w:val="00247533"/>
    <w:rsid w:val="00247F74"/>
    <w:rsid w:val="002519B2"/>
    <w:rsid w:val="00252BBA"/>
    <w:rsid w:val="00253123"/>
    <w:rsid w:val="002568A5"/>
    <w:rsid w:val="00263EE1"/>
    <w:rsid w:val="00264001"/>
    <w:rsid w:val="002649A6"/>
    <w:rsid w:val="00265C90"/>
    <w:rsid w:val="00266249"/>
    <w:rsid w:val="00266354"/>
    <w:rsid w:val="0026771A"/>
    <w:rsid w:val="00267A18"/>
    <w:rsid w:val="00273462"/>
    <w:rsid w:val="0027395B"/>
    <w:rsid w:val="002746CA"/>
    <w:rsid w:val="00275854"/>
    <w:rsid w:val="0027653B"/>
    <w:rsid w:val="00277196"/>
    <w:rsid w:val="00281234"/>
    <w:rsid w:val="00283B41"/>
    <w:rsid w:val="00285F28"/>
    <w:rsid w:val="00286398"/>
    <w:rsid w:val="00294777"/>
    <w:rsid w:val="002A3C42"/>
    <w:rsid w:val="002A5D75"/>
    <w:rsid w:val="002A682D"/>
    <w:rsid w:val="002A790B"/>
    <w:rsid w:val="002B1B1A"/>
    <w:rsid w:val="002B5ECF"/>
    <w:rsid w:val="002B7228"/>
    <w:rsid w:val="002B7D44"/>
    <w:rsid w:val="002C043C"/>
    <w:rsid w:val="002C0E79"/>
    <w:rsid w:val="002C190B"/>
    <w:rsid w:val="002C297A"/>
    <w:rsid w:val="002C2C12"/>
    <w:rsid w:val="002C31AF"/>
    <w:rsid w:val="002C53EE"/>
    <w:rsid w:val="002C5F17"/>
    <w:rsid w:val="002D24F7"/>
    <w:rsid w:val="002D2799"/>
    <w:rsid w:val="002D2CD7"/>
    <w:rsid w:val="002D4DDC"/>
    <w:rsid w:val="002D4F75"/>
    <w:rsid w:val="002D5A4B"/>
    <w:rsid w:val="002D6493"/>
    <w:rsid w:val="002D7AB6"/>
    <w:rsid w:val="002E06D0"/>
    <w:rsid w:val="002E3C27"/>
    <w:rsid w:val="002E403A"/>
    <w:rsid w:val="002E735A"/>
    <w:rsid w:val="002E7F3A"/>
    <w:rsid w:val="002F01D7"/>
    <w:rsid w:val="002F1B3C"/>
    <w:rsid w:val="002F4EDB"/>
    <w:rsid w:val="002F6054"/>
    <w:rsid w:val="00300532"/>
    <w:rsid w:val="003017A9"/>
    <w:rsid w:val="003032EF"/>
    <w:rsid w:val="00305C60"/>
    <w:rsid w:val="00310E13"/>
    <w:rsid w:val="00312011"/>
    <w:rsid w:val="0031399C"/>
    <w:rsid w:val="0031435A"/>
    <w:rsid w:val="00315713"/>
    <w:rsid w:val="0031686C"/>
    <w:rsid w:val="00316FE0"/>
    <w:rsid w:val="003204AF"/>
    <w:rsid w:val="003204D2"/>
    <w:rsid w:val="00320C12"/>
    <w:rsid w:val="00321DB2"/>
    <w:rsid w:val="0032605E"/>
    <w:rsid w:val="003268BE"/>
    <w:rsid w:val="003275D1"/>
    <w:rsid w:val="00330B2A"/>
    <w:rsid w:val="00331E17"/>
    <w:rsid w:val="00333063"/>
    <w:rsid w:val="00333B47"/>
    <w:rsid w:val="00334CEB"/>
    <w:rsid w:val="003408E3"/>
    <w:rsid w:val="00340C14"/>
    <w:rsid w:val="00341799"/>
    <w:rsid w:val="00342F1B"/>
    <w:rsid w:val="00343480"/>
    <w:rsid w:val="00343576"/>
    <w:rsid w:val="00345E89"/>
    <w:rsid w:val="00350DA7"/>
    <w:rsid w:val="003522A1"/>
    <w:rsid w:val="003523E4"/>
    <w:rsid w:val="0035254B"/>
    <w:rsid w:val="00352AC7"/>
    <w:rsid w:val="00353555"/>
    <w:rsid w:val="00354301"/>
    <w:rsid w:val="0035448C"/>
    <w:rsid w:val="003565D4"/>
    <w:rsid w:val="003607FB"/>
    <w:rsid w:val="00360FD5"/>
    <w:rsid w:val="0036240B"/>
    <w:rsid w:val="0036340D"/>
    <w:rsid w:val="003634A5"/>
    <w:rsid w:val="00365001"/>
    <w:rsid w:val="00365843"/>
    <w:rsid w:val="00366868"/>
    <w:rsid w:val="00367506"/>
    <w:rsid w:val="00370085"/>
    <w:rsid w:val="003716B5"/>
    <w:rsid w:val="00372FC0"/>
    <w:rsid w:val="0037427F"/>
    <w:rsid w:val="003744A7"/>
    <w:rsid w:val="00374FAC"/>
    <w:rsid w:val="00375E7B"/>
    <w:rsid w:val="00376235"/>
    <w:rsid w:val="00381FB6"/>
    <w:rsid w:val="0038242D"/>
    <w:rsid w:val="003836D3"/>
    <w:rsid w:val="00383A52"/>
    <w:rsid w:val="003864BF"/>
    <w:rsid w:val="00391652"/>
    <w:rsid w:val="00392DCB"/>
    <w:rsid w:val="00393B2B"/>
    <w:rsid w:val="0039507F"/>
    <w:rsid w:val="00395EE1"/>
    <w:rsid w:val="003A1260"/>
    <w:rsid w:val="003A295F"/>
    <w:rsid w:val="003A41DD"/>
    <w:rsid w:val="003A7033"/>
    <w:rsid w:val="003B47FE"/>
    <w:rsid w:val="003B5673"/>
    <w:rsid w:val="003B6287"/>
    <w:rsid w:val="003B62C9"/>
    <w:rsid w:val="003B7E86"/>
    <w:rsid w:val="003C30C8"/>
    <w:rsid w:val="003C328C"/>
    <w:rsid w:val="003C44AF"/>
    <w:rsid w:val="003C4FEE"/>
    <w:rsid w:val="003C7176"/>
    <w:rsid w:val="003C7FAC"/>
    <w:rsid w:val="003D0929"/>
    <w:rsid w:val="003D0966"/>
    <w:rsid w:val="003D2972"/>
    <w:rsid w:val="003D46C3"/>
    <w:rsid w:val="003D4729"/>
    <w:rsid w:val="003D69F3"/>
    <w:rsid w:val="003D7DD6"/>
    <w:rsid w:val="003E05D4"/>
    <w:rsid w:val="003E520F"/>
    <w:rsid w:val="003E5AAF"/>
    <w:rsid w:val="003E600D"/>
    <w:rsid w:val="003E64DF"/>
    <w:rsid w:val="003E6A5D"/>
    <w:rsid w:val="003F193A"/>
    <w:rsid w:val="003F4207"/>
    <w:rsid w:val="003F5C46"/>
    <w:rsid w:val="003F730B"/>
    <w:rsid w:val="003F7CBB"/>
    <w:rsid w:val="003F7D34"/>
    <w:rsid w:val="00403143"/>
    <w:rsid w:val="00403417"/>
    <w:rsid w:val="0040367C"/>
    <w:rsid w:val="00405EFA"/>
    <w:rsid w:val="00407706"/>
    <w:rsid w:val="00411B3F"/>
    <w:rsid w:val="00412C8E"/>
    <w:rsid w:val="0041518D"/>
    <w:rsid w:val="004215D4"/>
    <w:rsid w:val="0042221D"/>
    <w:rsid w:val="00424DD3"/>
    <w:rsid w:val="00426327"/>
    <w:rsid w:val="004269C5"/>
    <w:rsid w:val="00430D6F"/>
    <w:rsid w:val="0043262E"/>
    <w:rsid w:val="00435939"/>
    <w:rsid w:val="00437CC7"/>
    <w:rsid w:val="004413A2"/>
    <w:rsid w:val="00442B9C"/>
    <w:rsid w:val="00443309"/>
    <w:rsid w:val="00445EFA"/>
    <w:rsid w:val="0044738A"/>
    <w:rsid w:val="004473D3"/>
    <w:rsid w:val="00451420"/>
    <w:rsid w:val="00452231"/>
    <w:rsid w:val="0045348E"/>
    <w:rsid w:val="004542F4"/>
    <w:rsid w:val="00455FA4"/>
    <w:rsid w:val="004567D4"/>
    <w:rsid w:val="00460C13"/>
    <w:rsid w:val="00461FD7"/>
    <w:rsid w:val="004620E9"/>
    <w:rsid w:val="00462BE0"/>
    <w:rsid w:val="00463228"/>
    <w:rsid w:val="00463782"/>
    <w:rsid w:val="00463E31"/>
    <w:rsid w:val="004653BA"/>
    <w:rsid w:val="004667E0"/>
    <w:rsid w:val="0046760E"/>
    <w:rsid w:val="00467F80"/>
    <w:rsid w:val="00470E10"/>
    <w:rsid w:val="00473846"/>
    <w:rsid w:val="004747C5"/>
    <w:rsid w:val="00475A23"/>
    <w:rsid w:val="00477A97"/>
    <w:rsid w:val="00481343"/>
    <w:rsid w:val="00482626"/>
    <w:rsid w:val="0048549E"/>
    <w:rsid w:val="00485CA8"/>
    <w:rsid w:val="00490DA8"/>
    <w:rsid w:val="00490ECA"/>
    <w:rsid w:val="004912B9"/>
    <w:rsid w:val="004914CA"/>
    <w:rsid w:val="004930C6"/>
    <w:rsid w:val="00493347"/>
    <w:rsid w:val="00494741"/>
    <w:rsid w:val="00496092"/>
    <w:rsid w:val="004A08DB"/>
    <w:rsid w:val="004A25D0"/>
    <w:rsid w:val="004A37E8"/>
    <w:rsid w:val="004A38AA"/>
    <w:rsid w:val="004A454E"/>
    <w:rsid w:val="004A47F6"/>
    <w:rsid w:val="004A4A37"/>
    <w:rsid w:val="004A7549"/>
    <w:rsid w:val="004B09D4"/>
    <w:rsid w:val="004B309D"/>
    <w:rsid w:val="004B330A"/>
    <w:rsid w:val="004B3750"/>
    <w:rsid w:val="004B4769"/>
    <w:rsid w:val="004B650D"/>
    <w:rsid w:val="004B6A2D"/>
    <w:rsid w:val="004B7055"/>
    <w:rsid w:val="004B7C8E"/>
    <w:rsid w:val="004C0825"/>
    <w:rsid w:val="004C17F5"/>
    <w:rsid w:val="004C36AB"/>
    <w:rsid w:val="004C3D3C"/>
    <w:rsid w:val="004C5A01"/>
    <w:rsid w:val="004D0EDC"/>
    <w:rsid w:val="004D1220"/>
    <w:rsid w:val="004D14B3"/>
    <w:rsid w:val="004D1529"/>
    <w:rsid w:val="004D2253"/>
    <w:rsid w:val="004D2EA8"/>
    <w:rsid w:val="004D5514"/>
    <w:rsid w:val="004D56C3"/>
    <w:rsid w:val="004D7316"/>
    <w:rsid w:val="004D7EBF"/>
    <w:rsid w:val="004E0338"/>
    <w:rsid w:val="004E13DB"/>
    <w:rsid w:val="004E2510"/>
    <w:rsid w:val="004E4FF3"/>
    <w:rsid w:val="004E56A8"/>
    <w:rsid w:val="004F3B55"/>
    <w:rsid w:val="004F428E"/>
    <w:rsid w:val="004F4E46"/>
    <w:rsid w:val="004F6B7D"/>
    <w:rsid w:val="004F763F"/>
    <w:rsid w:val="004F7E98"/>
    <w:rsid w:val="005015F6"/>
    <w:rsid w:val="00501932"/>
    <w:rsid w:val="00503051"/>
    <w:rsid w:val="005030C4"/>
    <w:rsid w:val="005031C5"/>
    <w:rsid w:val="00504FDC"/>
    <w:rsid w:val="005076F4"/>
    <w:rsid w:val="005079EF"/>
    <w:rsid w:val="005109AC"/>
    <w:rsid w:val="00510D35"/>
    <w:rsid w:val="005120CC"/>
    <w:rsid w:val="00512978"/>
    <w:rsid w:val="00512B7B"/>
    <w:rsid w:val="00514EA1"/>
    <w:rsid w:val="00516BD4"/>
    <w:rsid w:val="0051798B"/>
    <w:rsid w:val="00521AC0"/>
    <w:rsid w:val="00521F5A"/>
    <w:rsid w:val="00522064"/>
    <w:rsid w:val="00522897"/>
    <w:rsid w:val="00523B41"/>
    <w:rsid w:val="005251FB"/>
    <w:rsid w:val="00525A3E"/>
    <w:rsid w:val="00525E06"/>
    <w:rsid w:val="00526063"/>
    <w:rsid w:val="0052631D"/>
    <w:rsid w:val="00526454"/>
    <w:rsid w:val="00526B62"/>
    <w:rsid w:val="00531823"/>
    <w:rsid w:val="00531867"/>
    <w:rsid w:val="0053491D"/>
    <w:rsid w:val="00534ECC"/>
    <w:rsid w:val="00534F7E"/>
    <w:rsid w:val="005363B7"/>
    <w:rsid w:val="0053720D"/>
    <w:rsid w:val="00540EF5"/>
    <w:rsid w:val="00541BF3"/>
    <w:rsid w:val="00541CD3"/>
    <w:rsid w:val="00541FA1"/>
    <w:rsid w:val="00542EEF"/>
    <w:rsid w:val="00545678"/>
    <w:rsid w:val="0054628B"/>
    <w:rsid w:val="00546F56"/>
    <w:rsid w:val="005476FA"/>
    <w:rsid w:val="005535E3"/>
    <w:rsid w:val="00554693"/>
    <w:rsid w:val="0055595E"/>
    <w:rsid w:val="00556702"/>
    <w:rsid w:val="00557988"/>
    <w:rsid w:val="00560D26"/>
    <w:rsid w:val="00562C49"/>
    <w:rsid w:val="00562DEF"/>
    <w:rsid w:val="0056321A"/>
    <w:rsid w:val="00563A35"/>
    <w:rsid w:val="00564659"/>
    <w:rsid w:val="00564877"/>
    <w:rsid w:val="00566309"/>
    <w:rsid w:val="00566596"/>
    <w:rsid w:val="00567FEF"/>
    <w:rsid w:val="00573076"/>
    <w:rsid w:val="005741E9"/>
    <w:rsid w:val="005743AC"/>
    <w:rsid w:val="005748CF"/>
    <w:rsid w:val="00580F7E"/>
    <w:rsid w:val="00581335"/>
    <w:rsid w:val="00584270"/>
    <w:rsid w:val="00584738"/>
    <w:rsid w:val="005879BF"/>
    <w:rsid w:val="00590AEB"/>
    <w:rsid w:val="005920B0"/>
    <w:rsid w:val="00592F8C"/>
    <w:rsid w:val="0059380D"/>
    <w:rsid w:val="005949EE"/>
    <w:rsid w:val="00595021"/>
    <w:rsid w:val="00595A8F"/>
    <w:rsid w:val="005975D3"/>
    <w:rsid w:val="005977C2"/>
    <w:rsid w:val="00597BF2"/>
    <w:rsid w:val="005A17ED"/>
    <w:rsid w:val="005A1F54"/>
    <w:rsid w:val="005A3020"/>
    <w:rsid w:val="005B134E"/>
    <w:rsid w:val="005B1D35"/>
    <w:rsid w:val="005B2039"/>
    <w:rsid w:val="005B2DED"/>
    <w:rsid w:val="005B344F"/>
    <w:rsid w:val="005B3FBA"/>
    <w:rsid w:val="005B4350"/>
    <w:rsid w:val="005B46A5"/>
    <w:rsid w:val="005B4A1D"/>
    <w:rsid w:val="005B674D"/>
    <w:rsid w:val="005C04FB"/>
    <w:rsid w:val="005C056D"/>
    <w:rsid w:val="005C0CBE"/>
    <w:rsid w:val="005C0D7B"/>
    <w:rsid w:val="005C0ECA"/>
    <w:rsid w:val="005C1FCF"/>
    <w:rsid w:val="005C3A5C"/>
    <w:rsid w:val="005C3F41"/>
    <w:rsid w:val="005C5EB9"/>
    <w:rsid w:val="005C607E"/>
    <w:rsid w:val="005D056D"/>
    <w:rsid w:val="005D1885"/>
    <w:rsid w:val="005D3B4D"/>
    <w:rsid w:val="005D4A38"/>
    <w:rsid w:val="005E0637"/>
    <w:rsid w:val="005E2EEA"/>
    <w:rsid w:val="005E31D7"/>
    <w:rsid w:val="005E3708"/>
    <w:rsid w:val="005E3CCD"/>
    <w:rsid w:val="005E3D6B"/>
    <w:rsid w:val="005E5B55"/>
    <w:rsid w:val="005E5E4A"/>
    <w:rsid w:val="005E693D"/>
    <w:rsid w:val="005E6C50"/>
    <w:rsid w:val="005E6C72"/>
    <w:rsid w:val="005E6EAC"/>
    <w:rsid w:val="005E75BF"/>
    <w:rsid w:val="005F3140"/>
    <w:rsid w:val="005F57BA"/>
    <w:rsid w:val="005F61E6"/>
    <w:rsid w:val="005F6C45"/>
    <w:rsid w:val="00602BD6"/>
    <w:rsid w:val="00603BCB"/>
    <w:rsid w:val="00605A69"/>
    <w:rsid w:val="00605EF3"/>
    <w:rsid w:val="00606C54"/>
    <w:rsid w:val="00614375"/>
    <w:rsid w:val="00615B0A"/>
    <w:rsid w:val="00616108"/>
    <w:rsid w:val="006168CF"/>
    <w:rsid w:val="00617D21"/>
    <w:rsid w:val="0062011B"/>
    <w:rsid w:val="0062331F"/>
    <w:rsid w:val="00624C6C"/>
    <w:rsid w:val="00626DE0"/>
    <w:rsid w:val="00627313"/>
    <w:rsid w:val="00630901"/>
    <w:rsid w:val="00630DE9"/>
    <w:rsid w:val="00631F8E"/>
    <w:rsid w:val="00633464"/>
    <w:rsid w:val="00636EE9"/>
    <w:rsid w:val="00640950"/>
    <w:rsid w:val="00641AE7"/>
    <w:rsid w:val="00641E28"/>
    <w:rsid w:val="00642629"/>
    <w:rsid w:val="00642A45"/>
    <w:rsid w:val="006460C1"/>
    <w:rsid w:val="0064782B"/>
    <w:rsid w:val="00651994"/>
    <w:rsid w:val="0065293D"/>
    <w:rsid w:val="00653EFC"/>
    <w:rsid w:val="00654021"/>
    <w:rsid w:val="00661045"/>
    <w:rsid w:val="00662423"/>
    <w:rsid w:val="00662740"/>
    <w:rsid w:val="00666DA8"/>
    <w:rsid w:val="00671057"/>
    <w:rsid w:val="0067398E"/>
    <w:rsid w:val="00675AAF"/>
    <w:rsid w:val="00680235"/>
    <w:rsid w:val="0068031A"/>
    <w:rsid w:val="00680B4F"/>
    <w:rsid w:val="00681B2F"/>
    <w:rsid w:val="006824D2"/>
    <w:rsid w:val="0068335F"/>
    <w:rsid w:val="006863A8"/>
    <w:rsid w:val="0068694D"/>
    <w:rsid w:val="00687217"/>
    <w:rsid w:val="006874A4"/>
    <w:rsid w:val="00693302"/>
    <w:rsid w:val="006947AA"/>
    <w:rsid w:val="00694C1D"/>
    <w:rsid w:val="0069640B"/>
    <w:rsid w:val="006A1B83"/>
    <w:rsid w:val="006A21CD"/>
    <w:rsid w:val="006A5918"/>
    <w:rsid w:val="006B1679"/>
    <w:rsid w:val="006B21B2"/>
    <w:rsid w:val="006B378E"/>
    <w:rsid w:val="006B4A4A"/>
    <w:rsid w:val="006B5ECD"/>
    <w:rsid w:val="006C19B2"/>
    <w:rsid w:val="006C2894"/>
    <w:rsid w:val="006C3B03"/>
    <w:rsid w:val="006C4277"/>
    <w:rsid w:val="006C4409"/>
    <w:rsid w:val="006C4657"/>
    <w:rsid w:val="006C5BB8"/>
    <w:rsid w:val="006C6165"/>
    <w:rsid w:val="006C6936"/>
    <w:rsid w:val="006C6EAE"/>
    <w:rsid w:val="006C7B01"/>
    <w:rsid w:val="006D0FE8"/>
    <w:rsid w:val="006D1A4A"/>
    <w:rsid w:val="006D4B2B"/>
    <w:rsid w:val="006D4F3C"/>
    <w:rsid w:val="006D5C66"/>
    <w:rsid w:val="006D7002"/>
    <w:rsid w:val="006E1B3C"/>
    <w:rsid w:val="006E23FB"/>
    <w:rsid w:val="006E325A"/>
    <w:rsid w:val="006E33EC"/>
    <w:rsid w:val="006E3802"/>
    <w:rsid w:val="006E6C02"/>
    <w:rsid w:val="006E7234"/>
    <w:rsid w:val="006E78CB"/>
    <w:rsid w:val="006F231A"/>
    <w:rsid w:val="006F67B7"/>
    <w:rsid w:val="006F6B55"/>
    <w:rsid w:val="006F6CA0"/>
    <w:rsid w:val="006F727D"/>
    <w:rsid w:val="006F788D"/>
    <w:rsid w:val="006F78E1"/>
    <w:rsid w:val="00701072"/>
    <w:rsid w:val="00702054"/>
    <w:rsid w:val="007035A4"/>
    <w:rsid w:val="007064A7"/>
    <w:rsid w:val="00711799"/>
    <w:rsid w:val="00712B78"/>
    <w:rsid w:val="0071393B"/>
    <w:rsid w:val="00713EB6"/>
    <w:rsid w:val="00713EE2"/>
    <w:rsid w:val="007177FC"/>
    <w:rsid w:val="00720C5E"/>
    <w:rsid w:val="00721701"/>
    <w:rsid w:val="00722A2D"/>
    <w:rsid w:val="007244A7"/>
    <w:rsid w:val="007247AD"/>
    <w:rsid w:val="0072568A"/>
    <w:rsid w:val="007262F5"/>
    <w:rsid w:val="00730EF8"/>
    <w:rsid w:val="00731835"/>
    <w:rsid w:val="00733315"/>
    <w:rsid w:val="007341F8"/>
    <w:rsid w:val="00734372"/>
    <w:rsid w:val="00734EB8"/>
    <w:rsid w:val="00735F8B"/>
    <w:rsid w:val="0074090B"/>
    <w:rsid w:val="00742397"/>
    <w:rsid w:val="00742D1F"/>
    <w:rsid w:val="00743621"/>
    <w:rsid w:val="00743EBA"/>
    <w:rsid w:val="00744C8E"/>
    <w:rsid w:val="0074707E"/>
    <w:rsid w:val="007516DC"/>
    <w:rsid w:val="00752693"/>
    <w:rsid w:val="00752E58"/>
    <w:rsid w:val="00754B80"/>
    <w:rsid w:val="0076132F"/>
    <w:rsid w:val="00761918"/>
    <w:rsid w:val="00761B8F"/>
    <w:rsid w:val="00762C0A"/>
    <w:rsid w:val="00762F03"/>
    <w:rsid w:val="007634A6"/>
    <w:rsid w:val="0076413B"/>
    <w:rsid w:val="007648AE"/>
    <w:rsid w:val="00764BF8"/>
    <w:rsid w:val="0076514D"/>
    <w:rsid w:val="007666A0"/>
    <w:rsid w:val="00773D59"/>
    <w:rsid w:val="00776119"/>
    <w:rsid w:val="00780314"/>
    <w:rsid w:val="00780B75"/>
    <w:rsid w:val="00781003"/>
    <w:rsid w:val="0078220F"/>
    <w:rsid w:val="00783F8C"/>
    <w:rsid w:val="007911FD"/>
    <w:rsid w:val="0079159B"/>
    <w:rsid w:val="00793930"/>
    <w:rsid w:val="00793DD1"/>
    <w:rsid w:val="00794FEC"/>
    <w:rsid w:val="00795DC1"/>
    <w:rsid w:val="00797968"/>
    <w:rsid w:val="007A003E"/>
    <w:rsid w:val="007A177B"/>
    <w:rsid w:val="007A1965"/>
    <w:rsid w:val="007A2ED1"/>
    <w:rsid w:val="007A3077"/>
    <w:rsid w:val="007A427C"/>
    <w:rsid w:val="007A461F"/>
    <w:rsid w:val="007A4BE6"/>
    <w:rsid w:val="007B0B3A"/>
    <w:rsid w:val="007B0DC6"/>
    <w:rsid w:val="007B1094"/>
    <w:rsid w:val="007B11E6"/>
    <w:rsid w:val="007B1762"/>
    <w:rsid w:val="007B3320"/>
    <w:rsid w:val="007B6FBE"/>
    <w:rsid w:val="007B704E"/>
    <w:rsid w:val="007B740B"/>
    <w:rsid w:val="007C301F"/>
    <w:rsid w:val="007C4540"/>
    <w:rsid w:val="007C65AF"/>
    <w:rsid w:val="007C67A1"/>
    <w:rsid w:val="007C6F30"/>
    <w:rsid w:val="007D05C2"/>
    <w:rsid w:val="007D135D"/>
    <w:rsid w:val="007D5A72"/>
    <w:rsid w:val="007D730F"/>
    <w:rsid w:val="007D7CD8"/>
    <w:rsid w:val="007E041D"/>
    <w:rsid w:val="007E0F29"/>
    <w:rsid w:val="007E1C60"/>
    <w:rsid w:val="007E3AA7"/>
    <w:rsid w:val="007F1CFE"/>
    <w:rsid w:val="007F415F"/>
    <w:rsid w:val="007F461B"/>
    <w:rsid w:val="007F737D"/>
    <w:rsid w:val="00800787"/>
    <w:rsid w:val="00801545"/>
    <w:rsid w:val="00802A1F"/>
    <w:rsid w:val="0080308E"/>
    <w:rsid w:val="00803BA8"/>
    <w:rsid w:val="00805303"/>
    <w:rsid w:val="00806705"/>
    <w:rsid w:val="00806738"/>
    <w:rsid w:val="00816A40"/>
    <w:rsid w:val="008216D5"/>
    <w:rsid w:val="008241F9"/>
    <w:rsid w:val="008249CE"/>
    <w:rsid w:val="00825C8D"/>
    <w:rsid w:val="008273F3"/>
    <w:rsid w:val="00830D4A"/>
    <w:rsid w:val="00831A50"/>
    <w:rsid w:val="00831B3C"/>
    <w:rsid w:val="00831C89"/>
    <w:rsid w:val="00832114"/>
    <w:rsid w:val="008327EE"/>
    <w:rsid w:val="00834C46"/>
    <w:rsid w:val="00836EE4"/>
    <w:rsid w:val="0084093E"/>
    <w:rsid w:val="00840F18"/>
    <w:rsid w:val="00841CE1"/>
    <w:rsid w:val="00843EA0"/>
    <w:rsid w:val="00844BD1"/>
    <w:rsid w:val="008473D8"/>
    <w:rsid w:val="0084751E"/>
    <w:rsid w:val="008528DC"/>
    <w:rsid w:val="00852B8C"/>
    <w:rsid w:val="0085446B"/>
    <w:rsid w:val="00854981"/>
    <w:rsid w:val="008559E3"/>
    <w:rsid w:val="00864B2E"/>
    <w:rsid w:val="00865963"/>
    <w:rsid w:val="00867189"/>
    <w:rsid w:val="00867604"/>
    <w:rsid w:val="008712A8"/>
    <w:rsid w:val="00871C1D"/>
    <w:rsid w:val="00872987"/>
    <w:rsid w:val="0087450E"/>
    <w:rsid w:val="00875A82"/>
    <w:rsid w:val="00876CA3"/>
    <w:rsid w:val="008772FE"/>
    <w:rsid w:val="008775F1"/>
    <w:rsid w:val="008817DE"/>
    <w:rsid w:val="008821AE"/>
    <w:rsid w:val="00882F6F"/>
    <w:rsid w:val="008837DC"/>
    <w:rsid w:val="00883D3A"/>
    <w:rsid w:val="0088440F"/>
    <w:rsid w:val="008854F7"/>
    <w:rsid w:val="00885A9D"/>
    <w:rsid w:val="00886118"/>
    <w:rsid w:val="0089208D"/>
    <w:rsid w:val="008929D2"/>
    <w:rsid w:val="00893636"/>
    <w:rsid w:val="00893B94"/>
    <w:rsid w:val="00896605"/>
    <w:rsid w:val="00896E9D"/>
    <w:rsid w:val="00896F11"/>
    <w:rsid w:val="008A07E6"/>
    <w:rsid w:val="008A1049"/>
    <w:rsid w:val="008A1C98"/>
    <w:rsid w:val="008A1EE8"/>
    <w:rsid w:val="008A2F92"/>
    <w:rsid w:val="008A322D"/>
    <w:rsid w:val="008A4D72"/>
    <w:rsid w:val="008A6285"/>
    <w:rsid w:val="008A63B2"/>
    <w:rsid w:val="008B345D"/>
    <w:rsid w:val="008B35D5"/>
    <w:rsid w:val="008B72FB"/>
    <w:rsid w:val="008C1FC2"/>
    <w:rsid w:val="008C2980"/>
    <w:rsid w:val="008C3E4E"/>
    <w:rsid w:val="008C4DD6"/>
    <w:rsid w:val="008C56FE"/>
    <w:rsid w:val="008C5AFB"/>
    <w:rsid w:val="008C6B79"/>
    <w:rsid w:val="008D07FB"/>
    <w:rsid w:val="008D0C02"/>
    <w:rsid w:val="008D357D"/>
    <w:rsid w:val="008D435A"/>
    <w:rsid w:val="008D52E2"/>
    <w:rsid w:val="008D63AA"/>
    <w:rsid w:val="008E1877"/>
    <w:rsid w:val="008E1B1C"/>
    <w:rsid w:val="008E387B"/>
    <w:rsid w:val="008E6087"/>
    <w:rsid w:val="008E758D"/>
    <w:rsid w:val="008F10A7"/>
    <w:rsid w:val="008F14CE"/>
    <w:rsid w:val="008F48DB"/>
    <w:rsid w:val="008F755D"/>
    <w:rsid w:val="008F75C2"/>
    <w:rsid w:val="008F7A39"/>
    <w:rsid w:val="0090111C"/>
    <w:rsid w:val="009021E8"/>
    <w:rsid w:val="00903B3A"/>
    <w:rsid w:val="00904677"/>
    <w:rsid w:val="00904826"/>
    <w:rsid w:val="00904ED4"/>
    <w:rsid w:val="0090532B"/>
    <w:rsid w:val="009059CC"/>
    <w:rsid w:val="00905EE2"/>
    <w:rsid w:val="00907735"/>
    <w:rsid w:val="00910FD2"/>
    <w:rsid w:val="009110C4"/>
    <w:rsid w:val="00911440"/>
    <w:rsid w:val="00911712"/>
    <w:rsid w:val="00911B27"/>
    <w:rsid w:val="0091334A"/>
    <w:rsid w:val="0091389D"/>
    <w:rsid w:val="00915D87"/>
    <w:rsid w:val="009170BE"/>
    <w:rsid w:val="00920B55"/>
    <w:rsid w:val="009262C9"/>
    <w:rsid w:val="00927C08"/>
    <w:rsid w:val="00930EB9"/>
    <w:rsid w:val="00933DC7"/>
    <w:rsid w:val="009363DF"/>
    <w:rsid w:val="00937B92"/>
    <w:rsid w:val="009418F4"/>
    <w:rsid w:val="009426E2"/>
    <w:rsid w:val="00942BBC"/>
    <w:rsid w:val="0094313E"/>
    <w:rsid w:val="00944180"/>
    <w:rsid w:val="00944AA0"/>
    <w:rsid w:val="009460BD"/>
    <w:rsid w:val="00947DA2"/>
    <w:rsid w:val="00951177"/>
    <w:rsid w:val="0095232D"/>
    <w:rsid w:val="0095256F"/>
    <w:rsid w:val="00954DCE"/>
    <w:rsid w:val="0095529A"/>
    <w:rsid w:val="0096290D"/>
    <w:rsid w:val="009647D6"/>
    <w:rsid w:val="009673E8"/>
    <w:rsid w:val="00971452"/>
    <w:rsid w:val="00972D98"/>
    <w:rsid w:val="00974026"/>
    <w:rsid w:val="00974DB8"/>
    <w:rsid w:val="009756FF"/>
    <w:rsid w:val="00975A42"/>
    <w:rsid w:val="00980661"/>
    <w:rsid w:val="0098093B"/>
    <w:rsid w:val="00981D91"/>
    <w:rsid w:val="00983653"/>
    <w:rsid w:val="0098621B"/>
    <w:rsid w:val="0098713D"/>
    <w:rsid w:val="009876D4"/>
    <w:rsid w:val="009914A5"/>
    <w:rsid w:val="00991798"/>
    <w:rsid w:val="009918AD"/>
    <w:rsid w:val="0099548E"/>
    <w:rsid w:val="0099551F"/>
    <w:rsid w:val="00996456"/>
    <w:rsid w:val="009969A1"/>
    <w:rsid w:val="00996A12"/>
    <w:rsid w:val="00997B0F"/>
    <w:rsid w:val="009A0CC3"/>
    <w:rsid w:val="009A1CAD"/>
    <w:rsid w:val="009A3440"/>
    <w:rsid w:val="009A4EA5"/>
    <w:rsid w:val="009A5832"/>
    <w:rsid w:val="009A58D7"/>
    <w:rsid w:val="009A6838"/>
    <w:rsid w:val="009B0641"/>
    <w:rsid w:val="009B24B5"/>
    <w:rsid w:val="009B3C8D"/>
    <w:rsid w:val="009B4EBC"/>
    <w:rsid w:val="009B5ABB"/>
    <w:rsid w:val="009B5E91"/>
    <w:rsid w:val="009B672A"/>
    <w:rsid w:val="009B73CE"/>
    <w:rsid w:val="009C1292"/>
    <w:rsid w:val="009C2461"/>
    <w:rsid w:val="009C2B8F"/>
    <w:rsid w:val="009C5A15"/>
    <w:rsid w:val="009C6DAE"/>
    <w:rsid w:val="009C6ED1"/>
    <w:rsid w:val="009C6FE2"/>
    <w:rsid w:val="009C7674"/>
    <w:rsid w:val="009C797A"/>
    <w:rsid w:val="009D004A"/>
    <w:rsid w:val="009D0FD6"/>
    <w:rsid w:val="009D4AA4"/>
    <w:rsid w:val="009D5880"/>
    <w:rsid w:val="009D5BBD"/>
    <w:rsid w:val="009D7D6A"/>
    <w:rsid w:val="009E19D1"/>
    <w:rsid w:val="009E1FD4"/>
    <w:rsid w:val="009E30B9"/>
    <w:rsid w:val="009E3B07"/>
    <w:rsid w:val="009E51D1"/>
    <w:rsid w:val="009E5531"/>
    <w:rsid w:val="009F0E8D"/>
    <w:rsid w:val="009F0FCB"/>
    <w:rsid w:val="009F171E"/>
    <w:rsid w:val="009F3D2F"/>
    <w:rsid w:val="009F3FFD"/>
    <w:rsid w:val="009F7052"/>
    <w:rsid w:val="009F793E"/>
    <w:rsid w:val="00A02668"/>
    <w:rsid w:val="00A02801"/>
    <w:rsid w:val="00A06A39"/>
    <w:rsid w:val="00A07F58"/>
    <w:rsid w:val="00A10B67"/>
    <w:rsid w:val="00A131CB"/>
    <w:rsid w:val="00A138E4"/>
    <w:rsid w:val="00A14847"/>
    <w:rsid w:val="00A16B97"/>
    <w:rsid w:val="00A16D6D"/>
    <w:rsid w:val="00A21383"/>
    <w:rsid w:val="00A21563"/>
    <w:rsid w:val="00A2199F"/>
    <w:rsid w:val="00A21B31"/>
    <w:rsid w:val="00A2360E"/>
    <w:rsid w:val="00A26E0C"/>
    <w:rsid w:val="00A32FCB"/>
    <w:rsid w:val="00A3404B"/>
    <w:rsid w:val="00A34C25"/>
    <w:rsid w:val="00A3507D"/>
    <w:rsid w:val="00A36553"/>
    <w:rsid w:val="00A36958"/>
    <w:rsid w:val="00A3717A"/>
    <w:rsid w:val="00A4088C"/>
    <w:rsid w:val="00A4149D"/>
    <w:rsid w:val="00A43A0D"/>
    <w:rsid w:val="00A4456B"/>
    <w:rsid w:val="00A448D4"/>
    <w:rsid w:val="00A452E0"/>
    <w:rsid w:val="00A4744F"/>
    <w:rsid w:val="00A478DD"/>
    <w:rsid w:val="00A506DF"/>
    <w:rsid w:val="00A51EA5"/>
    <w:rsid w:val="00A52F7F"/>
    <w:rsid w:val="00A530E1"/>
    <w:rsid w:val="00A53742"/>
    <w:rsid w:val="00A53A72"/>
    <w:rsid w:val="00A557A1"/>
    <w:rsid w:val="00A60B0F"/>
    <w:rsid w:val="00A62CE4"/>
    <w:rsid w:val="00A63059"/>
    <w:rsid w:val="00A63A5A"/>
    <w:rsid w:val="00A63AE3"/>
    <w:rsid w:val="00A651A4"/>
    <w:rsid w:val="00A66478"/>
    <w:rsid w:val="00A67ED8"/>
    <w:rsid w:val="00A701F9"/>
    <w:rsid w:val="00A70653"/>
    <w:rsid w:val="00A7134F"/>
    <w:rsid w:val="00A71361"/>
    <w:rsid w:val="00A71AA9"/>
    <w:rsid w:val="00A729C7"/>
    <w:rsid w:val="00A746E2"/>
    <w:rsid w:val="00A81FF2"/>
    <w:rsid w:val="00A83904"/>
    <w:rsid w:val="00A84734"/>
    <w:rsid w:val="00A85C33"/>
    <w:rsid w:val="00A87FAE"/>
    <w:rsid w:val="00A90A79"/>
    <w:rsid w:val="00A92D21"/>
    <w:rsid w:val="00A94759"/>
    <w:rsid w:val="00A94CF2"/>
    <w:rsid w:val="00A9551A"/>
    <w:rsid w:val="00A96B30"/>
    <w:rsid w:val="00AA1CBB"/>
    <w:rsid w:val="00AA442D"/>
    <w:rsid w:val="00AA59B5"/>
    <w:rsid w:val="00AA5F9B"/>
    <w:rsid w:val="00AA60AB"/>
    <w:rsid w:val="00AA73B4"/>
    <w:rsid w:val="00AA7777"/>
    <w:rsid w:val="00AA7B84"/>
    <w:rsid w:val="00AB44AA"/>
    <w:rsid w:val="00AB5BE4"/>
    <w:rsid w:val="00AC0B4C"/>
    <w:rsid w:val="00AC1164"/>
    <w:rsid w:val="00AC2296"/>
    <w:rsid w:val="00AC254A"/>
    <w:rsid w:val="00AC2754"/>
    <w:rsid w:val="00AC48B0"/>
    <w:rsid w:val="00AC4ACD"/>
    <w:rsid w:val="00AC51AB"/>
    <w:rsid w:val="00AC5DFB"/>
    <w:rsid w:val="00AD13DC"/>
    <w:rsid w:val="00AD15C4"/>
    <w:rsid w:val="00AD6DE2"/>
    <w:rsid w:val="00AE0A40"/>
    <w:rsid w:val="00AE0D71"/>
    <w:rsid w:val="00AE1ED4"/>
    <w:rsid w:val="00AE21E1"/>
    <w:rsid w:val="00AE2F8D"/>
    <w:rsid w:val="00AE3BAE"/>
    <w:rsid w:val="00AE3DBF"/>
    <w:rsid w:val="00AE441E"/>
    <w:rsid w:val="00AE6676"/>
    <w:rsid w:val="00AE6A21"/>
    <w:rsid w:val="00AE6CAA"/>
    <w:rsid w:val="00AF012C"/>
    <w:rsid w:val="00AF1C8F"/>
    <w:rsid w:val="00AF2B68"/>
    <w:rsid w:val="00AF2C92"/>
    <w:rsid w:val="00AF3EC1"/>
    <w:rsid w:val="00AF4707"/>
    <w:rsid w:val="00AF4A58"/>
    <w:rsid w:val="00AF5025"/>
    <w:rsid w:val="00AF519F"/>
    <w:rsid w:val="00AF5387"/>
    <w:rsid w:val="00AF55F5"/>
    <w:rsid w:val="00AF7AAB"/>
    <w:rsid w:val="00AF7E86"/>
    <w:rsid w:val="00B0106E"/>
    <w:rsid w:val="00B024B9"/>
    <w:rsid w:val="00B04D07"/>
    <w:rsid w:val="00B077FA"/>
    <w:rsid w:val="00B1145F"/>
    <w:rsid w:val="00B1274B"/>
    <w:rsid w:val="00B127D7"/>
    <w:rsid w:val="00B1358E"/>
    <w:rsid w:val="00B13B0C"/>
    <w:rsid w:val="00B14408"/>
    <w:rsid w:val="00B1453A"/>
    <w:rsid w:val="00B14AF1"/>
    <w:rsid w:val="00B20F82"/>
    <w:rsid w:val="00B233B9"/>
    <w:rsid w:val="00B25231"/>
    <w:rsid w:val="00B25BD5"/>
    <w:rsid w:val="00B25C33"/>
    <w:rsid w:val="00B30E73"/>
    <w:rsid w:val="00B34079"/>
    <w:rsid w:val="00B35199"/>
    <w:rsid w:val="00B35E44"/>
    <w:rsid w:val="00B3793A"/>
    <w:rsid w:val="00B401BA"/>
    <w:rsid w:val="00B4033C"/>
    <w:rsid w:val="00B407E4"/>
    <w:rsid w:val="00B425B6"/>
    <w:rsid w:val="00B425DA"/>
    <w:rsid w:val="00B42A72"/>
    <w:rsid w:val="00B441AE"/>
    <w:rsid w:val="00B44D95"/>
    <w:rsid w:val="00B45A65"/>
    <w:rsid w:val="00B45F33"/>
    <w:rsid w:val="00B464D2"/>
    <w:rsid w:val="00B46840"/>
    <w:rsid w:val="00B46BDC"/>
    <w:rsid w:val="00B46CE3"/>
    <w:rsid w:val="00B46D50"/>
    <w:rsid w:val="00B47431"/>
    <w:rsid w:val="00B478BF"/>
    <w:rsid w:val="00B53170"/>
    <w:rsid w:val="00B548B9"/>
    <w:rsid w:val="00B54D4B"/>
    <w:rsid w:val="00B54FC3"/>
    <w:rsid w:val="00B56995"/>
    <w:rsid w:val="00B56DBE"/>
    <w:rsid w:val="00B62999"/>
    <w:rsid w:val="00B63640"/>
    <w:rsid w:val="00B63BE3"/>
    <w:rsid w:val="00B64885"/>
    <w:rsid w:val="00B64FA3"/>
    <w:rsid w:val="00B661D4"/>
    <w:rsid w:val="00B66810"/>
    <w:rsid w:val="00B70272"/>
    <w:rsid w:val="00B7066B"/>
    <w:rsid w:val="00B71819"/>
    <w:rsid w:val="00B72BE3"/>
    <w:rsid w:val="00B73085"/>
    <w:rsid w:val="00B73B80"/>
    <w:rsid w:val="00B73BBD"/>
    <w:rsid w:val="00B770C7"/>
    <w:rsid w:val="00B80F26"/>
    <w:rsid w:val="00B817DF"/>
    <w:rsid w:val="00B822BD"/>
    <w:rsid w:val="00B83413"/>
    <w:rsid w:val="00B8393E"/>
    <w:rsid w:val="00B842F4"/>
    <w:rsid w:val="00B874E4"/>
    <w:rsid w:val="00B90D2D"/>
    <w:rsid w:val="00B91A7B"/>
    <w:rsid w:val="00B929DD"/>
    <w:rsid w:val="00B93AF6"/>
    <w:rsid w:val="00B948A1"/>
    <w:rsid w:val="00B95405"/>
    <w:rsid w:val="00B963F1"/>
    <w:rsid w:val="00B96EFF"/>
    <w:rsid w:val="00B9722C"/>
    <w:rsid w:val="00BA0058"/>
    <w:rsid w:val="00BA01B9"/>
    <w:rsid w:val="00BA020A"/>
    <w:rsid w:val="00BA0819"/>
    <w:rsid w:val="00BA23B7"/>
    <w:rsid w:val="00BA3D79"/>
    <w:rsid w:val="00BA6E80"/>
    <w:rsid w:val="00BA7490"/>
    <w:rsid w:val="00BB025A"/>
    <w:rsid w:val="00BB02A4"/>
    <w:rsid w:val="00BB1270"/>
    <w:rsid w:val="00BB1E44"/>
    <w:rsid w:val="00BB464C"/>
    <w:rsid w:val="00BB5267"/>
    <w:rsid w:val="00BB52B8"/>
    <w:rsid w:val="00BB59D8"/>
    <w:rsid w:val="00BB7369"/>
    <w:rsid w:val="00BB7739"/>
    <w:rsid w:val="00BB7E69"/>
    <w:rsid w:val="00BC0E51"/>
    <w:rsid w:val="00BC2E58"/>
    <w:rsid w:val="00BC3C1F"/>
    <w:rsid w:val="00BC404C"/>
    <w:rsid w:val="00BC7CE7"/>
    <w:rsid w:val="00BD2047"/>
    <w:rsid w:val="00BD295E"/>
    <w:rsid w:val="00BD4664"/>
    <w:rsid w:val="00BE1193"/>
    <w:rsid w:val="00BE243D"/>
    <w:rsid w:val="00BE6D69"/>
    <w:rsid w:val="00BE7EBE"/>
    <w:rsid w:val="00BF008A"/>
    <w:rsid w:val="00BF1D71"/>
    <w:rsid w:val="00BF4849"/>
    <w:rsid w:val="00BF4EA7"/>
    <w:rsid w:val="00BF5284"/>
    <w:rsid w:val="00BF6525"/>
    <w:rsid w:val="00C00EDB"/>
    <w:rsid w:val="00C01C15"/>
    <w:rsid w:val="00C02863"/>
    <w:rsid w:val="00C0383A"/>
    <w:rsid w:val="00C04BDE"/>
    <w:rsid w:val="00C067FF"/>
    <w:rsid w:val="00C0787D"/>
    <w:rsid w:val="00C1152A"/>
    <w:rsid w:val="00C125EB"/>
    <w:rsid w:val="00C12862"/>
    <w:rsid w:val="00C128D4"/>
    <w:rsid w:val="00C132D5"/>
    <w:rsid w:val="00C1374F"/>
    <w:rsid w:val="00C13D28"/>
    <w:rsid w:val="00C14585"/>
    <w:rsid w:val="00C151D5"/>
    <w:rsid w:val="00C1547C"/>
    <w:rsid w:val="00C156F5"/>
    <w:rsid w:val="00C160FE"/>
    <w:rsid w:val="00C165A0"/>
    <w:rsid w:val="00C200F5"/>
    <w:rsid w:val="00C20FE7"/>
    <w:rsid w:val="00C2120F"/>
    <w:rsid w:val="00C216CE"/>
    <w:rsid w:val="00C2184F"/>
    <w:rsid w:val="00C21B1D"/>
    <w:rsid w:val="00C22640"/>
    <w:rsid w:val="00C226D9"/>
    <w:rsid w:val="00C22A78"/>
    <w:rsid w:val="00C23C7E"/>
    <w:rsid w:val="00C246C5"/>
    <w:rsid w:val="00C25A82"/>
    <w:rsid w:val="00C2633E"/>
    <w:rsid w:val="00C26391"/>
    <w:rsid w:val="00C30A2A"/>
    <w:rsid w:val="00C30CB0"/>
    <w:rsid w:val="00C30E0F"/>
    <w:rsid w:val="00C3322C"/>
    <w:rsid w:val="00C33993"/>
    <w:rsid w:val="00C34299"/>
    <w:rsid w:val="00C35795"/>
    <w:rsid w:val="00C4069E"/>
    <w:rsid w:val="00C41ADC"/>
    <w:rsid w:val="00C43183"/>
    <w:rsid w:val="00C44149"/>
    <w:rsid w:val="00C44410"/>
    <w:rsid w:val="00C44A15"/>
    <w:rsid w:val="00C4630A"/>
    <w:rsid w:val="00C5028B"/>
    <w:rsid w:val="00C523F0"/>
    <w:rsid w:val="00C526D2"/>
    <w:rsid w:val="00C53A91"/>
    <w:rsid w:val="00C5461C"/>
    <w:rsid w:val="00C54C4B"/>
    <w:rsid w:val="00C5528C"/>
    <w:rsid w:val="00C55624"/>
    <w:rsid w:val="00C569F3"/>
    <w:rsid w:val="00C5794E"/>
    <w:rsid w:val="00C60968"/>
    <w:rsid w:val="00C6161F"/>
    <w:rsid w:val="00C61C52"/>
    <w:rsid w:val="00C63D39"/>
    <w:rsid w:val="00C63EDD"/>
    <w:rsid w:val="00C64E3C"/>
    <w:rsid w:val="00C651B5"/>
    <w:rsid w:val="00C6558F"/>
    <w:rsid w:val="00C656B2"/>
    <w:rsid w:val="00C65B36"/>
    <w:rsid w:val="00C65D16"/>
    <w:rsid w:val="00C7292E"/>
    <w:rsid w:val="00C74E88"/>
    <w:rsid w:val="00C75E4F"/>
    <w:rsid w:val="00C80924"/>
    <w:rsid w:val="00C81C06"/>
    <w:rsid w:val="00C8286B"/>
    <w:rsid w:val="00C87DE3"/>
    <w:rsid w:val="00C900F8"/>
    <w:rsid w:val="00C928AF"/>
    <w:rsid w:val="00C9422C"/>
    <w:rsid w:val="00C94717"/>
    <w:rsid w:val="00C947F8"/>
    <w:rsid w:val="00C9515F"/>
    <w:rsid w:val="00C963C5"/>
    <w:rsid w:val="00C97347"/>
    <w:rsid w:val="00CA030C"/>
    <w:rsid w:val="00CA18F9"/>
    <w:rsid w:val="00CA1F41"/>
    <w:rsid w:val="00CA32EE"/>
    <w:rsid w:val="00CA5771"/>
    <w:rsid w:val="00CA6A1A"/>
    <w:rsid w:val="00CA6B0A"/>
    <w:rsid w:val="00CB0265"/>
    <w:rsid w:val="00CB4E04"/>
    <w:rsid w:val="00CB4E30"/>
    <w:rsid w:val="00CB509A"/>
    <w:rsid w:val="00CB5912"/>
    <w:rsid w:val="00CB5FAB"/>
    <w:rsid w:val="00CB76A3"/>
    <w:rsid w:val="00CC1E75"/>
    <w:rsid w:val="00CC2E0E"/>
    <w:rsid w:val="00CC361C"/>
    <w:rsid w:val="00CC3D31"/>
    <w:rsid w:val="00CC474B"/>
    <w:rsid w:val="00CC658C"/>
    <w:rsid w:val="00CC67BF"/>
    <w:rsid w:val="00CC69DC"/>
    <w:rsid w:val="00CD0843"/>
    <w:rsid w:val="00CD1306"/>
    <w:rsid w:val="00CD421F"/>
    <w:rsid w:val="00CD4477"/>
    <w:rsid w:val="00CD4E31"/>
    <w:rsid w:val="00CD5A4A"/>
    <w:rsid w:val="00CD5A78"/>
    <w:rsid w:val="00CD5C6C"/>
    <w:rsid w:val="00CD7345"/>
    <w:rsid w:val="00CD7C51"/>
    <w:rsid w:val="00CE00D2"/>
    <w:rsid w:val="00CE372E"/>
    <w:rsid w:val="00CE388B"/>
    <w:rsid w:val="00CE6ABE"/>
    <w:rsid w:val="00CE6E6A"/>
    <w:rsid w:val="00CF0A1B"/>
    <w:rsid w:val="00CF19F6"/>
    <w:rsid w:val="00CF2F4F"/>
    <w:rsid w:val="00CF5310"/>
    <w:rsid w:val="00CF536D"/>
    <w:rsid w:val="00D01101"/>
    <w:rsid w:val="00D014E3"/>
    <w:rsid w:val="00D02073"/>
    <w:rsid w:val="00D02E9D"/>
    <w:rsid w:val="00D06B43"/>
    <w:rsid w:val="00D10CB8"/>
    <w:rsid w:val="00D111DC"/>
    <w:rsid w:val="00D121F2"/>
    <w:rsid w:val="00D12806"/>
    <w:rsid w:val="00D12D44"/>
    <w:rsid w:val="00D13273"/>
    <w:rsid w:val="00D14C5C"/>
    <w:rsid w:val="00D15018"/>
    <w:rsid w:val="00D15746"/>
    <w:rsid w:val="00D158AC"/>
    <w:rsid w:val="00D1694C"/>
    <w:rsid w:val="00D17A05"/>
    <w:rsid w:val="00D20F5E"/>
    <w:rsid w:val="00D21032"/>
    <w:rsid w:val="00D22B0B"/>
    <w:rsid w:val="00D23B76"/>
    <w:rsid w:val="00D24B4A"/>
    <w:rsid w:val="00D307F2"/>
    <w:rsid w:val="00D31185"/>
    <w:rsid w:val="00D34C8C"/>
    <w:rsid w:val="00D34FFE"/>
    <w:rsid w:val="00D379A3"/>
    <w:rsid w:val="00D37DC0"/>
    <w:rsid w:val="00D37F3C"/>
    <w:rsid w:val="00D41A79"/>
    <w:rsid w:val="00D43F70"/>
    <w:rsid w:val="00D4477D"/>
    <w:rsid w:val="00D45FF3"/>
    <w:rsid w:val="00D50228"/>
    <w:rsid w:val="00D50786"/>
    <w:rsid w:val="00D50DF9"/>
    <w:rsid w:val="00D512CF"/>
    <w:rsid w:val="00D523AA"/>
    <w:rsid w:val="00D528B9"/>
    <w:rsid w:val="00D53186"/>
    <w:rsid w:val="00D53BC6"/>
    <w:rsid w:val="00D5487D"/>
    <w:rsid w:val="00D60140"/>
    <w:rsid w:val="00D6024A"/>
    <w:rsid w:val="00D607F8"/>
    <w:rsid w:val="00D608B5"/>
    <w:rsid w:val="00D6095D"/>
    <w:rsid w:val="00D61DA2"/>
    <w:rsid w:val="00D63A28"/>
    <w:rsid w:val="00D6419F"/>
    <w:rsid w:val="00D64739"/>
    <w:rsid w:val="00D6597E"/>
    <w:rsid w:val="00D67C8F"/>
    <w:rsid w:val="00D70282"/>
    <w:rsid w:val="00D70A5A"/>
    <w:rsid w:val="00D71F99"/>
    <w:rsid w:val="00D72540"/>
    <w:rsid w:val="00D73CA4"/>
    <w:rsid w:val="00D73D71"/>
    <w:rsid w:val="00D74396"/>
    <w:rsid w:val="00D75018"/>
    <w:rsid w:val="00D77162"/>
    <w:rsid w:val="00D77402"/>
    <w:rsid w:val="00D80284"/>
    <w:rsid w:val="00D815B5"/>
    <w:rsid w:val="00D81F71"/>
    <w:rsid w:val="00D8642D"/>
    <w:rsid w:val="00D90A5E"/>
    <w:rsid w:val="00D90CE3"/>
    <w:rsid w:val="00D91A68"/>
    <w:rsid w:val="00D951EC"/>
    <w:rsid w:val="00D95A68"/>
    <w:rsid w:val="00D96C6C"/>
    <w:rsid w:val="00D96FF8"/>
    <w:rsid w:val="00DA03C1"/>
    <w:rsid w:val="00DA1760"/>
    <w:rsid w:val="00DA17C7"/>
    <w:rsid w:val="00DA6594"/>
    <w:rsid w:val="00DA6A9A"/>
    <w:rsid w:val="00DA7CE6"/>
    <w:rsid w:val="00DB02AF"/>
    <w:rsid w:val="00DB1D1C"/>
    <w:rsid w:val="00DB1EFD"/>
    <w:rsid w:val="00DB1F31"/>
    <w:rsid w:val="00DB261D"/>
    <w:rsid w:val="00DB324C"/>
    <w:rsid w:val="00DB3EAF"/>
    <w:rsid w:val="00DB44A7"/>
    <w:rsid w:val="00DB46C6"/>
    <w:rsid w:val="00DB6437"/>
    <w:rsid w:val="00DC1A79"/>
    <w:rsid w:val="00DC3203"/>
    <w:rsid w:val="00DC3C99"/>
    <w:rsid w:val="00DC52F5"/>
    <w:rsid w:val="00DC55D0"/>
    <w:rsid w:val="00DC5FD0"/>
    <w:rsid w:val="00DC6054"/>
    <w:rsid w:val="00DD0354"/>
    <w:rsid w:val="00DD1B94"/>
    <w:rsid w:val="00DD2358"/>
    <w:rsid w:val="00DD27D7"/>
    <w:rsid w:val="00DD458C"/>
    <w:rsid w:val="00DD4661"/>
    <w:rsid w:val="00DD4E52"/>
    <w:rsid w:val="00DD6CFF"/>
    <w:rsid w:val="00DD72E9"/>
    <w:rsid w:val="00DD7605"/>
    <w:rsid w:val="00DD794F"/>
    <w:rsid w:val="00DE04AF"/>
    <w:rsid w:val="00DE0830"/>
    <w:rsid w:val="00DE0E8B"/>
    <w:rsid w:val="00DE11B6"/>
    <w:rsid w:val="00DE2020"/>
    <w:rsid w:val="00DE25E9"/>
    <w:rsid w:val="00DE3476"/>
    <w:rsid w:val="00DE7022"/>
    <w:rsid w:val="00DE7BEA"/>
    <w:rsid w:val="00DF16F6"/>
    <w:rsid w:val="00DF18C1"/>
    <w:rsid w:val="00DF3246"/>
    <w:rsid w:val="00DF36FD"/>
    <w:rsid w:val="00DF4EFB"/>
    <w:rsid w:val="00DF5B84"/>
    <w:rsid w:val="00DF6D5B"/>
    <w:rsid w:val="00DF771B"/>
    <w:rsid w:val="00DF7EE2"/>
    <w:rsid w:val="00E00C76"/>
    <w:rsid w:val="00E01BAA"/>
    <w:rsid w:val="00E0282A"/>
    <w:rsid w:val="00E02DF0"/>
    <w:rsid w:val="00E02F9B"/>
    <w:rsid w:val="00E036D7"/>
    <w:rsid w:val="00E03AB1"/>
    <w:rsid w:val="00E07E14"/>
    <w:rsid w:val="00E10F8E"/>
    <w:rsid w:val="00E12A38"/>
    <w:rsid w:val="00E14F94"/>
    <w:rsid w:val="00E17336"/>
    <w:rsid w:val="00E17D15"/>
    <w:rsid w:val="00E22B95"/>
    <w:rsid w:val="00E22E26"/>
    <w:rsid w:val="00E22FCA"/>
    <w:rsid w:val="00E23ABD"/>
    <w:rsid w:val="00E2459E"/>
    <w:rsid w:val="00E301EA"/>
    <w:rsid w:val="00E30331"/>
    <w:rsid w:val="00E30BB8"/>
    <w:rsid w:val="00E31142"/>
    <w:rsid w:val="00E31F9C"/>
    <w:rsid w:val="00E35271"/>
    <w:rsid w:val="00E35BDD"/>
    <w:rsid w:val="00E3753C"/>
    <w:rsid w:val="00E40488"/>
    <w:rsid w:val="00E40BC4"/>
    <w:rsid w:val="00E410DF"/>
    <w:rsid w:val="00E41FDB"/>
    <w:rsid w:val="00E44700"/>
    <w:rsid w:val="00E44B83"/>
    <w:rsid w:val="00E4514B"/>
    <w:rsid w:val="00E45D7C"/>
    <w:rsid w:val="00E4645C"/>
    <w:rsid w:val="00E50367"/>
    <w:rsid w:val="00E51ABA"/>
    <w:rsid w:val="00E524CB"/>
    <w:rsid w:val="00E538B1"/>
    <w:rsid w:val="00E5477F"/>
    <w:rsid w:val="00E54786"/>
    <w:rsid w:val="00E5751E"/>
    <w:rsid w:val="00E60685"/>
    <w:rsid w:val="00E65456"/>
    <w:rsid w:val="00E65A91"/>
    <w:rsid w:val="00E66188"/>
    <w:rsid w:val="00E664FB"/>
    <w:rsid w:val="00E672F0"/>
    <w:rsid w:val="00E678EC"/>
    <w:rsid w:val="00E67D62"/>
    <w:rsid w:val="00E70373"/>
    <w:rsid w:val="00E703CB"/>
    <w:rsid w:val="00E71752"/>
    <w:rsid w:val="00E71843"/>
    <w:rsid w:val="00E72E40"/>
    <w:rsid w:val="00E73665"/>
    <w:rsid w:val="00E73999"/>
    <w:rsid w:val="00E73BDC"/>
    <w:rsid w:val="00E73E9E"/>
    <w:rsid w:val="00E75D21"/>
    <w:rsid w:val="00E763F8"/>
    <w:rsid w:val="00E81660"/>
    <w:rsid w:val="00E81BCB"/>
    <w:rsid w:val="00E844BD"/>
    <w:rsid w:val="00E854FE"/>
    <w:rsid w:val="00E8680D"/>
    <w:rsid w:val="00E906CC"/>
    <w:rsid w:val="00E908F1"/>
    <w:rsid w:val="00E9222A"/>
    <w:rsid w:val="00E939A0"/>
    <w:rsid w:val="00E95A5C"/>
    <w:rsid w:val="00E97E4E"/>
    <w:rsid w:val="00EA0086"/>
    <w:rsid w:val="00EA0D07"/>
    <w:rsid w:val="00EA16C8"/>
    <w:rsid w:val="00EA1CC2"/>
    <w:rsid w:val="00EA2D76"/>
    <w:rsid w:val="00EA4488"/>
    <w:rsid w:val="00EA4644"/>
    <w:rsid w:val="00EA5969"/>
    <w:rsid w:val="00EA750D"/>
    <w:rsid w:val="00EA758A"/>
    <w:rsid w:val="00EB096F"/>
    <w:rsid w:val="00EB199F"/>
    <w:rsid w:val="00EB21A4"/>
    <w:rsid w:val="00EB27C4"/>
    <w:rsid w:val="00EB5387"/>
    <w:rsid w:val="00EB556D"/>
    <w:rsid w:val="00EB5C10"/>
    <w:rsid w:val="00EB68BA"/>
    <w:rsid w:val="00EB7178"/>
    <w:rsid w:val="00EB7322"/>
    <w:rsid w:val="00EC013A"/>
    <w:rsid w:val="00EC0FE9"/>
    <w:rsid w:val="00EC198B"/>
    <w:rsid w:val="00EC1AB4"/>
    <w:rsid w:val="00EC426D"/>
    <w:rsid w:val="00EC571B"/>
    <w:rsid w:val="00EC57D7"/>
    <w:rsid w:val="00EC6385"/>
    <w:rsid w:val="00EC7CDB"/>
    <w:rsid w:val="00ED0C86"/>
    <w:rsid w:val="00ED1DE9"/>
    <w:rsid w:val="00ED23D4"/>
    <w:rsid w:val="00ED2BE5"/>
    <w:rsid w:val="00ED30EF"/>
    <w:rsid w:val="00ED3836"/>
    <w:rsid w:val="00ED5E0B"/>
    <w:rsid w:val="00EE0722"/>
    <w:rsid w:val="00EE37B6"/>
    <w:rsid w:val="00EF0F45"/>
    <w:rsid w:val="00EF1263"/>
    <w:rsid w:val="00EF7083"/>
    <w:rsid w:val="00EF7463"/>
    <w:rsid w:val="00EF7936"/>
    <w:rsid w:val="00EF7971"/>
    <w:rsid w:val="00F002EF"/>
    <w:rsid w:val="00F01EE9"/>
    <w:rsid w:val="00F04900"/>
    <w:rsid w:val="00F065A4"/>
    <w:rsid w:val="00F07DF1"/>
    <w:rsid w:val="00F10B80"/>
    <w:rsid w:val="00F126B9"/>
    <w:rsid w:val="00F12715"/>
    <w:rsid w:val="00F12EE8"/>
    <w:rsid w:val="00F144D5"/>
    <w:rsid w:val="00F146F0"/>
    <w:rsid w:val="00F15039"/>
    <w:rsid w:val="00F15132"/>
    <w:rsid w:val="00F20E92"/>
    <w:rsid w:val="00F20FF3"/>
    <w:rsid w:val="00F2190B"/>
    <w:rsid w:val="00F228B5"/>
    <w:rsid w:val="00F2389C"/>
    <w:rsid w:val="00F24E6E"/>
    <w:rsid w:val="00F25C67"/>
    <w:rsid w:val="00F30DFF"/>
    <w:rsid w:val="00F32B80"/>
    <w:rsid w:val="00F32DD8"/>
    <w:rsid w:val="00F340EB"/>
    <w:rsid w:val="00F34662"/>
    <w:rsid w:val="00F35285"/>
    <w:rsid w:val="00F43B9D"/>
    <w:rsid w:val="00F44D5E"/>
    <w:rsid w:val="00F45074"/>
    <w:rsid w:val="00F5288F"/>
    <w:rsid w:val="00F53A35"/>
    <w:rsid w:val="00F55A3D"/>
    <w:rsid w:val="00F55C8E"/>
    <w:rsid w:val="00F5744B"/>
    <w:rsid w:val="00F6027D"/>
    <w:rsid w:val="00F61209"/>
    <w:rsid w:val="00F6259E"/>
    <w:rsid w:val="00F6460C"/>
    <w:rsid w:val="00F65DD4"/>
    <w:rsid w:val="00F66B11"/>
    <w:rsid w:val="00F672B2"/>
    <w:rsid w:val="00F67FAA"/>
    <w:rsid w:val="00F740D8"/>
    <w:rsid w:val="00F8178D"/>
    <w:rsid w:val="00F820C2"/>
    <w:rsid w:val="00F83973"/>
    <w:rsid w:val="00F8697E"/>
    <w:rsid w:val="00F876DB"/>
    <w:rsid w:val="00F87FA3"/>
    <w:rsid w:val="00F9365A"/>
    <w:rsid w:val="00F93D8C"/>
    <w:rsid w:val="00F93F9B"/>
    <w:rsid w:val="00F97706"/>
    <w:rsid w:val="00F97EBC"/>
    <w:rsid w:val="00FA1504"/>
    <w:rsid w:val="00FA1589"/>
    <w:rsid w:val="00FA1CB0"/>
    <w:rsid w:val="00FA256C"/>
    <w:rsid w:val="00FA3102"/>
    <w:rsid w:val="00FA48D4"/>
    <w:rsid w:val="00FA54FA"/>
    <w:rsid w:val="00FA6D39"/>
    <w:rsid w:val="00FA7C3F"/>
    <w:rsid w:val="00FB0D66"/>
    <w:rsid w:val="00FB187C"/>
    <w:rsid w:val="00FB205B"/>
    <w:rsid w:val="00FB21D8"/>
    <w:rsid w:val="00FB227E"/>
    <w:rsid w:val="00FB3D61"/>
    <w:rsid w:val="00FB44CE"/>
    <w:rsid w:val="00FB5009"/>
    <w:rsid w:val="00FB5FCF"/>
    <w:rsid w:val="00FB653E"/>
    <w:rsid w:val="00FB6ADA"/>
    <w:rsid w:val="00FB75D8"/>
    <w:rsid w:val="00FB76AB"/>
    <w:rsid w:val="00FC4EA8"/>
    <w:rsid w:val="00FC5938"/>
    <w:rsid w:val="00FC5EB8"/>
    <w:rsid w:val="00FC69DA"/>
    <w:rsid w:val="00FC7BB9"/>
    <w:rsid w:val="00FD03FE"/>
    <w:rsid w:val="00FD126E"/>
    <w:rsid w:val="00FD3C36"/>
    <w:rsid w:val="00FD4D81"/>
    <w:rsid w:val="00FD6812"/>
    <w:rsid w:val="00FD7353"/>
    <w:rsid w:val="00FD7498"/>
    <w:rsid w:val="00FD7523"/>
    <w:rsid w:val="00FD7FB3"/>
    <w:rsid w:val="00FE0581"/>
    <w:rsid w:val="00FE0DA6"/>
    <w:rsid w:val="00FE3E6D"/>
    <w:rsid w:val="00FE4713"/>
    <w:rsid w:val="00FE4FF5"/>
    <w:rsid w:val="00FE67B1"/>
    <w:rsid w:val="00FE72D6"/>
    <w:rsid w:val="00FE7E04"/>
    <w:rsid w:val="00FF0EC2"/>
    <w:rsid w:val="00FF1B7F"/>
    <w:rsid w:val="00FF1F3E"/>
    <w:rsid w:val="00FF1F44"/>
    <w:rsid w:val="00FF225E"/>
    <w:rsid w:val="00FF41E9"/>
    <w:rsid w:val="00FF4243"/>
    <w:rsid w:val="00FF672C"/>
    <w:rsid w:val="00FF6CE8"/>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16E45F"/>
  <w14:defaultImageDpi w14:val="330"/>
  <w15:docId w15:val="{E4EB57EE-AF25-4268-86FC-AE4B05483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B096F"/>
    <w:pPr>
      <w:spacing w:line="480" w:lineRule="auto"/>
    </w:pPr>
    <w:rPr>
      <w:sz w:val="24"/>
      <w:szCs w:val="24"/>
    </w:rPr>
  </w:style>
  <w:style w:type="paragraph" w:styleId="Heading1">
    <w:name w:val="heading 1"/>
    <w:basedOn w:val="Normal"/>
    <w:next w:val="Paragraph"/>
    <w:link w:val="Heading1Char"/>
    <w:qFormat/>
    <w:rsid w:val="00AE1ED4"/>
    <w:pPr>
      <w:keepNext/>
      <w:spacing w:before="360" w:after="60" w:line="360" w:lineRule="auto"/>
      <w:ind w:right="567"/>
      <w:contextualSpacing/>
      <w:outlineLvl w:val="0"/>
    </w:pPr>
    <w:rPr>
      <w:rFonts w:cs="Arial"/>
      <w:b/>
      <w:bCs/>
      <w:kern w:val="32"/>
      <w:szCs w:val="32"/>
    </w:rPr>
  </w:style>
  <w:style w:type="paragraph" w:styleId="Heading2">
    <w:name w:val="heading 2"/>
    <w:basedOn w:val="Normal"/>
    <w:next w:val="Paragraph"/>
    <w:link w:val="Heading2Char"/>
    <w:qFormat/>
    <w:rsid w:val="008D07FB"/>
    <w:pPr>
      <w:keepNext/>
      <w:spacing w:before="360" w:after="60" w:line="360" w:lineRule="auto"/>
      <w:ind w:right="567"/>
      <w:contextualSpacing/>
      <w:outlineLvl w:val="1"/>
    </w:pPr>
    <w:rPr>
      <w:rFonts w:cs="Arial"/>
      <w:b/>
      <w:bCs/>
      <w:i/>
      <w:iCs/>
      <w:szCs w:val="28"/>
    </w:rPr>
  </w:style>
  <w:style w:type="paragraph" w:styleId="Heading3">
    <w:name w:val="heading 3"/>
    <w:basedOn w:val="Normal"/>
    <w:next w:val="Paragraph"/>
    <w:link w:val="Heading3Char"/>
    <w:qFormat/>
    <w:rsid w:val="00DF7EE2"/>
    <w:pPr>
      <w:keepNext/>
      <w:spacing w:before="360" w:after="60" w:line="360" w:lineRule="auto"/>
      <w:ind w:right="567"/>
      <w:contextualSpacing/>
      <w:outlineLvl w:val="2"/>
    </w:pPr>
    <w:rPr>
      <w:rFonts w:cs="Arial"/>
      <w:bCs/>
      <w:i/>
      <w:szCs w:val="26"/>
    </w:rPr>
  </w:style>
  <w:style w:type="paragraph" w:styleId="Heading4">
    <w:name w:val="heading 4"/>
    <w:basedOn w:val="Paragraph"/>
    <w:next w:val="Newparagraph"/>
    <w:link w:val="Heading4Char"/>
    <w:rsid w:val="00F43B9D"/>
    <w:pPr>
      <w:spacing w:before="360"/>
      <w:outlineLvl w:val="3"/>
    </w:pPr>
    <w:rPr>
      <w:bCs/>
      <w:szCs w:val="28"/>
    </w:rPr>
  </w:style>
  <w:style w:type="paragraph" w:styleId="Heading5">
    <w:name w:val="heading 5"/>
    <w:basedOn w:val="Normal"/>
    <w:next w:val="Normal"/>
    <w:link w:val="Heading5Char"/>
    <w:rsid w:val="004B3750"/>
    <w:pPr>
      <w:keepNext/>
      <w:keepLines/>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rsid w:val="004B3750"/>
    <w:pPr>
      <w:keepNext/>
      <w:keepLines/>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semiHidden/>
    <w:unhideWhenUsed/>
    <w:rsid w:val="004B3750"/>
    <w:pPr>
      <w:keepNext/>
      <w:keepLines/>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semiHidden/>
    <w:unhideWhenUsed/>
    <w:rsid w:val="004B3750"/>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semiHidden/>
    <w:unhideWhenUsed/>
    <w:rsid w:val="004B3750"/>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title">
    <w:name w:val="Article title"/>
    <w:basedOn w:val="Normal"/>
    <w:next w:val="Normal"/>
    <w:qFormat/>
    <w:rsid w:val="0024692A"/>
    <w:pPr>
      <w:spacing w:after="120" w:line="360" w:lineRule="auto"/>
    </w:pPr>
    <w:rPr>
      <w:b/>
      <w:sz w:val="28"/>
    </w:rPr>
  </w:style>
  <w:style w:type="paragraph" w:customStyle="1" w:styleId="Authornames">
    <w:name w:val="Author names"/>
    <w:basedOn w:val="Normal"/>
    <w:next w:val="Normal"/>
    <w:qFormat/>
    <w:rsid w:val="00F04900"/>
    <w:pPr>
      <w:spacing w:before="240" w:line="360" w:lineRule="auto"/>
    </w:pPr>
    <w:rPr>
      <w:sz w:val="28"/>
    </w:rPr>
  </w:style>
  <w:style w:type="paragraph" w:customStyle="1" w:styleId="Affiliation">
    <w:name w:val="Affiliation"/>
    <w:basedOn w:val="Normal"/>
    <w:qFormat/>
    <w:rsid w:val="00F04900"/>
    <w:pPr>
      <w:spacing w:before="240" w:line="360" w:lineRule="auto"/>
    </w:pPr>
    <w:rPr>
      <w:i/>
    </w:rPr>
  </w:style>
  <w:style w:type="paragraph" w:customStyle="1" w:styleId="Receiveddates">
    <w:name w:val="Received dates"/>
    <w:basedOn w:val="Affiliation"/>
    <w:next w:val="Normal"/>
    <w:qFormat/>
    <w:rsid w:val="00CC474B"/>
  </w:style>
  <w:style w:type="paragraph" w:customStyle="1" w:styleId="Abstract">
    <w:name w:val="Abstract"/>
    <w:basedOn w:val="Normal"/>
    <w:next w:val="Keywords"/>
    <w:qFormat/>
    <w:rsid w:val="00310E13"/>
    <w:pPr>
      <w:spacing w:before="360" w:after="300" w:line="360" w:lineRule="auto"/>
      <w:ind w:left="720" w:right="567"/>
    </w:pPr>
    <w:rPr>
      <w:sz w:val="22"/>
    </w:rPr>
  </w:style>
  <w:style w:type="paragraph" w:customStyle="1" w:styleId="Keywords">
    <w:name w:val="Keywords"/>
    <w:basedOn w:val="Normal"/>
    <w:next w:val="Paragraph"/>
    <w:qFormat/>
    <w:rsid w:val="00BB1270"/>
    <w:pPr>
      <w:spacing w:before="240" w:after="240" w:line="360" w:lineRule="auto"/>
      <w:ind w:left="720" w:right="567"/>
    </w:pPr>
    <w:rPr>
      <w:sz w:val="22"/>
    </w:rPr>
  </w:style>
  <w:style w:type="paragraph" w:customStyle="1" w:styleId="Correspondencedetails">
    <w:name w:val="Correspondence details"/>
    <w:basedOn w:val="Normal"/>
    <w:qFormat/>
    <w:rsid w:val="00F04900"/>
    <w:pPr>
      <w:spacing w:before="240" w:line="360" w:lineRule="auto"/>
    </w:pPr>
  </w:style>
  <w:style w:type="paragraph" w:customStyle="1" w:styleId="Displayedquotation">
    <w:name w:val="Displayed quotation"/>
    <w:basedOn w:val="Normal"/>
    <w:qFormat/>
    <w:rsid w:val="00731835"/>
    <w:pPr>
      <w:tabs>
        <w:tab w:val="left" w:pos="1077"/>
        <w:tab w:val="left" w:pos="1440"/>
        <w:tab w:val="left" w:pos="1797"/>
        <w:tab w:val="left" w:pos="2155"/>
        <w:tab w:val="left" w:pos="2512"/>
      </w:tabs>
      <w:spacing w:before="240" w:after="360" w:line="360" w:lineRule="auto"/>
      <w:ind w:left="709" w:right="425"/>
      <w:contextualSpacing/>
    </w:pPr>
    <w:rPr>
      <w:sz w:val="22"/>
    </w:rPr>
  </w:style>
  <w:style w:type="paragraph" w:customStyle="1" w:styleId="Numberedlist">
    <w:name w:val="Numbered list"/>
    <w:basedOn w:val="Paragraph"/>
    <w:next w:val="Paragraph"/>
    <w:qFormat/>
    <w:rsid w:val="00D80284"/>
    <w:pPr>
      <w:widowControl/>
      <w:numPr>
        <w:numId w:val="6"/>
      </w:numPr>
      <w:spacing w:after="240"/>
      <w:contextualSpacing/>
    </w:pPr>
  </w:style>
  <w:style w:type="paragraph" w:customStyle="1" w:styleId="Displayedequation">
    <w:name w:val="Displayed equation"/>
    <w:basedOn w:val="Normal"/>
    <w:next w:val="Paragraph"/>
    <w:qFormat/>
    <w:rsid w:val="00EF0F45"/>
    <w:pPr>
      <w:tabs>
        <w:tab w:val="center" w:pos="4253"/>
        <w:tab w:val="right" w:pos="8222"/>
      </w:tabs>
      <w:spacing w:before="240" w:after="240"/>
      <w:jc w:val="center"/>
    </w:pPr>
  </w:style>
  <w:style w:type="paragraph" w:customStyle="1" w:styleId="Acknowledgements">
    <w:name w:val="Acknowledgements"/>
    <w:basedOn w:val="Normal"/>
    <w:next w:val="Normal"/>
    <w:qFormat/>
    <w:rsid w:val="00D379A3"/>
    <w:pPr>
      <w:spacing w:before="120" w:line="360" w:lineRule="auto"/>
    </w:pPr>
    <w:rPr>
      <w:sz w:val="22"/>
    </w:rPr>
  </w:style>
  <w:style w:type="paragraph" w:customStyle="1" w:styleId="Tabletitle">
    <w:name w:val="Table title"/>
    <w:basedOn w:val="Normal"/>
    <w:next w:val="Normal"/>
    <w:qFormat/>
    <w:rsid w:val="00B1145F"/>
    <w:pPr>
      <w:spacing w:before="240" w:line="360" w:lineRule="auto"/>
    </w:pPr>
    <w:rPr>
      <w:sz w:val="22"/>
    </w:rPr>
  </w:style>
  <w:style w:type="paragraph" w:customStyle="1" w:styleId="Figurecaption">
    <w:name w:val="Figure caption"/>
    <w:basedOn w:val="Normal"/>
    <w:next w:val="Normal"/>
    <w:qFormat/>
    <w:rsid w:val="00B1145F"/>
    <w:pPr>
      <w:spacing w:before="240" w:line="360" w:lineRule="auto"/>
    </w:pPr>
    <w:rPr>
      <w:sz w:val="22"/>
    </w:rPr>
  </w:style>
  <w:style w:type="paragraph" w:customStyle="1" w:styleId="Footnotes">
    <w:name w:val="Footnotes"/>
    <w:basedOn w:val="Normal"/>
    <w:qFormat/>
    <w:rsid w:val="00153473"/>
    <w:pPr>
      <w:spacing w:before="120" w:line="360" w:lineRule="auto"/>
      <w:ind w:left="482" w:hanging="482"/>
      <w:contextualSpacing/>
    </w:pPr>
    <w:rPr>
      <w:sz w:val="20"/>
    </w:rPr>
  </w:style>
  <w:style w:type="paragraph" w:customStyle="1" w:styleId="Notesoncontributors">
    <w:name w:val="Notes on contributors"/>
    <w:basedOn w:val="Normal"/>
    <w:qFormat/>
    <w:rsid w:val="00F04900"/>
    <w:pPr>
      <w:spacing w:before="240" w:line="360" w:lineRule="auto"/>
    </w:pPr>
    <w:rPr>
      <w:sz w:val="22"/>
    </w:rPr>
  </w:style>
  <w:style w:type="paragraph" w:customStyle="1" w:styleId="Normalparagraphstyle">
    <w:name w:val="Normal paragraph style"/>
    <w:basedOn w:val="Normal"/>
    <w:next w:val="Normal"/>
    <w:rsid w:val="00562DEF"/>
  </w:style>
  <w:style w:type="paragraph" w:customStyle="1" w:styleId="Paragraph">
    <w:name w:val="Paragraph"/>
    <w:basedOn w:val="Normal"/>
    <w:next w:val="Newparagraph"/>
    <w:link w:val="ParagraphChar"/>
    <w:qFormat/>
    <w:rsid w:val="00DD6CFF"/>
    <w:pPr>
      <w:widowControl w:val="0"/>
      <w:spacing w:before="240"/>
    </w:pPr>
    <w:rPr>
      <w:sz w:val="22"/>
    </w:rPr>
  </w:style>
  <w:style w:type="paragraph" w:customStyle="1" w:styleId="Newparagraph">
    <w:name w:val="New paragraph"/>
    <w:basedOn w:val="Normal"/>
    <w:qFormat/>
    <w:rsid w:val="00DD6CFF"/>
    <w:pPr>
      <w:ind w:firstLine="720"/>
    </w:pPr>
    <w:rPr>
      <w:sz w:val="22"/>
    </w:rPr>
  </w:style>
  <w:style w:type="paragraph" w:styleId="NormalIndent">
    <w:name w:val="Normal Indent"/>
    <w:basedOn w:val="Normal"/>
    <w:rsid w:val="00526454"/>
    <w:pPr>
      <w:ind w:left="720"/>
    </w:pPr>
  </w:style>
  <w:style w:type="paragraph" w:customStyle="1" w:styleId="References">
    <w:name w:val="References"/>
    <w:basedOn w:val="Normal"/>
    <w:qFormat/>
    <w:rsid w:val="00526B62"/>
    <w:pPr>
      <w:spacing w:before="120" w:line="360" w:lineRule="auto"/>
      <w:ind w:left="720" w:hanging="720"/>
      <w:contextualSpacing/>
    </w:pPr>
    <w:rPr>
      <w:sz w:val="22"/>
    </w:rPr>
  </w:style>
  <w:style w:type="paragraph" w:customStyle="1" w:styleId="Subjectcodes">
    <w:name w:val="Subject codes"/>
    <w:basedOn w:val="Keywords"/>
    <w:next w:val="Paragraph"/>
    <w:qFormat/>
    <w:rsid w:val="0000681B"/>
  </w:style>
  <w:style w:type="character" w:customStyle="1" w:styleId="Heading2Char">
    <w:name w:val="Heading 2 Char"/>
    <w:basedOn w:val="DefaultParagraphFont"/>
    <w:link w:val="Heading2"/>
    <w:rsid w:val="008D07FB"/>
    <w:rPr>
      <w:rFonts w:cs="Arial"/>
      <w:b/>
      <w:bCs/>
      <w:i/>
      <w:iCs/>
      <w:sz w:val="24"/>
      <w:szCs w:val="28"/>
    </w:rPr>
  </w:style>
  <w:style w:type="character" w:customStyle="1" w:styleId="Heading1Char">
    <w:name w:val="Heading 1 Char"/>
    <w:basedOn w:val="DefaultParagraphFont"/>
    <w:link w:val="Heading1"/>
    <w:rsid w:val="00AE1ED4"/>
    <w:rPr>
      <w:rFonts w:cs="Arial"/>
      <w:b/>
      <w:bCs/>
      <w:kern w:val="32"/>
      <w:sz w:val="24"/>
      <w:szCs w:val="32"/>
    </w:rPr>
  </w:style>
  <w:style w:type="character" w:customStyle="1" w:styleId="Heading3Char">
    <w:name w:val="Heading 3 Char"/>
    <w:basedOn w:val="DefaultParagraphFont"/>
    <w:link w:val="Heading3"/>
    <w:rsid w:val="00DF7EE2"/>
    <w:rPr>
      <w:rFonts w:eastAsia="Times New Roman" w:cs="Arial"/>
      <w:bCs/>
      <w:i/>
      <w:sz w:val="24"/>
      <w:szCs w:val="26"/>
      <w:lang w:eastAsia="en-GB"/>
    </w:rPr>
  </w:style>
  <w:style w:type="paragraph" w:customStyle="1" w:styleId="Bulletedlist">
    <w:name w:val="Bulleted list"/>
    <w:basedOn w:val="Paragraph"/>
    <w:next w:val="Paragraph"/>
    <w:qFormat/>
    <w:rsid w:val="004E0338"/>
    <w:pPr>
      <w:widowControl/>
      <w:numPr>
        <w:numId w:val="7"/>
      </w:numPr>
      <w:spacing w:after="240"/>
      <w:contextualSpacing/>
    </w:pPr>
  </w:style>
  <w:style w:type="paragraph" w:styleId="FootnoteText">
    <w:name w:val="footnote text"/>
    <w:basedOn w:val="Normal"/>
    <w:link w:val="FootnoteTextChar"/>
    <w:autoRedefine/>
    <w:rsid w:val="006C19B2"/>
    <w:pPr>
      <w:ind w:left="284" w:hanging="284"/>
    </w:pPr>
    <w:rPr>
      <w:sz w:val="22"/>
      <w:szCs w:val="20"/>
    </w:rPr>
  </w:style>
  <w:style w:type="character" w:customStyle="1" w:styleId="FootnoteTextChar">
    <w:name w:val="Footnote Text Char"/>
    <w:basedOn w:val="DefaultParagraphFont"/>
    <w:link w:val="FootnoteText"/>
    <w:rsid w:val="006C19B2"/>
    <w:rPr>
      <w:sz w:val="22"/>
    </w:rPr>
  </w:style>
  <w:style w:type="character" w:styleId="FootnoteReference">
    <w:name w:val="footnote reference"/>
    <w:basedOn w:val="DefaultParagraphFont"/>
    <w:rsid w:val="00AF2C92"/>
    <w:rPr>
      <w:vertAlign w:val="superscript"/>
    </w:rPr>
  </w:style>
  <w:style w:type="paragraph" w:styleId="EndnoteText">
    <w:name w:val="endnote text"/>
    <w:basedOn w:val="Normal"/>
    <w:link w:val="EndnoteTextChar"/>
    <w:autoRedefine/>
    <w:rsid w:val="006C19B2"/>
    <w:pPr>
      <w:ind w:left="284" w:hanging="284"/>
    </w:pPr>
    <w:rPr>
      <w:sz w:val="22"/>
      <w:szCs w:val="20"/>
    </w:rPr>
  </w:style>
  <w:style w:type="character" w:customStyle="1" w:styleId="EndnoteTextChar">
    <w:name w:val="Endnote Text Char"/>
    <w:basedOn w:val="DefaultParagraphFont"/>
    <w:link w:val="EndnoteText"/>
    <w:rsid w:val="006C19B2"/>
    <w:rPr>
      <w:sz w:val="22"/>
    </w:rPr>
  </w:style>
  <w:style w:type="character" w:styleId="EndnoteReference">
    <w:name w:val="endnote reference"/>
    <w:basedOn w:val="DefaultParagraphFont"/>
    <w:rsid w:val="00EC571B"/>
    <w:rPr>
      <w:vertAlign w:val="superscript"/>
    </w:rPr>
  </w:style>
  <w:style w:type="character" w:customStyle="1" w:styleId="Heading4Char">
    <w:name w:val="Heading 4 Char"/>
    <w:basedOn w:val="DefaultParagraphFont"/>
    <w:link w:val="Heading4"/>
    <w:rsid w:val="00F43B9D"/>
    <w:rPr>
      <w:bCs/>
      <w:sz w:val="24"/>
      <w:szCs w:val="28"/>
    </w:rPr>
  </w:style>
  <w:style w:type="paragraph" w:styleId="Header">
    <w:name w:val="header"/>
    <w:basedOn w:val="Normal"/>
    <w:link w:val="HeaderChar"/>
    <w:rsid w:val="003F193A"/>
    <w:pPr>
      <w:tabs>
        <w:tab w:val="center" w:pos="4320"/>
        <w:tab w:val="right" w:pos="8640"/>
      </w:tabs>
      <w:spacing w:after="120" w:line="240" w:lineRule="auto"/>
      <w:contextualSpacing/>
    </w:pPr>
  </w:style>
  <w:style w:type="character" w:customStyle="1" w:styleId="HeaderChar">
    <w:name w:val="Header Char"/>
    <w:basedOn w:val="DefaultParagraphFont"/>
    <w:link w:val="Header"/>
    <w:rsid w:val="003F193A"/>
    <w:rPr>
      <w:rFonts w:eastAsia="Times New Roman"/>
      <w:sz w:val="24"/>
      <w:szCs w:val="24"/>
      <w:lang w:eastAsia="en-GB"/>
    </w:rPr>
  </w:style>
  <w:style w:type="paragraph" w:styleId="Footer">
    <w:name w:val="footer"/>
    <w:basedOn w:val="Normal"/>
    <w:link w:val="FooterChar"/>
    <w:uiPriority w:val="99"/>
    <w:rsid w:val="00AE6A21"/>
    <w:pPr>
      <w:tabs>
        <w:tab w:val="center" w:pos="4320"/>
        <w:tab w:val="right" w:pos="8640"/>
      </w:tabs>
      <w:spacing w:before="240" w:line="240" w:lineRule="auto"/>
      <w:contextualSpacing/>
    </w:pPr>
  </w:style>
  <w:style w:type="character" w:customStyle="1" w:styleId="FooterChar">
    <w:name w:val="Footer Char"/>
    <w:basedOn w:val="DefaultParagraphFont"/>
    <w:link w:val="Footer"/>
    <w:uiPriority w:val="99"/>
    <w:rsid w:val="00AE6A21"/>
    <w:rPr>
      <w:sz w:val="24"/>
      <w:szCs w:val="24"/>
    </w:rPr>
  </w:style>
  <w:style w:type="paragraph" w:customStyle="1" w:styleId="Heading4Paragraph">
    <w:name w:val="Heading 4 + Paragraph"/>
    <w:basedOn w:val="Paragraph"/>
    <w:next w:val="Newparagraph"/>
    <w:qFormat/>
    <w:rsid w:val="00AE1ED4"/>
    <w:pPr>
      <w:widowControl/>
      <w:spacing w:before="360"/>
    </w:pPr>
  </w:style>
  <w:style w:type="paragraph" w:styleId="NormalWeb">
    <w:name w:val="Normal (Web)"/>
    <w:basedOn w:val="Normal"/>
    <w:uiPriority w:val="99"/>
    <w:unhideWhenUsed/>
    <w:rsid w:val="001D5BC1"/>
    <w:pPr>
      <w:spacing w:before="100" w:beforeAutospacing="1" w:after="100" w:afterAutospacing="1" w:line="240" w:lineRule="auto"/>
    </w:pPr>
    <w:rPr>
      <w:lang w:val="es-ES" w:eastAsia="es-ES"/>
    </w:rPr>
  </w:style>
  <w:style w:type="character" w:customStyle="1" w:styleId="--l">
    <w:name w:val="--l"/>
    <w:basedOn w:val="DefaultParagraphFont"/>
    <w:rsid w:val="001D5BC1"/>
  </w:style>
  <w:style w:type="character" w:styleId="PlaceholderText">
    <w:name w:val="Placeholder Text"/>
    <w:basedOn w:val="DefaultParagraphFont"/>
    <w:rsid w:val="004B3750"/>
    <w:rPr>
      <w:color w:val="666666"/>
    </w:rPr>
  </w:style>
  <w:style w:type="paragraph" w:customStyle="1" w:styleId="CitaviBibliographyEntry">
    <w:name w:val="Citavi Bibliography Entry"/>
    <w:basedOn w:val="Normal"/>
    <w:link w:val="CitaviBibliographyEntryChar"/>
    <w:uiPriority w:val="99"/>
    <w:rsid w:val="004B3750"/>
    <w:pPr>
      <w:tabs>
        <w:tab w:val="left" w:pos="720"/>
      </w:tabs>
      <w:ind w:left="720" w:hanging="720"/>
    </w:pPr>
  </w:style>
  <w:style w:type="character" w:customStyle="1" w:styleId="ParagraphChar">
    <w:name w:val="Paragraph Char"/>
    <w:basedOn w:val="DefaultParagraphFont"/>
    <w:link w:val="Paragraph"/>
    <w:rsid w:val="00DD6CFF"/>
    <w:rPr>
      <w:sz w:val="22"/>
      <w:szCs w:val="24"/>
    </w:rPr>
  </w:style>
  <w:style w:type="character" w:customStyle="1" w:styleId="CitaviBibliographyEntryChar">
    <w:name w:val="Citavi Bibliography Entry Char"/>
    <w:basedOn w:val="ParagraphChar"/>
    <w:link w:val="CitaviBibliographyEntry"/>
    <w:uiPriority w:val="99"/>
    <w:rsid w:val="004B3750"/>
    <w:rPr>
      <w:sz w:val="24"/>
      <w:szCs w:val="24"/>
    </w:rPr>
  </w:style>
  <w:style w:type="paragraph" w:customStyle="1" w:styleId="CitaviBibliographyHeading">
    <w:name w:val="Citavi Bibliography Heading"/>
    <w:basedOn w:val="Heading1"/>
    <w:link w:val="CitaviBibliographyHeadingChar"/>
    <w:uiPriority w:val="99"/>
    <w:rsid w:val="004B3750"/>
  </w:style>
  <w:style w:type="character" w:customStyle="1" w:styleId="CitaviBibliographyHeadingChar">
    <w:name w:val="Citavi Bibliography Heading Char"/>
    <w:basedOn w:val="ParagraphChar"/>
    <w:link w:val="CitaviBibliographyHeading"/>
    <w:uiPriority w:val="99"/>
    <w:rsid w:val="004B3750"/>
    <w:rPr>
      <w:rFonts w:cs="Arial"/>
      <w:b/>
      <w:bCs/>
      <w:kern w:val="32"/>
      <w:sz w:val="24"/>
      <w:szCs w:val="32"/>
    </w:rPr>
  </w:style>
  <w:style w:type="paragraph" w:customStyle="1" w:styleId="CitaviChapterBibliographyHeading">
    <w:name w:val="Citavi Chapter Bibliography Heading"/>
    <w:basedOn w:val="Heading2"/>
    <w:link w:val="CitaviChapterBibliographyHeadingChar"/>
    <w:uiPriority w:val="99"/>
    <w:rsid w:val="004B3750"/>
  </w:style>
  <w:style w:type="character" w:customStyle="1" w:styleId="CitaviChapterBibliographyHeadingChar">
    <w:name w:val="Citavi Chapter Bibliography Heading Char"/>
    <w:basedOn w:val="ParagraphChar"/>
    <w:link w:val="CitaviChapterBibliographyHeading"/>
    <w:uiPriority w:val="99"/>
    <w:rsid w:val="004B3750"/>
    <w:rPr>
      <w:rFonts w:cs="Arial"/>
      <w:b/>
      <w:bCs/>
      <w:i/>
      <w:iCs/>
      <w:sz w:val="24"/>
      <w:szCs w:val="28"/>
    </w:rPr>
  </w:style>
  <w:style w:type="paragraph" w:customStyle="1" w:styleId="CitaviBibliographySubheading1">
    <w:name w:val="Citavi Bibliography Subheading 1"/>
    <w:basedOn w:val="Heading2"/>
    <w:link w:val="CitaviBibliographySubheading1Char"/>
    <w:uiPriority w:val="99"/>
    <w:rsid w:val="004B3750"/>
    <w:pPr>
      <w:outlineLvl w:val="9"/>
    </w:pPr>
    <w:rPr>
      <w:lang w:val="en-US"/>
    </w:rPr>
  </w:style>
  <w:style w:type="character" w:customStyle="1" w:styleId="CitaviBibliographySubheading1Char">
    <w:name w:val="Citavi Bibliography Subheading 1 Char"/>
    <w:basedOn w:val="ParagraphChar"/>
    <w:link w:val="CitaviBibliographySubheading1"/>
    <w:uiPriority w:val="99"/>
    <w:rsid w:val="004B3750"/>
    <w:rPr>
      <w:rFonts w:cs="Arial"/>
      <w:b/>
      <w:bCs/>
      <w:i/>
      <w:iCs/>
      <w:sz w:val="24"/>
      <w:szCs w:val="28"/>
      <w:lang w:val="en-US"/>
    </w:rPr>
  </w:style>
  <w:style w:type="paragraph" w:customStyle="1" w:styleId="CitaviBibliographySubheading2">
    <w:name w:val="Citavi Bibliography Subheading 2"/>
    <w:basedOn w:val="Heading3"/>
    <w:link w:val="CitaviBibliographySubheading2Char"/>
    <w:uiPriority w:val="99"/>
    <w:rsid w:val="004B3750"/>
    <w:pPr>
      <w:outlineLvl w:val="9"/>
    </w:pPr>
    <w:rPr>
      <w:lang w:val="en-US"/>
    </w:rPr>
  </w:style>
  <w:style w:type="character" w:customStyle="1" w:styleId="CitaviBibliographySubheading2Char">
    <w:name w:val="Citavi Bibliography Subheading 2 Char"/>
    <w:basedOn w:val="ParagraphChar"/>
    <w:link w:val="CitaviBibliographySubheading2"/>
    <w:uiPriority w:val="99"/>
    <w:rsid w:val="004B3750"/>
    <w:rPr>
      <w:rFonts w:cs="Arial"/>
      <w:bCs/>
      <w:i/>
      <w:sz w:val="24"/>
      <w:szCs w:val="26"/>
      <w:lang w:val="en-US"/>
    </w:rPr>
  </w:style>
  <w:style w:type="paragraph" w:customStyle="1" w:styleId="CitaviBibliographySubheading3">
    <w:name w:val="Citavi Bibliography Subheading 3"/>
    <w:basedOn w:val="Heading4"/>
    <w:link w:val="CitaviBibliographySubheading3Char"/>
    <w:uiPriority w:val="99"/>
    <w:rsid w:val="004B3750"/>
    <w:pPr>
      <w:outlineLvl w:val="9"/>
    </w:pPr>
    <w:rPr>
      <w:lang w:val="en-US"/>
    </w:rPr>
  </w:style>
  <w:style w:type="character" w:customStyle="1" w:styleId="CitaviBibliographySubheading3Char">
    <w:name w:val="Citavi Bibliography Subheading 3 Char"/>
    <w:basedOn w:val="ParagraphChar"/>
    <w:link w:val="CitaviBibliographySubheading3"/>
    <w:uiPriority w:val="99"/>
    <w:rsid w:val="004B3750"/>
    <w:rPr>
      <w:bCs/>
      <w:sz w:val="22"/>
      <w:szCs w:val="28"/>
      <w:lang w:val="en-US"/>
    </w:rPr>
  </w:style>
  <w:style w:type="paragraph" w:customStyle="1" w:styleId="CitaviBibliographySubheading4">
    <w:name w:val="Citavi Bibliography Subheading 4"/>
    <w:basedOn w:val="Heading5"/>
    <w:link w:val="CitaviBibliographySubheading4Char"/>
    <w:uiPriority w:val="99"/>
    <w:rsid w:val="004B3750"/>
    <w:pPr>
      <w:outlineLvl w:val="9"/>
    </w:pPr>
    <w:rPr>
      <w:lang w:val="en-US"/>
    </w:rPr>
  </w:style>
  <w:style w:type="character" w:customStyle="1" w:styleId="CitaviBibliographySubheading4Char">
    <w:name w:val="Citavi Bibliography Subheading 4 Char"/>
    <w:basedOn w:val="ParagraphChar"/>
    <w:link w:val="CitaviBibliographySubheading4"/>
    <w:uiPriority w:val="99"/>
    <w:rsid w:val="004B3750"/>
    <w:rPr>
      <w:rFonts w:asciiTheme="majorHAnsi" w:eastAsiaTheme="majorEastAsia" w:hAnsiTheme="majorHAnsi" w:cstheme="majorBidi"/>
      <w:color w:val="365F91" w:themeColor="accent1" w:themeShade="BF"/>
      <w:sz w:val="24"/>
      <w:szCs w:val="24"/>
      <w:lang w:val="en-US"/>
    </w:rPr>
  </w:style>
  <w:style w:type="character" w:customStyle="1" w:styleId="Heading5Char">
    <w:name w:val="Heading 5 Char"/>
    <w:basedOn w:val="DefaultParagraphFont"/>
    <w:link w:val="Heading5"/>
    <w:rsid w:val="004B3750"/>
    <w:rPr>
      <w:rFonts w:asciiTheme="majorHAnsi" w:eastAsiaTheme="majorEastAsia" w:hAnsiTheme="majorHAnsi" w:cstheme="majorBidi"/>
      <w:color w:val="365F91" w:themeColor="accent1" w:themeShade="BF"/>
      <w:sz w:val="24"/>
      <w:szCs w:val="24"/>
    </w:rPr>
  </w:style>
  <w:style w:type="paragraph" w:customStyle="1" w:styleId="CitaviBibliographySubheading5">
    <w:name w:val="Citavi Bibliography Subheading 5"/>
    <w:basedOn w:val="Heading6"/>
    <w:link w:val="CitaviBibliographySubheading5Char"/>
    <w:uiPriority w:val="99"/>
    <w:rsid w:val="004B3750"/>
    <w:pPr>
      <w:outlineLvl w:val="9"/>
    </w:pPr>
    <w:rPr>
      <w:lang w:val="en-US"/>
    </w:rPr>
  </w:style>
  <w:style w:type="character" w:customStyle="1" w:styleId="CitaviBibliographySubheading5Char">
    <w:name w:val="Citavi Bibliography Subheading 5 Char"/>
    <w:basedOn w:val="ParagraphChar"/>
    <w:link w:val="CitaviBibliographySubheading5"/>
    <w:uiPriority w:val="99"/>
    <w:rsid w:val="004B3750"/>
    <w:rPr>
      <w:rFonts w:asciiTheme="majorHAnsi" w:eastAsiaTheme="majorEastAsia" w:hAnsiTheme="majorHAnsi" w:cstheme="majorBidi"/>
      <w:color w:val="243F60" w:themeColor="accent1" w:themeShade="7F"/>
      <w:sz w:val="24"/>
      <w:szCs w:val="24"/>
      <w:lang w:val="en-US"/>
    </w:rPr>
  </w:style>
  <w:style w:type="character" w:customStyle="1" w:styleId="Heading6Char">
    <w:name w:val="Heading 6 Char"/>
    <w:basedOn w:val="DefaultParagraphFont"/>
    <w:link w:val="Heading6"/>
    <w:rsid w:val="004B3750"/>
    <w:rPr>
      <w:rFonts w:asciiTheme="majorHAnsi" w:eastAsiaTheme="majorEastAsia" w:hAnsiTheme="majorHAnsi" w:cstheme="majorBidi"/>
      <w:color w:val="243F60" w:themeColor="accent1" w:themeShade="7F"/>
      <w:sz w:val="24"/>
      <w:szCs w:val="24"/>
    </w:rPr>
  </w:style>
  <w:style w:type="paragraph" w:customStyle="1" w:styleId="CitaviBibliographySubheading6">
    <w:name w:val="Citavi Bibliography Subheading 6"/>
    <w:basedOn w:val="Heading7"/>
    <w:link w:val="CitaviBibliographySubheading6Char"/>
    <w:uiPriority w:val="99"/>
    <w:rsid w:val="004B3750"/>
    <w:pPr>
      <w:outlineLvl w:val="9"/>
    </w:pPr>
    <w:rPr>
      <w:lang w:val="en-US"/>
    </w:rPr>
  </w:style>
  <w:style w:type="character" w:customStyle="1" w:styleId="CitaviBibliographySubheading6Char">
    <w:name w:val="Citavi Bibliography Subheading 6 Char"/>
    <w:basedOn w:val="ParagraphChar"/>
    <w:link w:val="CitaviBibliographySubheading6"/>
    <w:uiPriority w:val="99"/>
    <w:rsid w:val="004B3750"/>
    <w:rPr>
      <w:rFonts w:asciiTheme="majorHAnsi" w:eastAsiaTheme="majorEastAsia" w:hAnsiTheme="majorHAnsi" w:cstheme="majorBidi"/>
      <w:i/>
      <w:iCs/>
      <w:color w:val="243F60" w:themeColor="accent1" w:themeShade="7F"/>
      <w:sz w:val="24"/>
      <w:szCs w:val="24"/>
      <w:lang w:val="en-US"/>
    </w:rPr>
  </w:style>
  <w:style w:type="character" w:customStyle="1" w:styleId="Heading7Char">
    <w:name w:val="Heading 7 Char"/>
    <w:basedOn w:val="DefaultParagraphFont"/>
    <w:link w:val="Heading7"/>
    <w:semiHidden/>
    <w:rsid w:val="004B3750"/>
    <w:rPr>
      <w:rFonts w:asciiTheme="majorHAnsi" w:eastAsiaTheme="majorEastAsia" w:hAnsiTheme="majorHAnsi" w:cstheme="majorBidi"/>
      <w:i/>
      <w:iCs/>
      <w:color w:val="243F60" w:themeColor="accent1" w:themeShade="7F"/>
      <w:sz w:val="24"/>
      <w:szCs w:val="24"/>
    </w:rPr>
  </w:style>
  <w:style w:type="paragraph" w:customStyle="1" w:styleId="CitaviBibliographySubheading7">
    <w:name w:val="Citavi Bibliography Subheading 7"/>
    <w:basedOn w:val="Heading8"/>
    <w:link w:val="CitaviBibliographySubheading7Char"/>
    <w:uiPriority w:val="99"/>
    <w:rsid w:val="004B3750"/>
    <w:pPr>
      <w:outlineLvl w:val="9"/>
    </w:pPr>
    <w:rPr>
      <w:lang w:val="en-US"/>
    </w:rPr>
  </w:style>
  <w:style w:type="character" w:customStyle="1" w:styleId="CitaviBibliographySubheading7Char">
    <w:name w:val="Citavi Bibliography Subheading 7 Char"/>
    <w:basedOn w:val="ParagraphChar"/>
    <w:link w:val="CitaviBibliographySubheading7"/>
    <w:uiPriority w:val="99"/>
    <w:rsid w:val="004B3750"/>
    <w:rPr>
      <w:rFonts w:asciiTheme="majorHAnsi" w:eastAsiaTheme="majorEastAsia" w:hAnsiTheme="majorHAnsi" w:cstheme="majorBidi"/>
      <w:color w:val="272727" w:themeColor="text1" w:themeTint="D8"/>
      <w:sz w:val="21"/>
      <w:szCs w:val="21"/>
      <w:lang w:val="en-US"/>
    </w:rPr>
  </w:style>
  <w:style w:type="character" w:customStyle="1" w:styleId="Heading8Char">
    <w:name w:val="Heading 8 Char"/>
    <w:basedOn w:val="DefaultParagraphFont"/>
    <w:link w:val="Heading8"/>
    <w:semiHidden/>
    <w:rsid w:val="004B3750"/>
    <w:rPr>
      <w:rFonts w:asciiTheme="majorHAnsi" w:eastAsiaTheme="majorEastAsia" w:hAnsiTheme="majorHAnsi" w:cstheme="majorBidi"/>
      <w:color w:val="272727" w:themeColor="text1" w:themeTint="D8"/>
      <w:sz w:val="21"/>
      <w:szCs w:val="21"/>
    </w:rPr>
  </w:style>
  <w:style w:type="paragraph" w:customStyle="1" w:styleId="CitaviBibliographySubheading8">
    <w:name w:val="Citavi Bibliography Subheading 8"/>
    <w:basedOn w:val="Heading9"/>
    <w:link w:val="CitaviBibliographySubheading8Char"/>
    <w:uiPriority w:val="99"/>
    <w:rsid w:val="004B3750"/>
    <w:pPr>
      <w:outlineLvl w:val="9"/>
    </w:pPr>
    <w:rPr>
      <w:lang w:val="en-US"/>
    </w:rPr>
  </w:style>
  <w:style w:type="character" w:customStyle="1" w:styleId="CitaviBibliographySubheading8Char">
    <w:name w:val="Citavi Bibliography Subheading 8 Char"/>
    <w:basedOn w:val="ParagraphChar"/>
    <w:link w:val="CitaviBibliographySubheading8"/>
    <w:uiPriority w:val="99"/>
    <w:rsid w:val="004B3750"/>
    <w:rPr>
      <w:rFonts w:asciiTheme="majorHAnsi" w:eastAsiaTheme="majorEastAsia" w:hAnsiTheme="majorHAnsi" w:cstheme="majorBidi"/>
      <w:i/>
      <w:iCs/>
      <w:color w:val="272727" w:themeColor="text1" w:themeTint="D8"/>
      <w:sz w:val="21"/>
      <w:szCs w:val="21"/>
      <w:lang w:val="en-US"/>
    </w:rPr>
  </w:style>
  <w:style w:type="character" w:customStyle="1" w:styleId="Heading9Char">
    <w:name w:val="Heading 9 Char"/>
    <w:basedOn w:val="DefaultParagraphFont"/>
    <w:link w:val="Heading9"/>
    <w:semiHidden/>
    <w:rsid w:val="004B3750"/>
    <w:rPr>
      <w:rFonts w:asciiTheme="majorHAnsi" w:eastAsiaTheme="majorEastAsia" w:hAnsiTheme="majorHAnsi" w:cstheme="majorBidi"/>
      <w:i/>
      <w:iCs/>
      <w:color w:val="272727" w:themeColor="text1" w:themeTint="D8"/>
      <w:sz w:val="21"/>
      <w:szCs w:val="21"/>
    </w:rPr>
  </w:style>
  <w:style w:type="paragraph" w:styleId="ListParagraph">
    <w:name w:val="List Paragraph"/>
    <w:basedOn w:val="Normal"/>
    <w:uiPriority w:val="34"/>
    <w:qFormat/>
    <w:rsid w:val="00A66478"/>
    <w:pPr>
      <w:ind w:left="720"/>
      <w:contextualSpacing/>
    </w:pPr>
  </w:style>
  <w:style w:type="paragraph" w:styleId="TOCHeading">
    <w:name w:val="TOC Heading"/>
    <w:basedOn w:val="Heading1"/>
    <w:next w:val="Normal"/>
    <w:semiHidden/>
    <w:unhideWhenUsed/>
    <w:rsid w:val="005B2DED"/>
    <w:pPr>
      <w:keepLines/>
      <w:spacing w:before="240" w:after="0" w:line="480" w:lineRule="auto"/>
      <w:ind w:right="0"/>
      <w:contextualSpacing w:val="0"/>
      <w:outlineLvl w:val="9"/>
    </w:pPr>
    <w:rPr>
      <w:rFonts w:asciiTheme="majorHAnsi" w:eastAsiaTheme="majorEastAsia" w:hAnsiTheme="majorHAnsi" w:cstheme="majorBidi"/>
      <w:b w:val="0"/>
      <w:bCs w:val="0"/>
      <w:color w:val="365F91" w:themeColor="accent1" w:themeShade="BF"/>
      <w:kern w:val="0"/>
      <w:sz w:val="32"/>
    </w:rPr>
  </w:style>
  <w:style w:type="paragraph" w:styleId="Bibliography">
    <w:name w:val="Bibliography"/>
    <w:basedOn w:val="Normal"/>
    <w:next w:val="Normal"/>
    <w:semiHidden/>
    <w:unhideWhenUsed/>
    <w:rsid w:val="005B2DED"/>
  </w:style>
  <w:style w:type="character" w:styleId="BookTitle">
    <w:name w:val="Book Title"/>
    <w:basedOn w:val="DefaultParagraphFont"/>
    <w:rsid w:val="005B2DED"/>
    <w:rPr>
      <w:b/>
      <w:bCs/>
      <w:i/>
      <w:iCs/>
      <w:spacing w:val="5"/>
    </w:rPr>
  </w:style>
  <w:style w:type="character" w:styleId="IntenseReference">
    <w:name w:val="Intense Reference"/>
    <w:basedOn w:val="DefaultParagraphFont"/>
    <w:rsid w:val="005B2DED"/>
    <w:rPr>
      <w:b/>
      <w:bCs/>
      <w:smallCaps/>
      <w:color w:val="4F81BD" w:themeColor="accent1"/>
      <w:spacing w:val="5"/>
    </w:rPr>
  </w:style>
  <w:style w:type="character" w:styleId="SubtleReference">
    <w:name w:val="Subtle Reference"/>
    <w:basedOn w:val="DefaultParagraphFont"/>
    <w:rsid w:val="005B2DED"/>
    <w:rPr>
      <w:smallCaps/>
      <w:color w:val="5A5A5A" w:themeColor="text1" w:themeTint="A5"/>
    </w:rPr>
  </w:style>
  <w:style w:type="character" w:styleId="IntenseEmphasis">
    <w:name w:val="Intense Emphasis"/>
    <w:basedOn w:val="DefaultParagraphFont"/>
    <w:rsid w:val="005B2DED"/>
    <w:rPr>
      <w:i/>
      <w:iCs/>
      <w:color w:val="4F81BD" w:themeColor="accent1"/>
    </w:rPr>
  </w:style>
  <w:style w:type="character" w:styleId="SubtleEmphasis">
    <w:name w:val="Subtle Emphasis"/>
    <w:basedOn w:val="DefaultParagraphFont"/>
    <w:rsid w:val="005B2DED"/>
    <w:rPr>
      <w:i/>
      <w:iCs/>
      <w:color w:val="404040" w:themeColor="text1" w:themeTint="BF"/>
    </w:rPr>
  </w:style>
  <w:style w:type="paragraph" w:styleId="IntenseQuote">
    <w:name w:val="Intense Quote"/>
    <w:basedOn w:val="Normal"/>
    <w:next w:val="Normal"/>
    <w:link w:val="IntenseQuoteChar"/>
    <w:rsid w:val="005B2DED"/>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rsid w:val="005B2DED"/>
    <w:rPr>
      <w:i/>
      <w:iCs/>
      <w:color w:val="4F81BD" w:themeColor="accent1"/>
      <w:sz w:val="24"/>
      <w:szCs w:val="24"/>
    </w:rPr>
  </w:style>
  <w:style w:type="paragraph" w:styleId="Quote">
    <w:name w:val="Quote"/>
    <w:basedOn w:val="Normal"/>
    <w:next w:val="Normal"/>
    <w:link w:val="QuoteChar"/>
    <w:rsid w:val="005B2DED"/>
    <w:pPr>
      <w:spacing w:before="200" w:after="160"/>
      <w:ind w:left="864" w:right="864"/>
      <w:jc w:val="center"/>
    </w:pPr>
    <w:rPr>
      <w:i/>
      <w:iCs/>
      <w:color w:val="404040" w:themeColor="text1" w:themeTint="BF"/>
    </w:rPr>
  </w:style>
  <w:style w:type="character" w:customStyle="1" w:styleId="QuoteChar">
    <w:name w:val="Quote Char"/>
    <w:basedOn w:val="DefaultParagraphFont"/>
    <w:link w:val="Quote"/>
    <w:rsid w:val="005B2DED"/>
    <w:rPr>
      <w:i/>
      <w:iCs/>
      <w:color w:val="404040" w:themeColor="text1" w:themeTint="BF"/>
      <w:sz w:val="24"/>
      <w:szCs w:val="24"/>
    </w:rPr>
  </w:style>
  <w:style w:type="table" w:styleId="MediumList1-Accent1">
    <w:name w:val="Medium List 1 Accent 1"/>
    <w:basedOn w:val="TableNormal"/>
    <w:semiHidden/>
    <w:unhideWhenUsed/>
    <w:rsid w:val="005B2DED"/>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Shading2-Accent1">
    <w:name w:val="Medium Shading 2 Accent 1"/>
    <w:basedOn w:val="TableNormal"/>
    <w:semiHidden/>
    <w:unhideWhenUsed/>
    <w:rsid w:val="005B2D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Accent1">
    <w:name w:val="Medium Shading 1 Accent 1"/>
    <w:basedOn w:val="TableNormal"/>
    <w:semiHidden/>
    <w:unhideWhenUsed/>
    <w:rsid w:val="005B2DED"/>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ghtGrid-Accent1">
    <w:name w:val="Light Grid Accent 1"/>
    <w:basedOn w:val="TableNormal"/>
    <w:semiHidden/>
    <w:unhideWhenUsed/>
    <w:rsid w:val="005B2DE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List-Accent1">
    <w:name w:val="Light List Accent 1"/>
    <w:basedOn w:val="TableNormal"/>
    <w:semiHidden/>
    <w:unhideWhenUsed/>
    <w:rsid w:val="005B2DED"/>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Shading-Accent1">
    <w:name w:val="Light Shading Accent 1"/>
    <w:basedOn w:val="TableNormal"/>
    <w:semiHidden/>
    <w:unhideWhenUsed/>
    <w:rsid w:val="005B2DED"/>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ColorfulGrid">
    <w:name w:val="Colorful Grid"/>
    <w:basedOn w:val="TableNormal"/>
    <w:semiHidden/>
    <w:unhideWhenUsed/>
    <w:rsid w:val="005B2DED"/>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
    <w:name w:val="Colorful List"/>
    <w:basedOn w:val="TableNormal"/>
    <w:semiHidden/>
    <w:unhideWhenUsed/>
    <w:rsid w:val="005B2DED"/>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Shading">
    <w:name w:val="Colorful Shading"/>
    <w:basedOn w:val="TableNormal"/>
    <w:semiHidden/>
    <w:unhideWhenUsed/>
    <w:rsid w:val="005B2DED"/>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DarkList">
    <w:name w:val="Dark List"/>
    <w:basedOn w:val="TableNormal"/>
    <w:semiHidden/>
    <w:unhideWhenUsed/>
    <w:rsid w:val="005B2D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ediumGrid3">
    <w:name w:val="Medium Grid 3"/>
    <w:basedOn w:val="TableNormal"/>
    <w:semiHidden/>
    <w:unhideWhenUsed/>
    <w:rsid w:val="005B2DED"/>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2">
    <w:name w:val="Medium Grid 2"/>
    <w:basedOn w:val="TableNormal"/>
    <w:semiHidden/>
    <w:unhideWhenUsed/>
    <w:rsid w:val="005B2DE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1">
    <w:name w:val="Medium Grid 1"/>
    <w:basedOn w:val="TableNormal"/>
    <w:semiHidden/>
    <w:unhideWhenUsed/>
    <w:rsid w:val="005B2DE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List2">
    <w:name w:val="Medium List 2"/>
    <w:basedOn w:val="TableNormal"/>
    <w:semiHidden/>
    <w:unhideWhenUsed/>
    <w:rsid w:val="005B2DED"/>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1">
    <w:name w:val="Medium List 1"/>
    <w:basedOn w:val="TableNormal"/>
    <w:semiHidden/>
    <w:unhideWhenUsed/>
    <w:rsid w:val="005B2DED"/>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Shading2">
    <w:name w:val="Medium Shading 2"/>
    <w:basedOn w:val="TableNormal"/>
    <w:semiHidden/>
    <w:unhideWhenUsed/>
    <w:rsid w:val="005B2DED"/>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1">
    <w:name w:val="Medium Shading 1"/>
    <w:basedOn w:val="TableNormal"/>
    <w:semiHidden/>
    <w:unhideWhenUsed/>
    <w:rsid w:val="005B2DED"/>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LightGrid">
    <w:name w:val="Light Grid"/>
    <w:basedOn w:val="TableNormal"/>
    <w:semiHidden/>
    <w:unhideWhenUsed/>
    <w:rsid w:val="005B2DE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List">
    <w:name w:val="Light List"/>
    <w:basedOn w:val="TableNormal"/>
    <w:semiHidden/>
    <w:unhideWhenUsed/>
    <w:rsid w:val="005B2DED"/>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Shading">
    <w:name w:val="Light Shading"/>
    <w:basedOn w:val="TableNormal"/>
    <w:semiHidden/>
    <w:unhideWhenUsed/>
    <w:rsid w:val="005B2DED"/>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NoSpacing">
    <w:name w:val="No Spacing"/>
    <w:rsid w:val="005B2DED"/>
    <w:rPr>
      <w:sz w:val="24"/>
      <w:szCs w:val="24"/>
    </w:rPr>
  </w:style>
  <w:style w:type="character" w:styleId="HTMLVariable">
    <w:name w:val="HTML Variable"/>
    <w:basedOn w:val="DefaultParagraphFont"/>
    <w:semiHidden/>
    <w:unhideWhenUsed/>
    <w:rsid w:val="005B2DED"/>
    <w:rPr>
      <w:i/>
      <w:iCs/>
    </w:rPr>
  </w:style>
  <w:style w:type="character" w:styleId="HTMLTypewriter">
    <w:name w:val="HTML Typewriter"/>
    <w:basedOn w:val="DefaultParagraphFont"/>
    <w:semiHidden/>
    <w:unhideWhenUsed/>
    <w:rsid w:val="005B2DED"/>
    <w:rPr>
      <w:rFonts w:ascii="Consolas" w:hAnsi="Consolas"/>
      <w:sz w:val="20"/>
      <w:szCs w:val="20"/>
    </w:rPr>
  </w:style>
  <w:style w:type="character" w:styleId="HTMLSample">
    <w:name w:val="HTML Sample"/>
    <w:basedOn w:val="DefaultParagraphFont"/>
    <w:semiHidden/>
    <w:unhideWhenUsed/>
    <w:rsid w:val="005B2DED"/>
    <w:rPr>
      <w:rFonts w:ascii="Consolas" w:hAnsi="Consolas"/>
      <w:sz w:val="24"/>
      <w:szCs w:val="24"/>
    </w:rPr>
  </w:style>
  <w:style w:type="paragraph" w:styleId="HTMLPreformatted">
    <w:name w:val="HTML Preformatted"/>
    <w:basedOn w:val="Normal"/>
    <w:link w:val="HTMLPreformattedChar"/>
    <w:semiHidden/>
    <w:unhideWhenUsed/>
    <w:rsid w:val="005B2DED"/>
    <w:pPr>
      <w:spacing w:line="240" w:lineRule="auto"/>
    </w:pPr>
    <w:rPr>
      <w:rFonts w:ascii="Consolas" w:hAnsi="Consolas"/>
      <w:sz w:val="20"/>
      <w:szCs w:val="20"/>
    </w:rPr>
  </w:style>
  <w:style w:type="character" w:customStyle="1" w:styleId="HTMLPreformattedChar">
    <w:name w:val="HTML Preformatted Char"/>
    <w:basedOn w:val="DefaultParagraphFont"/>
    <w:link w:val="HTMLPreformatted"/>
    <w:semiHidden/>
    <w:rsid w:val="005B2DED"/>
    <w:rPr>
      <w:rFonts w:ascii="Consolas" w:hAnsi="Consolas"/>
    </w:rPr>
  </w:style>
  <w:style w:type="character" w:styleId="HTMLKeyboard">
    <w:name w:val="HTML Keyboard"/>
    <w:basedOn w:val="DefaultParagraphFont"/>
    <w:semiHidden/>
    <w:unhideWhenUsed/>
    <w:rsid w:val="005B2DED"/>
    <w:rPr>
      <w:rFonts w:ascii="Consolas" w:hAnsi="Consolas"/>
      <w:sz w:val="20"/>
      <w:szCs w:val="20"/>
    </w:rPr>
  </w:style>
  <w:style w:type="character" w:styleId="HTMLDefinition">
    <w:name w:val="HTML Definition"/>
    <w:basedOn w:val="DefaultParagraphFont"/>
    <w:semiHidden/>
    <w:unhideWhenUsed/>
    <w:rsid w:val="005B2DED"/>
    <w:rPr>
      <w:i/>
      <w:iCs/>
    </w:rPr>
  </w:style>
  <w:style w:type="character" w:styleId="HTMLCode">
    <w:name w:val="HTML Code"/>
    <w:basedOn w:val="DefaultParagraphFont"/>
    <w:semiHidden/>
    <w:unhideWhenUsed/>
    <w:rsid w:val="005B2DED"/>
    <w:rPr>
      <w:rFonts w:ascii="Consolas" w:hAnsi="Consolas"/>
      <w:sz w:val="20"/>
      <w:szCs w:val="20"/>
    </w:rPr>
  </w:style>
  <w:style w:type="character" w:styleId="HTMLCite">
    <w:name w:val="HTML Cite"/>
    <w:basedOn w:val="DefaultParagraphFont"/>
    <w:semiHidden/>
    <w:unhideWhenUsed/>
    <w:rsid w:val="005B2DED"/>
    <w:rPr>
      <w:i/>
      <w:iCs/>
    </w:rPr>
  </w:style>
  <w:style w:type="paragraph" w:styleId="HTMLAddress">
    <w:name w:val="HTML Address"/>
    <w:basedOn w:val="Normal"/>
    <w:link w:val="HTMLAddressChar"/>
    <w:semiHidden/>
    <w:unhideWhenUsed/>
    <w:rsid w:val="005B2DED"/>
    <w:pPr>
      <w:spacing w:line="240" w:lineRule="auto"/>
    </w:pPr>
    <w:rPr>
      <w:i/>
      <w:iCs/>
    </w:rPr>
  </w:style>
  <w:style w:type="character" w:customStyle="1" w:styleId="HTMLAddressChar">
    <w:name w:val="HTML Address Char"/>
    <w:basedOn w:val="DefaultParagraphFont"/>
    <w:link w:val="HTMLAddress"/>
    <w:semiHidden/>
    <w:rsid w:val="005B2DED"/>
    <w:rPr>
      <w:i/>
      <w:iCs/>
      <w:sz w:val="24"/>
      <w:szCs w:val="24"/>
    </w:rPr>
  </w:style>
  <w:style w:type="character" w:styleId="HTMLAcronym">
    <w:name w:val="HTML Acronym"/>
    <w:basedOn w:val="DefaultParagraphFont"/>
    <w:semiHidden/>
    <w:unhideWhenUsed/>
    <w:rsid w:val="005B2DED"/>
  </w:style>
  <w:style w:type="paragraph" w:styleId="PlainText">
    <w:name w:val="Plain Text"/>
    <w:basedOn w:val="Normal"/>
    <w:link w:val="PlainTextChar"/>
    <w:semiHidden/>
    <w:unhideWhenUsed/>
    <w:rsid w:val="005B2DED"/>
    <w:pPr>
      <w:spacing w:line="240" w:lineRule="auto"/>
    </w:pPr>
    <w:rPr>
      <w:rFonts w:ascii="Consolas" w:hAnsi="Consolas"/>
      <w:sz w:val="21"/>
      <w:szCs w:val="21"/>
    </w:rPr>
  </w:style>
  <w:style w:type="character" w:customStyle="1" w:styleId="PlainTextChar">
    <w:name w:val="Plain Text Char"/>
    <w:basedOn w:val="DefaultParagraphFont"/>
    <w:link w:val="PlainText"/>
    <w:semiHidden/>
    <w:rsid w:val="005B2DED"/>
    <w:rPr>
      <w:rFonts w:ascii="Consolas" w:hAnsi="Consolas"/>
      <w:sz w:val="21"/>
      <w:szCs w:val="21"/>
    </w:rPr>
  </w:style>
  <w:style w:type="paragraph" w:styleId="DocumentMap">
    <w:name w:val="Document Map"/>
    <w:basedOn w:val="Normal"/>
    <w:link w:val="DocumentMapChar"/>
    <w:semiHidden/>
    <w:unhideWhenUsed/>
    <w:rsid w:val="005B2DED"/>
    <w:pPr>
      <w:spacing w:line="240" w:lineRule="auto"/>
    </w:pPr>
    <w:rPr>
      <w:rFonts w:ascii="Segoe UI" w:hAnsi="Segoe UI" w:cs="Segoe UI"/>
      <w:sz w:val="16"/>
      <w:szCs w:val="16"/>
    </w:rPr>
  </w:style>
  <w:style w:type="character" w:customStyle="1" w:styleId="DocumentMapChar">
    <w:name w:val="Document Map Char"/>
    <w:basedOn w:val="DefaultParagraphFont"/>
    <w:link w:val="DocumentMap"/>
    <w:semiHidden/>
    <w:rsid w:val="005B2DED"/>
    <w:rPr>
      <w:rFonts w:ascii="Segoe UI" w:hAnsi="Segoe UI" w:cs="Segoe UI"/>
      <w:sz w:val="16"/>
      <w:szCs w:val="16"/>
    </w:rPr>
  </w:style>
  <w:style w:type="character" w:styleId="Emphasis">
    <w:name w:val="Emphasis"/>
    <w:basedOn w:val="DefaultParagraphFont"/>
    <w:rsid w:val="005B2DED"/>
    <w:rPr>
      <w:i/>
      <w:iCs/>
    </w:rPr>
  </w:style>
  <w:style w:type="character" w:styleId="Strong">
    <w:name w:val="Strong"/>
    <w:basedOn w:val="DefaultParagraphFont"/>
    <w:rsid w:val="005B2DED"/>
    <w:rPr>
      <w:b/>
      <w:bCs/>
    </w:rPr>
  </w:style>
  <w:style w:type="character" w:styleId="FollowedHyperlink">
    <w:name w:val="FollowedHyperlink"/>
    <w:basedOn w:val="DefaultParagraphFont"/>
    <w:uiPriority w:val="99"/>
    <w:unhideWhenUsed/>
    <w:rsid w:val="005B2DED"/>
    <w:rPr>
      <w:color w:val="800080" w:themeColor="followedHyperlink"/>
      <w:u w:val="single"/>
    </w:rPr>
  </w:style>
  <w:style w:type="character" w:styleId="Hyperlink">
    <w:name w:val="Hyperlink"/>
    <w:basedOn w:val="DefaultParagraphFont"/>
    <w:uiPriority w:val="99"/>
    <w:unhideWhenUsed/>
    <w:rsid w:val="005B2DED"/>
    <w:rPr>
      <w:color w:val="0000FF" w:themeColor="hyperlink"/>
      <w:u w:val="single"/>
    </w:rPr>
  </w:style>
  <w:style w:type="paragraph" w:styleId="BlockText">
    <w:name w:val="Block Text"/>
    <w:basedOn w:val="Normal"/>
    <w:semiHidden/>
    <w:unhideWhenUsed/>
    <w:rsid w:val="005B2DED"/>
    <w:pPr>
      <w:pBdr>
        <w:top w:val="single" w:sz="2" w:space="10" w:color="4F81BD" w:themeColor="accent1"/>
        <w:left w:val="single" w:sz="2" w:space="10" w:color="4F81BD" w:themeColor="accent1"/>
        <w:bottom w:val="single" w:sz="2" w:space="10" w:color="4F81BD" w:themeColor="accent1"/>
        <w:right w:val="single" w:sz="2" w:space="10" w:color="4F81BD" w:themeColor="accent1"/>
      </w:pBdr>
      <w:ind w:left="1152" w:right="1152"/>
    </w:pPr>
    <w:rPr>
      <w:rFonts w:asciiTheme="minorHAnsi" w:eastAsiaTheme="minorEastAsia" w:hAnsiTheme="minorHAnsi" w:cstheme="minorBidi"/>
      <w:i/>
      <w:iCs/>
      <w:color w:val="4F81BD" w:themeColor="accent1"/>
    </w:rPr>
  </w:style>
  <w:style w:type="paragraph" w:styleId="BodyTextIndent3">
    <w:name w:val="Body Text Indent 3"/>
    <w:basedOn w:val="Normal"/>
    <w:link w:val="BodyTextIndent3Char"/>
    <w:semiHidden/>
    <w:unhideWhenUsed/>
    <w:rsid w:val="005B2DED"/>
    <w:pPr>
      <w:spacing w:after="120"/>
      <w:ind w:left="283"/>
    </w:pPr>
    <w:rPr>
      <w:sz w:val="16"/>
      <w:szCs w:val="16"/>
    </w:rPr>
  </w:style>
  <w:style w:type="character" w:customStyle="1" w:styleId="BodyTextIndent3Char">
    <w:name w:val="Body Text Indent 3 Char"/>
    <w:basedOn w:val="DefaultParagraphFont"/>
    <w:link w:val="BodyTextIndent3"/>
    <w:semiHidden/>
    <w:rsid w:val="005B2DED"/>
    <w:rPr>
      <w:sz w:val="16"/>
      <w:szCs w:val="16"/>
    </w:rPr>
  </w:style>
  <w:style w:type="paragraph" w:styleId="BodyTextIndent2">
    <w:name w:val="Body Text Indent 2"/>
    <w:basedOn w:val="Normal"/>
    <w:link w:val="BodyTextIndent2Char"/>
    <w:semiHidden/>
    <w:unhideWhenUsed/>
    <w:rsid w:val="005B2DED"/>
    <w:pPr>
      <w:spacing w:after="120"/>
      <w:ind w:left="283"/>
    </w:pPr>
  </w:style>
  <w:style w:type="character" w:customStyle="1" w:styleId="BodyTextIndent2Char">
    <w:name w:val="Body Text Indent 2 Char"/>
    <w:basedOn w:val="DefaultParagraphFont"/>
    <w:link w:val="BodyTextIndent2"/>
    <w:semiHidden/>
    <w:rsid w:val="005B2DED"/>
    <w:rPr>
      <w:sz w:val="24"/>
      <w:szCs w:val="24"/>
    </w:rPr>
  </w:style>
  <w:style w:type="paragraph" w:styleId="BodyText3">
    <w:name w:val="Body Text 3"/>
    <w:basedOn w:val="Normal"/>
    <w:link w:val="BodyText3Char"/>
    <w:semiHidden/>
    <w:unhideWhenUsed/>
    <w:rsid w:val="005B2DED"/>
    <w:pPr>
      <w:spacing w:after="120"/>
    </w:pPr>
    <w:rPr>
      <w:sz w:val="16"/>
      <w:szCs w:val="16"/>
    </w:rPr>
  </w:style>
  <w:style w:type="character" w:customStyle="1" w:styleId="BodyText3Char">
    <w:name w:val="Body Text 3 Char"/>
    <w:basedOn w:val="DefaultParagraphFont"/>
    <w:link w:val="BodyText3"/>
    <w:semiHidden/>
    <w:rsid w:val="005B2DED"/>
    <w:rPr>
      <w:sz w:val="16"/>
      <w:szCs w:val="16"/>
    </w:rPr>
  </w:style>
  <w:style w:type="paragraph" w:styleId="BodyText2">
    <w:name w:val="Body Text 2"/>
    <w:basedOn w:val="Normal"/>
    <w:link w:val="BodyText2Char"/>
    <w:semiHidden/>
    <w:unhideWhenUsed/>
    <w:rsid w:val="005B2DED"/>
    <w:pPr>
      <w:spacing w:after="120"/>
    </w:pPr>
  </w:style>
  <w:style w:type="character" w:customStyle="1" w:styleId="BodyText2Char">
    <w:name w:val="Body Text 2 Char"/>
    <w:basedOn w:val="DefaultParagraphFont"/>
    <w:link w:val="BodyText2"/>
    <w:semiHidden/>
    <w:rsid w:val="005B2DED"/>
    <w:rPr>
      <w:sz w:val="24"/>
      <w:szCs w:val="24"/>
    </w:rPr>
  </w:style>
  <w:style w:type="paragraph" w:styleId="NoteHeading">
    <w:name w:val="Note Heading"/>
    <w:basedOn w:val="Normal"/>
    <w:next w:val="Normal"/>
    <w:link w:val="NoteHeadingChar"/>
    <w:semiHidden/>
    <w:unhideWhenUsed/>
    <w:rsid w:val="005B2DED"/>
    <w:pPr>
      <w:spacing w:line="240" w:lineRule="auto"/>
    </w:pPr>
  </w:style>
  <w:style w:type="character" w:customStyle="1" w:styleId="NoteHeadingChar">
    <w:name w:val="Note Heading Char"/>
    <w:basedOn w:val="DefaultParagraphFont"/>
    <w:link w:val="NoteHeading"/>
    <w:semiHidden/>
    <w:rsid w:val="005B2DED"/>
    <w:rPr>
      <w:sz w:val="24"/>
      <w:szCs w:val="24"/>
    </w:rPr>
  </w:style>
  <w:style w:type="paragraph" w:styleId="BodyTextIndent">
    <w:name w:val="Body Text Indent"/>
    <w:basedOn w:val="Normal"/>
    <w:link w:val="BodyTextIndentChar"/>
    <w:semiHidden/>
    <w:unhideWhenUsed/>
    <w:rsid w:val="005B2DED"/>
    <w:pPr>
      <w:spacing w:after="120"/>
      <w:ind w:left="283"/>
    </w:pPr>
  </w:style>
  <w:style w:type="character" w:customStyle="1" w:styleId="BodyTextIndentChar">
    <w:name w:val="Body Text Indent Char"/>
    <w:basedOn w:val="DefaultParagraphFont"/>
    <w:link w:val="BodyTextIndent"/>
    <w:semiHidden/>
    <w:rsid w:val="005B2DED"/>
    <w:rPr>
      <w:sz w:val="24"/>
      <w:szCs w:val="24"/>
    </w:rPr>
  </w:style>
  <w:style w:type="paragraph" w:styleId="BodyTextFirstIndent2">
    <w:name w:val="Body Text First Indent 2"/>
    <w:basedOn w:val="BodyTextIndent"/>
    <w:link w:val="BodyTextFirstIndent2Char"/>
    <w:semiHidden/>
    <w:unhideWhenUsed/>
    <w:rsid w:val="005B2DED"/>
    <w:pPr>
      <w:spacing w:after="0"/>
      <w:ind w:left="360" w:firstLine="360"/>
    </w:pPr>
  </w:style>
  <w:style w:type="character" w:customStyle="1" w:styleId="BodyTextFirstIndent2Char">
    <w:name w:val="Body Text First Indent 2 Char"/>
    <w:basedOn w:val="BodyTextIndentChar"/>
    <w:link w:val="BodyTextFirstIndent2"/>
    <w:semiHidden/>
    <w:rsid w:val="005B2DED"/>
    <w:rPr>
      <w:sz w:val="24"/>
      <w:szCs w:val="24"/>
    </w:rPr>
  </w:style>
  <w:style w:type="paragraph" w:styleId="BodyText">
    <w:name w:val="Body Text"/>
    <w:basedOn w:val="Normal"/>
    <w:link w:val="BodyTextChar"/>
    <w:semiHidden/>
    <w:unhideWhenUsed/>
    <w:rsid w:val="005B2DED"/>
    <w:pPr>
      <w:spacing w:after="120"/>
    </w:pPr>
  </w:style>
  <w:style w:type="character" w:customStyle="1" w:styleId="BodyTextChar">
    <w:name w:val="Body Text Char"/>
    <w:basedOn w:val="DefaultParagraphFont"/>
    <w:link w:val="BodyText"/>
    <w:semiHidden/>
    <w:rsid w:val="005B2DED"/>
    <w:rPr>
      <w:sz w:val="24"/>
      <w:szCs w:val="24"/>
    </w:rPr>
  </w:style>
  <w:style w:type="paragraph" w:styleId="BodyTextFirstIndent">
    <w:name w:val="Body Text First Indent"/>
    <w:basedOn w:val="BodyText"/>
    <w:link w:val="BodyTextFirstIndentChar"/>
    <w:rsid w:val="005B2DED"/>
    <w:pPr>
      <w:spacing w:after="0"/>
      <w:ind w:firstLine="360"/>
    </w:pPr>
  </w:style>
  <w:style w:type="character" w:customStyle="1" w:styleId="BodyTextFirstIndentChar">
    <w:name w:val="Body Text First Indent Char"/>
    <w:basedOn w:val="BodyTextChar"/>
    <w:link w:val="BodyTextFirstIndent"/>
    <w:rsid w:val="005B2DED"/>
    <w:rPr>
      <w:sz w:val="24"/>
      <w:szCs w:val="24"/>
    </w:rPr>
  </w:style>
  <w:style w:type="paragraph" w:styleId="Date">
    <w:name w:val="Date"/>
    <w:basedOn w:val="Normal"/>
    <w:next w:val="Normal"/>
    <w:link w:val="DateChar"/>
    <w:rsid w:val="005B2DED"/>
  </w:style>
  <w:style w:type="character" w:customStyle="1" w:styleId="DateChar">
    <w:name w:val="Date Char"/>
    <w:basedOn w:val="DefaultParagraphFont"/>
    <w:link w:val="Date"/>
    <w:rsid w:val="005B2DED"/>
    <w:rPr>
      <w:sz w:val="24"/>
      <w:szCs w:val="24"/>
    </w:rPr>
  </w:style>
  <w:style w:type="paragraph" w:styleId="Salutation">
    <w:name w:val="Salutation"/>
    <w:basedOn w:val="Normal"/>
    <w:next w:val="Normal"/>
    <w:link w:val="SalutationChar"/>
    <w:rsid w:val="005B2DED"/>
  </w:style>
  <w:style w:type="character" w:customStyle="1" w:styleId="SalutationChar">
    <w:name w:val="Salutation Char"/>
    <w:basedOn w:val="DefaultParagraphFont"/>
    <w:link w:val="Salutation"/>
    <w:rsid w:val="005B2DED"/>
    <w:rPr>
      <w:sz w:val="24"/>
      <w:szCs w:val="24"/>
    </w:rPr>
  </w:style>
  <w:style w:type="paragraph" w:styleId="Subtitle">
    <w:name w:val="Subtitle"/>
    <w:basedOn w:val="Normal"/>
    <w:next w:val="Normal"/>
    <w:link w:val="SubtitleChar"/>
    <w:rsid w:val="005B2DED"/>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5B2DED"/>
    <w:rPr>
      <w:rFonts w:asciiTheme="minorHAnsi" w:eastAsiaTheme="minorEastAsia" w:hAnsiTheme="minorHAnsi" w:cstheme="minorBidi"/>
      <w:color w:val="5A5A5A" w:themeColor="text1" w:themeTint="A5"/>
      <w:spacing w:val="15"/>
      <w:sz w:val="22"/>
      <w:szCs w:val="22"/>
    </w:rPr>
  </w:style>
  <w:style w:type="paragraph" w:styleId="MessageHeader">
    <w:name w:val="Message Header"/>
    <w:basedOn w:val="Normal"/>
    <w:link w:val="MessageHeaderChar"/>
    <w:semiHidden/>
    <w:unhideWhenUsed/>
    <w:rsid w:val="005B2DED"/>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semiHidden/>
    <w:rsid w:val="005B2DED"/>
    <w:rPr>
      <w:rFonts w:asciiTheme="majorHAnsi" w:eastAsiaTheme="majorEastAsia" w:hAnsiTheme="majorHAnsi" w:cstheme="majorBidi"/>
      <w:sz w:val="24"/>
      <w:szCs w:val="24"/>
      <w:shd w:val="pct20" w:color="auto" w:fill="auto"/>
    </w:rPr>
  </w:style>
  <w:style w:type="paragraph" w:styleId="ListContinue5">
    <w:name w:val="List Continue 5"/>
    <w:basedOn w:val="Normal"/>
    <w:semiHidden/>
    <w:unhideWhenUsed/>
    <w:rsid w:val="005B2DED"/>
    <w:pPr>
      <w:spacing w:after="120"/>
      <w:ind w:left="1415"/>
      <w:contextualSpacing/>
    </w:pPr>
  </w:style>
  <w:style w:type="paragraph" w:styleId="ListContinue4">
    <w:name w:val="List Continue 4"/>
    <w:basedOn w:val="Normal"/>
    <w:semiHidden/>
    <w:unhideWhenUsed/>
    <w:rsid w:val="005B2DED"/>
    <w:pPr>
      <w:spacing w:after="120"/>
      <w:ind w:left="1132"/>
      <w:contextualSpacing/>
    </w:pPr>
  </w:style>
  <w:style w:type="paragraph" w:styleId="ListContinue3">
    <w:name w:val="List Continue 3"/>
    <w:basedOn w:val="Normal"/>
    <w:semiHidden/>
    <w:unhideWhenUsed/>
    <w:rsid w:val="005B2DED"/>
    <w:pPr>
      <w:spacing w:after="120"/>
      <w:ind w:left="849"/>
      <w:contextualSpacing/>
    </w:pPr>
  </w:style>
  <w:style w:type="paragraph" w:styleId="ListContinue2">
    <w:name w:val="List Continue 2"/>
    <w:basedOn w:val="Normal"/>
    <w:semiHidden/>
    <w:unhideWhenUsed/>
    <w:rsid w:val="005B2DED"/>
    <w:pPr>
      <w:spacing w:after="120"/>
      <w:ind w:left="566"/>
      <w:contextualSpacing/>
    </w:pPr>
  </w:style>
  <w:style w:type="paragraph" w:styleId="ListContinue">
    <w:name w:val="List Continue"/>
    <w:basedOn w:val="Normal"/>
    <w:semiHidden/>
    <w:unhideWhenUsed/>
    <w:rsid w:val="005B2DED"/>
    <w:pPr>
      <w:spacing w:after="120"/>
      <w:ind w:left="283"/>
      <w:contextualSpacing/>
    </w:pPr>
  </w:style>
  <w:style w:type="paragraph" w:styleId="Signature">
    <w:name w:val="Signature"/>
    <w:basedOn w:val="Normal"/>
    <w:link w:val="SignatureChar"/>
    <w:semiHidden/>
    <w:unhideWhenUsed/>
    <w:rsid w:val="005B2DED"/>
    <w:pPr>
      <w:spacing w:line="240" w:lineRule="auto"/>
      <w:ind w:left="4252"/>
    </w:pPr>
  </w:style>
  <w:style w:type="character" w:customStyle="1" w:styleId="SignatureChar">
    <w:name w:val="Signature Char"/>
    <w:basedOn w:val="DefaultParagraphFont"/>
    <w:link w:val="Signature"/>
    <w:semiHidden/>
    <w:rsid w:val="005B2DED"/>
    <w:rPr>
      <w:sz w:val="24"/>
      <w:szCs w:val="24"/>
    </w:rPr>
  </w:style>
  <w:style w:type="paragraph" w:styleId="Closing">
    <w:name w:val="Closing"/>
    <w:basedOn w:val="Normal"/>
    <w:link w:val="ClosingChar"/>
    <w:semiHidden/>
    <w:unhideWhenUsed/>
    <w:rsid w:val="005B2DED"/>
    <w:pPr>
      <w:spacing w:line="240" w:lineRule="auto"/>
      <w:ind w:left="4252"/>
    </w:pPr>
  </w:style>
  <w:style w:type="character" w:customStyle="1" w:styleId="ClosingChar">
    <w:name w:val="Closing Char"/>
    <w:basedOn w:val="DefaultParagraphFont"/>
    <w:link w:val="Closing"/>
    <w:semiHidden/>
    <w:rsid w:val="005B2DED"/>
    <w:rPr>
      <w:sz w:val="24"/>
      <w:szCs w:val="24"/>
    </w:rPr>
  </w:style>
  <w:style w:type="paragraph" w:styleId="Title">
    <w:name w:val="Title"/>
    <w:basedOn w:val="Normal"/>
    <w:next w:val="Normal"/>
    <w:link w:val="TitleChar"/>
    <w:rsid w:val="005B2DED"/>
    <w:pPr>
      <w:spacing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5B2DED"/>
    <w:rPr>
      <w:rFonts w:asciiTheme="majorHAnsi" w:eastAsiaTheme="majorEastAsia" w:hAnsiTheme="majorHAnsi" w:cstheme="majorBidi"/>
      <w:spacing w:val="-10"/>
      <w:kern w:val="28"/>
      <w:sz w:val="56"/>
      <w:szCs w:val="56"/>
    </w:rPr>
  </w:style>
  <w:style w:type="paragraph" w:styleId="ListNumber5">
    <w:name w:val="List Number 5"/>
    <w:basedOn w:val="Normal"/>
    <w:semiHidden/>
    <w:unhideWhenUsed/>
    <w:rsid w:val="005B2DED"/>
    <w:pPr>
      <w:numPr>
        <w:numId w:val="9"/>
      </w:numPr>
      <w:contextualSpacing/>
    </w:pPr>
  </w:style>
  <w:style w:type="paragraph" w:styleId="ListNumber4">
    <w:name w:val="List Number 4"/>
    <w:basedOn w:val="Normal"/>
    <w:semiHidden/>
    <w:unhideWhenUsed/>
    <w:rsid w:val="005B2DED"/>
    <w:pPr>
      <w:numPr>
        <w:numId w:val="10"/>
      </w:numPr>
      <w:contextualSpacing/>
    </w:pPr>
  </w:style>
  <w:style w:type="paragraph" w:styleId="ListNumber3">
    <w:name w:val="List Number 3"/>
    <w:basedOn w:val="Normal"/>
    <w:semiHidden/>
    <w:unhideWhenUsed/>
    <w:rsid w:val="005B2DED"/>
    <w:pPr>
      <w:numPr>
        <w:numId w:val="11"/>
      </w:numPr>
      <w:contextualSpacing/>
    </w:pPr>
  </w:style>
  <w:style w:type="paragraph" w:styleId="ListNumber2">
    <w:name w:val="List Number 2"/>
    <w:basedOn w:val="Normal"/>
    <w:semiHidden/>
    <w:unhideWhenUsed/>
    <w:rsid w:val="005B2DED"/>
    <w:pPr>
      <w:numPr>
        <w:numId w:val="12"/>
      </w:numPr>
      <w:contextualSpacing/>
    </w:pPr>
  </w:style>
  <w:style w:type="paragraph" w:styleId="ListBullet5">
    <w:name w:val="List Bullet 5"/>
    <w:basedOn w:val="Normal"/>
    <w:semiHidden/>
    <w:unhideWhenUsed/>
    <w:rsid w:val="005B2DED"/>
    <w:pPr>
      <w:numPr>
        <w:numId w:val="1"/>
      </w:numPr>
      <w:contextualSpacing/>
    </w:pPr>
  </w:style>
  <w:style w:type="paragraph" w:styleId="ListBullet4">
    <w:name w:val="List Bullet 4"/>
    <w:basedOn w:val="Normal"/>
    <w:semiHidden/>
    <w:unhideWhenUsed/>
    <w:rsid w:val="005B2DED"/>
    <w:pPr>
      <w:numPr>
        <w:numId w:val="3"/>
      </w:numPr>
      <w:contextualSpacing/>
    </w:pPr>
  </w:style>
  <w:style w:type="paragraph" w:styleId="ListBullet3">
    <w:name w:val="List Bullet 3"/>
    <w:basedOn w:val="Normal"/>
    <w:semiHidden/>
    <w:unhideWhenUsed/>
    <w:rsid w:val="005B2DED"/>
    <w:pPr>
      <w:numPr>
        <w:numId w:val="2"/>
      </w:numPr>
      <w:contextualSpacing/>
    </w:pPr>
  </w:style>
  <w:style w:type="paragraph" w:styleId="ListBullet2">
    <w:name w:val="List Bullet 2"/>
    <w:basedOn w:val="Normal"/>
    <w:semiHidden/>
    <w:unhideWhenUsed/>
    <w:rsid w:val="005B2DED"/>
    <w:pPr>
      <w:numPr>
        <w:numId w:val="5"/>
      </w:numPr>
      <w:contextualSpacing/>
    </w:pPr>
  </w:style>
  <w:style w:type="paragraph" w:styleId="List5">
    <w:name w:val="List 5"/>
    <w:basedOn w:val="Normal"/>
    <w:rsid w:val="005B2DED"/>
    <w:pPr>
      <w:ind w:left="1415" w:hanging="283"/>
      <w:contextualSpacing/>
    </w:pPr>
  </w:style>
  <w:style w:type="paragraph" w:styleId="List4">
    <w:name w:val="List 4"/>
    <w:basedOn w:val="Normal"/>
    <w:rsid w:val="005B2DED"/>
    <w:pPr>
      <w:ind w:left="1132" w:hanging="283"/>
      <w:contextualSpacing/>
    </w:pPr>
  </w:style>
  <w:style w:type="paragraph" w:styleId="List3">
    <w:name w:val="List 3"/>
    <w:basedOn w:val="Normal"/>
    <w:semiHidden/>
    <w:unhideWhenUsed/>
    <w:rsid w:val="005B2DED"/>
    <w:pPr>
      <w:ind w:left="849" w:hanging="283"/>
      <w:contextualSpacing/>
    </w:pPr>
  </w:style>
  <w:style w:type="paragraph" w:styleId="List2">
    <w:name w:val="List 2"/>
    <w:basedOn w:val="Normal"/>
    <w:semiHidden/>
    <w:unhideWhenUsed/>
    <w:rsid w:val="005B2DED"/>
    <w:pPr>
      <w:ind w:left="566" w:hanging="283"/>
      <w:contextualSpacing/>
    </w:pPr>
  </w:style>
  <w:style w:type="paragraph" w:styleId="ListNumber">
    <w:name w:val="List Number"/>
    <w:basedOn w:val="Normal"/>
    <w:rsid w:val="005B2DED"/>
    <w:pPr>
      <w:numPr>
        <w:numId w:val="13"/>
      </w:numPr>
      <w:contextualSpacing/>
    </w:pPr>
  </w:style>
  <w:style w:type="paragraph" w:styleId="ListBullet">
    <w:name w:val="List Bullet"/>
    <w:basedOn w:val="Normal"/>
    <w:semiHidden/>
    <w:unhideWhenUsed/>
    <w:rsid w:val="005B2DED"/>
    <w:pPr>
      <w:numPr>
        <w:numId w:val="4"/>
      </w:numPr>
      <w:contextualSpacing/>
    </w:pPr>
  </w:style>
  <w:style w:type="paragraph" w:styleId="List">
    <w:name w:val="List"/>
    <w:basedOn w:val="Normal"/>
    <w:semiHidden/>
    <w:unhideWhenUsed/>
    <w:rsid w:val="005B2DED"/>
    <w:pPr>
      <w:ind w:left="283" w:hanging="283"/>
      <w:contextualSpacing/>
    </w:pPr>
  </w:style>
  <w:style w:type="paragraph" w:styleId="TOAHeading">
    <w:name w:val="toa heading"/>
    <w:basedOn w:val="Normal"/>
    <w:next w:val="Normal"/>
    <w:semiHidden/>
    <w:unhideWhenUsed/>
    <w:rsid w:val="005B2DED"/>
    <w:pPr>
      <w:spacing w:before="120"/>
    </w:pPr>
    <w:rPr>
      <w:rFonts w:asciiTheme="majorHAnsi" w:eastAsiaTheme="majorEastAsia" w:hAnsiTheme="majorHAnsi" w:cstheme="majorBidi"/>
      <w:b/>
      <w:bCs/>
    </w:rPr>
  </w:style>
  <w:style w:type="paragraph" w:styleId="MacroText">
    <w:name w:val="macro"/>
    <w:link w:val="MacroTextChar"/>
    <w:semiHidden/>
    <w:unhideWhenUsed/>
    <w:rsid w:val="005B2DED"/>
    <w:pPr>
      <w:tabs>
        <w:tab w:val="left" w:pos="480"/>
        <w:tab w:val="left" w:pos="960"/>
        <w:tab w:val="left" w:pos="1440"/>
        <w:tab w:val="left" w:pos="1920"/>
        <w:tab w:val="left" w:pos="2400"/>
        <w:tab w:val="left" w:pos="2880"/>
        <w:tab w:val="left" w:pos="3360"/>
        <w:tab w:val="left" w:pos="3840"/>
        <w:tab w:val="left" w:pos="4320"/>
      </w:tabs>
      <w:spacing w:line="480" w:lineRule="auto"/>
    </w:pPr>
    <w:rPr>
      <w:rFonts w:ascii="Consolas" w:hAnsi="Consolas"/>
    </w:rPr>
  </w:style>
  <w:style w:type="character" w:customStyle="1" w:styleId="MacroTextChar">
    <w:name w:val="Macro Text Char"/>
    <w:basedOn w:val="DefaultParagraphFont"/>
    <w:link w:val="MacroText"/>
    <w:semiHidden/>
    <w:rsid w:val="005B2DED"/>
    <w:rPr>
      <w:rFonts w:ascii="Consolas" w:hAnsi="Consolas"/>
    </w:rPr>
  </w:style>
  <w:style w:type="paragraph" w:styleId="TableofAuthorities">
    <w:name w:val="table of authorities"/>
    <w:basedOn w:val="Normal"/>
    <w:next w:val="Normal"/>
    <w:semiHidden/>
    <w:unhideWhenUsed/>
    <w:rsid w:val="005B2DED"/>
    <w:pPr>
      <w:ind w:left="240" w:hanging="240"/>
    </w:pPr>
  </w:style>
  <w:style w:type="character" w:styleId="PageNumber">
    <w:name w:val="page number"/>
    <w:basedOn w:val="DefaultParagraphFont"/>
    <w:semiHidden/>
    <w:unhideWhenUsed/>
    <w:rsid w:val="005B2DED"/>
  </w:style>
  <w:style w:type="character" w:styleId="LineNumber">
    <w:name w:val="line number"/>
    <w:basedOn w:val="DefaultParagraphFont"/>
    <w:semiHidden/>
    <w:unhideWhenUsed/>
    <w:rsid w:val="005B2DED"/>
  </w:style>
  <w:style w:type="character" w:styleId="CommentReference">
    <w:name w:val="annotation reference"/>
    <w:basedOn w:val="DefaultParagraphFont"/>
    <w:semiHidden/>
    <w:unhideWhenUsed/>
    <w:rsid w:val="005B2DED"/>
    <w:rPr>
      <w:sz w:val="16"/>
      <w:szCs w:val="16"/>
    </w:rPr>
  </w:style>
  <w:style w:type="paragraph" w:styleId="EnvelopeReturn">
    <w:name w:val="envelope return"/>
    <w:basedOn w:val="Normal"/>
    <w:semiHidden/>
    <w:unhideWhenUsed/>
    <w:rsid w:val="005B2DED"/>
    <w:pPr>
      <w:spacing w:line="240" w:lineRule="auto"/>
    </w:pPr>
    <w:rPr>
      <w:rFonts w:asciiTheme="majorHAnsi" w:eastAsiaTheme="majorEastAsia" w:hAnsiTheme="majorHAnsi" w:cstheme="majorBidi"/>
      <w:sz w:val="20"/>
      <w:szCs w:val="20"/>
    </w:rPr>
  </w:style>
  <w:style w:type="paragraph" w:styleId="EnvelopeAddress">
    <w:name w:val="envelope address"/>
    <w:basedOn w:val="Normal"/>
    <w:semiHidden/>
    <w:unhideWhenUsed/>
    <w:rsid w:val="005B2DED"/>
    <w:pPr>
      <w:framePr w:w="7920" w:h="1980" w:hRule="exact" w:hSpace="141" w:wrap="auto" w:hAnchor="page" w:xAlign="center" w:yAlign="bottom"/>
      <w:spacing w:line="240" w:lineRule="auto"/>
      <w:ind w:left="2880"/>
    </w:pPr>
    <w:rPr>
      <w:rFonts w:asciiTheme="majorHAnsi" w:eastAsiaTheme="majorEastAsia" w:hAnsiTheme="majorHAnsi" w:cstheme="majorBidi"/>
    </w:rPr>
  </w:style>
  <w:style w:type="paragraph" w:styleId="TableofFigures">
    <w:name w:val="table of figures"/>
    <w:basedOn w:val="Normal"/>
    <w:next w:val="Normal"/>
    <w:semiHidden/>
    <w:unhideWhenUsed/>
    <w:rsid w:val="005B2DED"/>
  </w:style>
  <w:style w:type="paragraph" w:styleId="Caption">
    <w:name w:val="caption"/>
    <w:basedOn w:val="Normal"/>
    <w:next w:val="Normal"/>
    <w:unhideWhenUsed/>
    <w:rsid w:val="005B2DED"/>
    <w:pPr>
      <w:spacing w:after="200" w:line="240" w:lineRule="auto"/>
    </w:pPr>
    <w:rPr>
      <w:i/>
      <w:iCs/>
      <w:color w:val="1F497D" w:themeColor="text2"/>
      <w:sz w:val="18"/>
      <w:szCs w:val="18"/>
    </w:rPr>
  </w:style>
  <w:style w:type="paragraph" w:styleId="Index1">
    <w:name w:val="index 1"/>
    <w:basedOn w:val="Normal"/>
    <w:next w:val="Normal"/>
    <w:autoRedefine/>
    <w:semiHidden/>
    <w:unhideWhenUsed/>
    <w:rsid w:val="005B2DED"/>
    <w:pPr>
      <w:spacing w:line="240" w:lineRule="auto"/>
      <w:ind w:left="240" w:hanging="240"/>
    </w:pPr>
  </w:style>
  <w:style w:type="paragraph" w:styleId="IndexHeading">
    <w:name w:val="index heading"/>
    <w:basedOn w:val="Normal"/>
    <w:next w:val="Index1"/>
    <w:semiHidden/>
    <w:unhideWhenUsed/>
    <w:rsid w:val="005B2DED"/>
    <w:rPr>
      <w:rFonts w:asciiTheme="majorHAnsi" w:eastAsiaTheme="majorEastAsia" w:hAnsiTheme="majorHAnsi" w:cstheme="majorBidi"/>
      <w:b/>
      <w:bCs/>
    </w:rPr>
  </w:style>
  <w:style w:type="paragraph" w:styleId="CommentText">
    <w:name w:val="annotation text"/>
    <w:basedOn w:val="Normal"/>
    <w:link w:val="CommentTextChar"/>
    <w:semiHidden/>
    <w:unhideWhenUsed/>
    <w:rsid w:val="005B2DED"/>
    <w:pPr>
      <w:spacing w:line="240" w:lineRule="auto"/>
    </w:pPr>
    <w:rPr>
      <w:sz w:val="20"/>
      <w:szCs w:val="20"/>
    </w:rPr>
  </w:style>
  <w:style w:type="character" w:customStyle="1" w:styleId="CommentTextChar">
    <w:name w:val="Comment Text Char"/>
    <w:basedOn w:val="DefaultParagraphFont"/>
    <w:link w:val="CommentText"/>
    <w:semiHidden/>
    <w:rsid w:val="005B2DED"/>
  </w:style>
  <w:style w:type="paragraph" w:styleId="TOC9">
    <w:name w:val="toc 9"/>
    <w:basedOn w:val="Normal"/>
    <w:next w:val="Normal"/>
    <w:autoRedefine/>
    <w:semiHidden/>
    <w:unhideWhenUsed/>
    <w:rsid w:val="005B2DED"/>
    <w:pPr>
      <w:spacing w:after="100"/>
      <w:ind w:left="1920"/>
    </w:pPr>
  </w:style>
  <w:style w:type="paragraph" w:styleId="TOC8">
    <w:name w:val="toc 8"/>
    <w:basedOn w:val="Normal"/>
    <w:next w:val="Normal"/>
    <w:autoRedefine/>
    <w:semiHidden/>
    <w:unhideWhenUsed/>
    <w:rsid w:val="005B2DED"/>
    <w:pPr>
      <w:spacing w:after="100"/>
      <w:ind w:left="1680"/>
    </w:pPr>
  </w:style>
  <w:style w:type="paragraph" w:styleId="TOC7">
    <w:name w:val="toc 7"/>
    <w:basedOn w:val="Normal"/>
    <w:next w:val="Normal"/>
    <w:autoRedefine/>
    <w:semiHidden/>
    <w:unhideWhenUsed/>
    <w:rsid w:val="005B2DED"/>
    <w:pPr>
      <w:spacing w:after="100"/>
      <w:ind w:left="1440"/>
    </w:pPr>
  </w:style>
  <w:style w:type="paragraph" w:styleId="TOC6">
    <w:name w:val="toc 6"/>
    <w:basedOn w:val="Normal"/>
    <w:next w:val="Normal"/>
    <w:autoRedefine/>
    <w:semiHidden/>
    <w:unhideWhenUsed/>
    <w:rsid w:val="005B2DED"/>
    <w:pPr>
      <w:spacing w:after="100"/>
      <w:ind w:left="1200"/>
    </w:pPr>
  </w:style>
  <w:style w:type="paragraph" w:styleId="TOC5">
    <w:name w:val="toc 5"/>
    <w:basedOn w:val="Normal"/>
    <w:next w:val="Normal"/>
    <w:autoRedefine/>
    <w:semiHidden/>
    <w:unhideWhenUsed/>
    <w:rsid w:val="005B2DED"/>
    <w:pPr>
      <w:spacing w:after="100"/>
      <w:ind w:left="960"/>
    </w:pPr>
  </w:style>
  <w:style w:type="paragraph" w:styleId="TOC4">
    <w:name w:val="toc 4"/>
    <w:basedOn w:val="Normal"/>
    <w:next w:val="Normal"/>
    <w:autoRedefine/>
    <w:semiHidden/>
    <w:unhideWhenUsed/>
    <w:rsid w:val="005B2DED"/>
    <w:pPr>
      <w:spacing w:after="100"/>
      <w:ind w:left="720"/>
    </w:pPr>
  </w:style>
  <w:style w:type="paragraph" w:styleId="TOC3">
    <w:name w:val="toc 3"/>
    <w:basedOn w:val="Normal"/>
    <w:next w:val="Normal"/>
    <w:autoRedefine/>
    <w:semiHidden/>
    <w:unhideWhenUsed/>
    <w:rsid w:val="005B2DED"/>
    <w:pPr>
      <w:spacing w:after="100"/>
      <w:ind w:left="480"/>
    </w:pPr>
  </w:style>
  <w:style w:type="paragraph" w:styleId="TOC2">
    <w:name w:val="toc 2"/>
    <w:basedOn w:val="Normal"/>
    <w:next w:val="Normal"/>
    <w:autoRedefine/>
    <w:semiHidden/>
    <w:unhideWhenUsed/>
    <w:rsid w:val="005B2DED"/>
    <w:pPr>
      <w:spacing w:after="100"/>
      <w:ind w:left="240"/>
    </w:pPr>
  </w:style>
  <w:style w:type="paragraph" w:styleId="TOC1">
    <w:name w:val="toc 1"/>
    <w:basedOn w:val="Normal"/>
    <w:next w:val="Normal"/>
    <w:autoRedefine/>
    <w:semiHidden/>
    <w:unhideWhenUsed/>
    <w:rsid w:val="005B2DED"/>
    <w:pPr>
      <w:spacing w:after="100"/>
    </w:pPr>
  </w:style>
  <w:style w:type="paragraph" w:styleId="Index9">
    <w:name w:val="index 9"/>
    <w:basedOn w:val="Normal"/>
    <w:next w:val="Normal"/>
    <w:autoRedefine/>
    <w:semiHidden/>
    <w:unhideWhenUsed/>
    <w:rsid w:val="005B2DED"/>
    <w:pPr>
      <w:spacing w:line="240" w:lineRule="auto"/>
      <w:ind w:left="2160" w:hanging="240"/>
    </w:pPr>
  </w:style>
  <w:style w:type="paragraph" w:styleId="Index8">
    <w:name w:val="index 8"/>
    <w:basedOn w:val="Normal"/>
    <w:next w:val="Normal"/>
    <w:autoRedefine/>
    <w:semiHidden/>
    <w:unhideWhenUsed/>
    <w:rsid w:val="005B2DED"/>
    <w:pPr>
      <w:spacing w:line="240" w:lineRule="auto"/>
      <w:ind w:left="1920" w:hanging="240"/>
    </w:pPr>
  </w:style>
  <w:style w:type="paragraph" w:styleId="Index7">
    <w:name w:val="index 7"/>
    <w:basedOn w:val="Normal"/>
    <w:next w:val="Normal"/>
    <w:autoRedefine/>
    <w:semiHidden/>
    <w:unhideWhenUsed/>
    <w:rsid w:val="005B2DED"/>
    <w:pPr>
      <w:spacing w:line="240" w:lineRule="auto"/>
      <w:ind w:left="1680" w:hanging="240"/>
    </w:pPr>
  </w:style>
  <w:style w:type="paragraph" w:styleId="Index6">
    <w:name w:val="index 6"/>
    <w:basedOn w:val="Normal"/>
    <w:next w:val="Normal"/>
    <w:autoRedefine/>
    <w:semiHidden/>
    <w:unhideWhenUsed/>
    <w:rsid w:val="005B2DED"/>
    <w:pPr>
      <w:spacing w:line="240" w:lineRule="auto"/>
      <w:ind w:left="1440" w:hanging="240"/>
    </w:pPr>
  </w:style>
  <w:style w:type="paragraph" w:styleId="Index5">
    <w:name w:val="index 5"/>
    <w:basedOn w:val="Normal"/>
    <w:next w:val="Normal"/>
    <w:autoRedefine/>
    <w:semiHidden/>
    <w:unhideWhenUsed/>
    <w:rsid w:val="005B2DED"/>
    <w:pPr>
      <w:spacing w:line="240" w:lineRule="auto"/>
      <w:ind w:left="1200" w:hanging="240"/>
    </w:pPr>
  </w:style>
  <w:style w:type="paragraph" w:styleId="Index4">
    <w:name w:val="index 4"/>
    <w:basedOn w:val="Normal"/>
    <w:next w:val="Normal"/>
    <w:autoRedefine/>
    <w:semiHidden/>
    <w:unhideWhenUsed/>
    <w:rsid w:val="005B2DED"/>
    <w:pPr>
      <w:spacing w:line="240" w:lineRule="auto"/>
      <w:ind w:left="960" w:hanging="240"/>
    </w:pPr>
  </w:style>
  <w:style w:type="paragraph" w:styleId="Index3">
    <w:name w:val="index 3"/>
    <w:basedOn w:val="Normal"/>
    <w:next w:val="Normal"/>
    <w:autoRedefine/>
    <w:semiHidden/>
    <w:unhideWhenUsed/>
    <w:rsid w:val="005B2DED"/>
    <w:pPr>
      <w:spacing w:line="240" w:lineRule="auto"/>
      <w:ind w:left="720" w:hanging="240"/>
    </w:pPr>
  </w:style>
  <w:style w:type="paragraph" w:styleId="Index2">
    <w:name w:val="index 2"/>
    <w:basedOn w:val="Normal"/>
    <w:next w:val="Normal"/>
    <w:autoRedefine/>
    <w:semiHidden/>
    <w:unhideWhenUsed/>
    <w:rsid w:val="005B2DED"/>
    <w:pPr>
      <w:spacing w:line="240" w:lineRule="auto"/>
      <w:ind w:left="480" w:hanging="240"/>
    </w:pPr>
  </w:style>
  <w:style w:type="paragraph" w:customStyle="1" w:styleId="msonormal0">
    <w:name w:val="msonormal"/>
    <w:basedOn w:val="Normal"/>
    <w:rsid w:val="00C3322C"/>
    <w:pPr>
      <w:spacing w:before="100" w:beforeAutospacing="1" w:after="100" w:afterAutospacing="1" w:line="240" w:lineRule="auto"/>
    </w:pPr>
    <w:rPr>
      <w:lang w:val="es-ES" w:eastAsia="es-ES"/>
    </w:rPr>
  </w:style>
  <w:style w:type="paragraph" w:customStyle="1" w:styleId="xl63">
    <w:name w:val="xl63"/>
    <w:basedOn w:val="Normal"/>
    <w:rsid w:val="00C3322C"/>
    <w:pPr>
      <w:spacing w:before="100" w:beforeAutospacing="1" w:after="100" w:afterAutospacing="1" w:line="240" w:lineRule="auto"/>
      <w:jc w:val="center"/>
      <w:textAlignment w:val="center"/>
    </w:pPr>
    <w:rPr>
      <w:lang w:val="es-ES" w:eastAsia="es-ES"/>
    </w:rPr>
  </w:style>
  <w:style w:type="paragraph" w:customStyle="1" w:styleId="xl64">
    <w:name w:val="xl64"/>
    <w:basedOn w:val="Normal"/>
    <w:rsid w:val="00C3322C"/>
    <w:pPr>
      <w:spacing w:before="100" w:beforeAutospacing="1" w:after="100" w:afterAutospacing="1" w:line="240" w:lineRule="auto"/>
      <w:jc w:val="center"/>
      <w:textAlignment w:val="center"/>
    </w:pPr>
    <w:rPr>
      <w:lang w:val="es-ES" w:eastAsia="es-ES"/>
    </w:rPr>
  </w:style>
  <w:style w:type="paragraph" w:customStyle="1" w:styleId="xl65">
    <w:name w:val="xl65"/>
    <w:basedOn w:val="Normal"/>
    <w:rsid w:val="00C3322C"/>
    <w:pPr>
      <w:spacing w:before="100" w:beforeAutospacing="1" w:after="100" w:afterAutospacing="1" w:line="240" w:lineRule="auto"/>
      <w:textAlignment w:val="center"/>
    </w:pPr>
    <w:rPr>
      <w:lang w:val="es-ES" w:eastAsia="es-ES"/>
    </w:rPr>
  </w:style>
  <w:style w:type="paragraph" w:customStyle="1" w:styleId="xl66">
    <w:name w:val="xl66"/>
    <w:basedOn w:val="Normal"/>
    <w:rsid w:val="00C3322C"/>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line="240" w:lineRule="auto"/>
      <w:textAlignment w:val="center"/>
    </w:pPr>
    <w:rPr>
      <w:sz w:val="20"/>
      <w:szCs w:val="20"/>
      <w:lang w:val="es-ES" w:eastAsia="es-ES"/>
    </w:rPr>
  </w:style>
  <w:style w:type="paragraph" w:customStyle="1" w:styleId="xl67">
    <w:name w:val="xl67"/>
    <w:basedOn w:val="Normal"/>
    <w:rsid w:val="00C3322C"/>
    <w:pPr>
      <w:pBdr>
        <w:top w:val="single" w:sz="4" w:space="0" w:color="auto"/>
        <w:left w:val="single" w:sz="4" w:space="0" w:color="auto"/>
        <w:bottom w:val="single" w:sz="4" w:space="0" w:color="auto"/>
        <w:right w:val="single" w:sz="4" w:space="0" w:color="auto"/>
      </w:pBdr>
      <w:shd w:val="clear" w:color="000000" w:fill="FBE2D5"/>
      <w:spacing w:before="100" w:beforeAutospacing="1" w:after="100" w:afterAutospacing="1" w:line="240" w:lineRule="auto"/>
      <w:jc w:val="center"/>
      <w:textAlignment w:val="center"/>
    </w:pPr>
    <w:rPr>
      <w:sz w:val="20"/>
      <w:szCs w:val="20"/>
      <w:lang w:val="es-ES" w:eastAsia="es-ES"/>
    </w:rPr>
  </w:style>
  <w:style w:type="paragraph" w:customStyle="1" w:styleId="xl68">
    <w:name w:val="xl68"/>
    <w:basedOn w:val="Normal"/>
    <w:rsid w:val="00C3322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 w:val="20"/>
      <w:szCs w:val="20"/>
      <w:lang w:val="es-ES" w:eastAsia="es-ES"/>
    </w:rPr>
  </w:style>
  <w:style w:type="paragraph" w:customStyle="1" w:styleId="xl69">
    <w:name w:val="xl69"/>
    <w:basedOn w:val="Normal"/>
    <w:rsid w:val="00C3322C"/>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sz w:val="20"/>
      <w:szCs w:val="20"/>
      <w:lang w:val="es-ES" w:eastAsia="es-ES"/>
    </w:rPr>
  </w:style>
  <w:style w:type="paragraph" w:customStyle="1" w:styleId="xl70">
    <w:name w:val="xl70"/>
    <w:basedOn w:val="Normal"/>
    <w:rsid w:val="00C3322C"/>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textAlignment w:val="center"/>
    </w:pPr>
    <w:rPr>
      <w:sz w:val="20"/>
      <w:szCs w:val="20"/>
      <w:lang w:val="es-ES" w:eastAsia="es-ES"/>
    </w:rPr>
  </w:style>
  <w:style w:type="paragraph" w:customStyle="1" w:styleId="xl71">
    <w:name w:val="xl71"/>
    <w:basedOn w:val="Normal"/>
    <w:rsid w:val="00C3322C"/>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jc w:val="center"/>
      <w:textAlignment w:val="center"/>
    </w:pPr>
    <w:rPr>
      <w:sz w:val="20"/>
      <w:szCs w:val="20"/>
      <w:lang w:val="es-ES" w:eastAsia="es-ES"/>
    </w:rPr>
  </w:style>
  <w:style w:type="paragraph" w:customStyle="1" w:styleId="xl72">
    <w:name w:val="xl72"/>
    <w:basedOn w:val="Normal"/>
    <w:rsid w:val="00C3322C"/>
    <w:pPr>
      <w:pBdr>
        <w:top w:val="single" w:sz="4" w:space="0" w:color="auto"/>
        <w:left w:val="single" w:sz="4" w:space="0" w:color="auto"/>
        <w:bottom w:val="single" w:sz="4" w:space="0" w:color="auto"/>
        <w:right w:val="single" w:sz="4" w:space="0" w:color="auto"/>
      </w:pBdr>
      <w:shd w:val="clear" w:color="000000" w:fill="DAF2D0"/>
      <w:spacing w:before="100" w:beforeAutospacing="1" w:after="100" w:afterAutospacing="1" w:line="240" w:lineRule="auto"/>
      <w:textAlignment w:val="center"/>
    </w:pPr>
    <w:rPr>
      <w:sz w:val="20"/>
      <w:szCs w:val="20"/>
      <w:lang w:val="es-ES" w:eastAsia="es-ES"/>
    </w:rPr>
  </w:style>
  <w:style w:type="paragraph" w:customStyle="1" w:styleId="xl73">
    <w:name w:val="xl73"/>
    <w:basedOn w:val="Normal"/>
    <w:rsid w:val="00C3322C"/>
    <w:pPr>
      <w:pBdr>
        <w:top w:val="single" w:sz="4" w:space="0" w:color="auto"/>
        <w:left w:val="single" w:sz="4" w:space="0" w:color="auto"/>
        <w:bottom w:val="single" w:sz="4" w:space="0" w:color="auto"/>
        <w:right w:val="single" w:sz="4" w:space="0" w:color="auto"/>
      </w:pBdr>
      <w:shd w:val="clear" w:color="000000" w:fill="DAF2D0"/>
      <w:spacing w:before="100" w:beforeAutospacing="1" w:after="100" w:afterAutospacing="1" w:line="240" w:lineRule="auto"/>
      <w:jc w:val="center"/>
      <w:textAlignment w:val="center"/>
    </w:pPr>
    <w:rPr>
      <w:sz w:val="20"/>
      <w:szCs w:val="20"/>
      <w:lang w:val="es-ES" w:eastAsia="es-ES"/>
    </w:rPr>
  </w:style>
  <w:style w:type="paragraph" w:customStyle="1" w:styleId="xl74">
    <w:name w:val="xl74"/>
    <w:basedOn w:val="Normal"/>
    <w:rsid w:val="00C3322C"/>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textAlignment w:val="center"/>
    </w:pPr>
    <w:rPr>
      <w:sz w:val="20"/>
      <w:szCs w:val="20"/>
      <w:lang w:val="es-ES" w:eastAsia="es-ES"/>
    </w:rPr>
  </w:style>
  <w:style w:type="paragraph" w:customStyle="1" w:styleId="xl75">
    <w:name w:val="xl75"/>
    <w:basedOn w:val="Normal"/>
    <w:rsid w:val="00C3322C"/>
    <w:pPr>
      <w:pBdr>
        <w:top w:val="single" w:sz="4"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jc w:val="center"/>
      <w:textAlignment w:val="center"/>
    </w:pPr>
    <w:rPr>
      <w:sz w:val="20"/>
      <w:szCs w:val="20"/>
      <w:lang w:val="es-ES" w:eastAsia="es-ES"/>
    </w:rPr>
  </w:style>
  <w:style w:type="paragraph" w:customStyle="1" w:styleId="xl76">
    <w:name w:val="xl76"/>
    <w:basedOn w:val="Normal"/>
    <w:rsid w:val="00C3322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sz w:val="20"/>
      <w:szCs w:val="20"/>
      <w:lang w:val="es-ES" w:eastAsia="es-ES"/>
    </w:rPr>
  </w:style>
  <w:style w:type="paragraph" w:customStyle="1" w:styleId="xl77">
    <w:name w:val="xl77"/>
    <w:basedOn w:val="Normal"/>
    <w:rsid w:val="00C3322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sz w:val="20"/>
      <w:szCs w:val="20"/>
      <w:lang w:val="es-ES" w:eastAsia="es-ES"/>
    </w:rPr>
  </w:style>
  <w:style w:type="paragraph" w:customStyle="1" w:styleId="xl78">
    <w:name w:val="xl78"/>
    <w:basedOn w:val="Normal"/>
    <w:rsid w:val="00C3322C"/>
    <w:pPr>
      <w:pBdr>
        <w:top w:val="single" w:sz="8" w:space="0" w:color="auto"/>
        <w:left w:val="single" w:sz="4" w:space="0" w:color="auto"/>
        <w:bottom w:val="single" w:sz="4" w:space="0" w:color="auto"/>
        <w:right w:val="single" w:sz="4" w:space="0" w:color="auto"/>
      </w:pBdr>
      <w:shd w:val="clear" w:color="000000" w:fill="FBE2D5"/>
      <w:spacing w:before="100" w:beforeAutospacing="1" w:after="100" w:afterAutospacing="1" w:line="240" w:lineRule="auto"/>
      <w:textAlignment w:val="center"/>
    </w:pPr>
    <w:rPr>
      <w:sz w:val="20"/>
      <w:szCs w:val="20"/>
      <w:lang w:val="es-ES" w:eastAsia="es-ES"/>
    </w:rPr>
  </w:style>
  <w:style w:type="paragraph" w:customStyle="1" w:styleId="xl79">
    <w:name w:val="xl79"/>
    <w:basedOn w:val="Normal"/>
    <w:rsid w:val="00C3322C"/>
    <w:pPr>
      <w:pBdr>
        <w:top w:val="single" w:sz="8" w:space="0" w:color="auto"/>
        <w:left w:val="single" w:sz="4" w:space="0" w:color="auto"/>
        <w:bottom w:val="single" w:sz="4" w:space="0" w:color="auto"/>
        <w:right w:val="single" w:sz="4" w:space="0" w:color="auto"/>
      </w:pBdr>
      <w:shd w:val="clear" w:color="000000" w:fill="FBE2D5"/>
      <w:spacing w:before="100" w:beforeAutospacing="1" w:after="100" w:afterAutospacing="1" w:line="240" w:lineRule="auto"/>
      <w:jc w:val="center"/>
      <w:textAlignment w:val="center"/>
    </w:pPr>
    <w:rPr>
      <w:sz w:val="20"/>
      <w:szCs w:val="20"/>
      <w:lang w:val="es-ES" w:eastAsia="es-ES"/>
    </w:rPr>
  </w:style>
  <w:style w:type="paragraph" w:customStyle="1" w:styleId="xl80">
    <w:name w:val="xl80"/>
    <w:basedOn w:val="Normal"/>
    <w:rsid w:val="00C3322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sz w:val="20"/>
      <w:szCs w:val="20"/>
      <w:lang w:val="es-ES" w:eastAsia="es-ES"/>
    </w:rPr>
  </w:style>
  <w:style w:type="paragraph" w:customStyle="1" w:styleId="xl81">
    <w:name w:val="xl81"/>
    <w:basedOn w:val="Normal"/>
    <w:rsid w:val="00C3322C"/>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sz w:val="20"/>
      <w:szCs w:val="20"/>
      <w:lang w:val="es-ES" w:eastAsia="es-ES"/>
    </w:rPr>
  </w:style>
  <w:style w:type="paragraph" w:customStyle="1" w:styleId="xl82">
    <w:name w:val="xl82"/>
    <w:basedOn w:val="Normal"/>
    <w:rsid w:val="00C3322C"/>
    <w:pPr>
      <w:pBdr>
        <w:top w:val="single" w:sz="8" w:space="0" w:color="auto"/>
        <w:left w:val="single" w:sz="4" w:space="0" w:color="auto"/>
        <w:bottom w:val="single" w:sz="4" w:space="0" w:color="auto"/>
        <w:right w:val="single" w:sz="8" w:space="0" w:color="auto"/>
      </w:pBdr>
      <w:shd w:val="clear" w:color="000000" w:fill="FBE2D5"/>
      <w:spacing w:before="100" w:beforeAutospacing="1" w:after="100" w:afterAutospacing="1" w:line="240" w:lineRule="auto"/>
      <w:jc w:val="center"/>
      <w:textAlignment w:val="center"/>
    </w:pPr>
    <w:rPr>
      <w:sz w:val="20"/>
      <w:szCs w:val="20"/>
      <w:lang w:val="es-ES" w:eastAsia="es-ES"/>
    </w:rPr>
  </w:style>
  <w:style w:type="paragraph" w:customStyle="1" w:styleId="xl83">
    <w:name w:val="xl83"/>
    <w:basedOn w:val="Normal"/>
    <w:rsid w:val="00C3322C"/>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sz w:val="20"/>
      <w:szCs w:val="20"/>
      <w:lang w:val="es-ES" w:eastAsia="es-ES"/>
    </w:rPr>
  </w:style>
  <w:style w:type="paragraph" w:customStyle="1" w:styleId="xl84">
    <w:name w:val="xl84"/>
    <w:basedOn w:val="Normal"/>
    <w:rsid w:val="00C3322C"/>
    <w:pPr>
      <w:pBdr>
        <w:top w:val="single" w:sz="4" w:space="0" w:color="auto"/>
        <w:left w:val="single" w:sz="4" w:space="0" w:color="auto"/>
        <w:bottom w:val="single" w:sz="4" w:space="0" w:color="auto"/>
        <w:right w:val="single" w:sz="8" w:space="0" w:color="auto"/>
      </w:pBdr>
      <w:shd w:val="clear" w:color="000000" w:fill="FBE2D5"/>
      <w:spacing w:before="100" w:beforeAutospacing="1" w:after="100" w:afterAutospacing="1" w:line="240" w:lineRule="auto"/>
      <w:jc w:val="center"/>
      <w:textAlignment w:val="center"/>
    </w:pPr>
    <w:rPr>
      <w:sz w:val="20"/>
      <w:szCs w:val="20"/>
      <w:lang w:val="es-ES" w:eastAsia="es-ES"/>
    </w:rPr>
  </w:style>
  <w:style w:type="paragraph" w:customStyle="1" w:styleId="xl85">
    <w:name w:val="xl85"/>
    <w:basedOn w:val="Normal"/>
    <w:rsid w:val="00C3322C"/>
    <w:pPr>
      <w:pBdr>
        <w:top w:val="single" w:sz="4" w:space="0" w:color="auto"/>
        <w:left w:val="single" w:sz="4" w:space="0" w:color="auto"/>
        <w:bottom w:val="single" w:sz="8" w:space="0" w:color="auto"/>
        <w:right w:val="single" w:sz="4" w:space="0" w:color="auto"/>
      </w:pBdr>
      <w:shd w:val="clear" w:color="000000" w:fill="FBE2D5"/>
      <w:spacing w:before="100" w:beforeAutospacing="1" w:after="100" w:afterAutospacing="1" w:line="240" w:lineRule="auto"/>
      <w:textAlignment w:val="center"/>
    </w:pPr>
    <w:rPr>
      <w:sz w:val="20"/>
      <w:szCs w:val="20"/>
      <w:lang w:val="es-ES" w:eastAsia="es-ES"/>
    </w:rPr>
  </w:style>
  <w:style w:type="paragraph" w:customStyle="1" w:styleId="xl86">
    <w:name w:val="xl86"/>
    <w:basedOn w:val="Normal"/>
    <w:rsid w:val="00C3322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sz w:val="20"/>
      <w:szCs w:val="20"/>
      <w:lang w:val="es-ES" w:eastAsia="es-ES"/>
    </w:rPr>
  </w:style>
  <w:style w:type="paragraph" w:customStyle="1" w:styleId="xl87">
    <w:name w:val="xl87"/>
    <w:basedOn w:val="Normal"/>
    <w:rsid w:val="00C3322C"/>
    <w:pPr>
      <w:pBdr>
        <w:top w:val="single" w:sz="4" w:space="0" w:color="auto"/>
        <w:left w:val="single" w:sz="4" w:space="0" w:color="auto"/>
        <w:bottom w:val="single" w:sz="8" w:space="0" w:color="auto"/>
        <w:right w:val="single" w:sz="4" w:space="0" w:color="auto"/>
      </w:pBdr>
      <w:shd w:val="clear" w:color="000000" w:fill="FBE2D5"/>
      <w:spacing w:before="100" w:beforeAutospacing="1" w:after="100" w:afterAutospacing="1" w:line="240" w:lineRule="auto"/>
      <w:jc w:val="center"/>
      <w:textAlignment w:val="center"/>
    </w:pPr>
    <w:rPr>
      <w:sz w:val="20"/>
      <w:szCs w:val="20"/>
      <w:lang w:val="es-ES" w:eastAsia="es-ES"/>
    </w:rPr>
  </w:style>
  <w:style w:type="paragraph" w:customStyle="1" w:styleId="xl88">
    <w:name w:val="xl88"/>
    <w:basedOn w:val="Normal"/>
    <w:rsid w:val="00C3322C"/>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sz w:val="20"/>
      <w:szCs w:val="20"/>
      <w:lang w:val="es-ES" w:eastAsia="es-ES"/>
    </w:rPr>
  </w:style>
  <w:style w:type="paragraph" w:customStyle="1" w:styleId="xl89">
    <w:name w:val="xl89"/>
    <w:basedOn w:val="Normal"/>
    <w:rsid w:val="00C3322C"/>
    <w:pPr>
      <w:pBdr>
        <w:top w:val="single" w:sz="4" w:space="0" w:color="auto"/>
        <w:left w:val="single" w:sz="4" w:space="0" w:color="auto"/>
        <w:bottom w:val="single" w:sz="8" w:space="0" w:color="auto"/>
        <w:right w:val="single" w:sz="8" w:space="0" w:color="auto"/>
      </w:pBdr>
      <w:shd w:val="clear" w:color="000000" w:fill="FBE2D5"/>
      <w:spacing w:before="100" w:beforeAutospacing="1" w:after="100" w:afterAutospacing="1" w:line="240" w:lineRule="auto"/>
      <w:jc w:val="center"/>
      <w:textAlignment w:val="center"/>
    </w:pPr>
    <w:rPr>
      <w:sz w:val="20"/>
      <w:szCs w:val="20"/>
      <w:lang w:val="es-ES" w:eastAsia="es-ES"/>
    </w:rPr>
  </w:style>
  <w:style w:type="paragraph" w:customStyle="1" w:styleId="xl90">
    <w:name w:val="xl90"/>
    <w:basedOn w:val="Normal"/>
    <w:rsid w:val="00C3322C"/>
    <w:pPr>
      <w:pBdr>
        <w:top w:val="single" w:sz="8" w:space="0" w:color="auto"/>
      </w:pBdr>
      <w:spacing w:before="100" w:beforeAutospacing="1" w:after="100" w:afterAutospacing="1" w:line="240" w:lineRule="auto"/>
      <w:textAlignment w:val="center"/>
    </w:pPr>
    <w:rPr>
      <w:lang w:val="es-ES" w:eastAsia="es-ES"/>
    </w:rPr>
  </w:style>
  <w:style w:type="paragraph" w:customStyle="1" w:styleId="xl91">
    <w:name w:val="xl91"/>
    <w:basedOn w:val="Normal"/>
    <w:rsid w:val="00C3322C"/>
    <w:pPr>
      <w:pBdr>
        <w:top w:val="single" w:sz="8" w:space="0" w:color="auto"/>
      </w:pBdr>
      <w:spacing w:before="100" w:beforeAutospacing="1" w:after="100" w:afterAutospacing="1" w:line="240" w:lineRule="auto"/>
      <w:jc w:val="center"/>
      <w:textAlignment w:val="center"/>
    </w:pPr>
    <w:rPr>
      <w:lang w:val="es-ES" w:eastAsia="es-ES"/>
    </w:rPr>
  </w:style>
  <w:style w:type="paragraph" w:customStyle="1" w:styleId="xl92">
    <w:name w:val="xl92"/>
    <w:basedOn w:val="Normal"/>
    <w:rsid w:val="00C3322C"/>
    <w:pPr>
      <w:pBdr>
        <w:top w:val="single" w:sz="8" w:space="0" w:color="auto"/>
      </w:pBdr>
      <w:spacing w:before="100" w:beforeAutospacing="1" w:after="100" w:afterAutospacing="1" w:line="240" w:lineRule="auto"/>
      <w:textAlignment w:val="center"/>
    </w:pPr>
    <w:rPr>
      <w:lang w:val="es-ES" w:eastAsia="es-ES"/>
    </w:rPr>
  </w:style>
  <w:style w:type="paragraph" w:customStyle="1" w:styleId="xl93">
    <w:name w:val="xl93"/>
    <w:basedOn w:val="Normal"/>
    <w:rsid w:val="00C3322C"/>
    <w:pPr>
      <w:pBdr>
        <w:top w:val="single" w:sz="8" w:space="0" w:color="auto"/>
        <w:right w:val="single" w:sz="8" w:space="0" w:color="auto"/>
      </w:pBdr>
      <w:spacing w:before="100" w:beforeAutospacing="1" w:after="100" w:afterAutospacing="1" w:line="240" w:lineRule="auto"/>
      <w:textAlignment w:val="center"/>
    </w:pPr>
    <w:rPr>
      <w:lang w:val="es-ES" w:eastAsia="es-ES"/>
    </w:rPr>
  </w:style>
  <w:style w:type="paragraph" w:customStyle="1" w:styleId="xl94">
    <w:name w:val="xl94"/>
    <w:basedOn w:val="Normal"/>
    <w:rsid w:val="00C3322C"/>
    <w:pPr>
      <w:pBdr>
        <w:right w:val="single" w:sz="8" w:space="0" w:color="auto"/>
      </w:pBdr>
      <w:spacing w:before="100" w:beforeAutospacing="1" w:after="100" w:afterAutospacing="1" w:line="240" w:lineRule="auto"/>
      <w:jc w:val="center"/>
      <w:textAlignment w:val="center"/>
    </w:pPr>
    <w:rPr>
      <w:lang w:val="es-ES" w:eastAsia="es-ES"/>
    </w:rPr>
  </w:style>
  <w:style w:type="paragraph" w:customStyle="1" w:styleId="xl95">
    <w:name w:val="xl95"/>
    <w:basedOn w:val="Normal"/>
    <w:rsid w:val="00C3322C"/>
    <w:pPr>
      <w:pBdr>
        <w:top w:val="single" w:sz="8"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textAlignment w:val="center"/>
    </w:pPr>
    <w:rPr>
      <w:sz w:val="20"/>
      <w:szCs w:val="20"/>
      <w:lang w:val="es-ES" w:eastAsia="es-ES"/>
    </w:rPr>
  </w:style>
  <w:style w:type="paragraph" w:customStyle="1" w:styleId="xl96">
    <w:name w:val="xl96"/>
    <w:basedOn w:val="Normal"/>
    <w:rsid w:val="00C3322C"/>
    <w:pPr>
      <w:pBdr>
        <w:top w:val="single" w:sz="8"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jc w:val="center"/>
      <w:textAlignment w:val="center"/>
    </w:pPr>
    <w:rPr>
      <w:sz w:val="20"/>
      <w:szCs w:val="20"/>
      <w:lang w:val="es-ES" w:eastAsia="es-ES"/>
    </w:rPr>
  </w:style>
  <w:style w:type="paragraph" w:customStyle="1" w:styleId="xl97">
    <w:name w:val="xl97"/>
    <w:basedOn w:val="Normal"/>
    <w:rsid w:val="00C3322C"/>
    <w:pPr>
      <w:pBdr>
        <w:top w:val="single" w:sz="8" w:space="0" w:color="auto"/>
        <w:left w:val="single" w:sz="4" w:space="0" w:color="auto"/>
        <w:bottom w:val="single" w:sz="4" w:space="0" w:color="auto"/>
        <w:right w:val="single" w:sz="8" w:space="0" w:color="auto"/>
      </w:pBdr>
      <w:shd w:val="clear" w:color="000000" w:fill="DAE9F8"/>
      <w:spacing w:before="100" w:beforeAutospacing="1" w:after="100" w:afterAutospacing="1" w:line="240" w:lineRule="auto"/>
      <w:jc w:val="center"/>
      <w:textAlignment w:val="center"/>
    </w:pPr>
    <w:rPr>
      <w:sz w:val="20"/>
      <w:szCs w:val="20"/>
      <w:lang w:val="es-ES" w:eastAsia="es-ES"/>
    </w:rPr>
  </w:style>
  <w:style w:type="paragraph" w:customStyle="1" w:styleId="xl98">
    <w:name w:val="xl98"/>
    <w:basedOn w:val="Normal"/>
    <w:rsid w:val="00C3322C"/>
    <w:pPr>
      <w:pBdr>
        <w:top w:val="single" w:sz="4" w:space="0" w:color="auto"/>
        <w:left w:val="single" w:sz="4" w:space="0" w:color="auto"/>
        <w:bottom w:val="single" w:sz="8" w:space="0" w:color="auto"/>
        <w:right w:val="single" w:sz="4" w:space="0" w:color="auto"/>
      </w:pBdr>
      <w:shd w:val="clear" w:color="000000" w:fill="DAE9F8"/>
      <w:spacing w:before="100" w:beforeAutospacing="1" w:after="100" w:afterAutospacing="1" w:line="240" w:lineRule="auto"/>
      <w:textAlignment w:val="center"/>
    </w:pPr>
    <w:rPr>
      <w:sz w:val="20"/>
      <w:szCs w:val="20"/>
      <w:lang w:val="es-ES" w:eastAsia="es-ES"/>
    </w:rPr>
  </w:style>
  <w:style w:type="paragraph" w:customStyle="1" w:styleId="xl99">
    <w:name w:val="xl99"/>
    <w:basedOn w:val="Normal"/>
    <w:rsid w:val="00C3322C"/>
    <w:pPr>
      <w:pBdr>
        <w:top w:val="single" w:sz="4" w:space="0" w:color="auto"/>
        <w:left w:val="single" w:sz="4" w:space="0" w:color="auto"/>
        <w:bottom w:val="single" w:sz="8" w:space="0" w:color="auto"/>
        <w:right w:val="single" w:sz="4" w:space="0" w:color="auto"/>
      </w:pBdr>
      <w:shd w:val="clear" w:color="000000" w:fill="DAE9F8"/>
      <w:spacing w:before="100" w:beforeAutospacing="1" w:after="100" w:afterAutospacing="1" w:line="240" w:lineRule="auto"/>
      <w:jc w:val="center"/>
      <w:textAlignment w:val="center"/>
    </w:pPr>
    <w:rPr>
      <w:sz w:val="20"/>
      <w:szCs w:val="20"/>
      <w:lang w:val="es-ES" w:eastAsia="es-ES"/>
    </w:rPr>
  </w:style>
  <w:style w:type="paragraph" w:customStyle="1" w:styleId="xl100">
    <w:name w:val="xl100"/>
    <w:basedOn w:val="Normal"/>
    <w:rsid w:val="00C3322C"/>
    <w:pPr>
      <w:pBdr>
        <w:top w:val="single" w:sz="4" w:space="0" w:color="auto"/>
        <w:left w:val="single" w:sz="4" w:space="0" w:color="auto"/>
        <w:bottom w:val="single" w:sz="8" w:space="0" w:color="auto"/>
        <w:right w:val="single" w:sz="8" w:space="0" w:color="auto"/>
      </w:pBdr>
      <w:spacing w:before="100" w:beforeAutospacing="1" w:after="100" w:afterAutospacing="1" w:line="240" w:lineRule="auto"/>
    </w:pPr>
    <w:rPr>
      <w:sz w:val="20"/>
      <w:szCs w:val="20"/>
      <w:lang w:val="es-ES" w:eastAsia="es-ES"/>
    </w:rPr>
  </w:style>
  <w:style w:type="paragraph" w:customStyle="1" w:styleId="xl101">
    <w:name w:val="xl101"/>
    <w:basedOn w:val="Normal"/>
    <w:rsid w:val="00C3322C"/>
    <w:pPr>
      <w:pBdr>
        <w:top w:val="single" w:sz="8" w:space="0" w:color="auto"/>
        <w:left w:val="single" w:sz="4" w:space="0" w:color="auto"/>
        <w:bottom w:val="single" w:sz="4" w:space="0" w:color="auto"/>
        <w:right w:val="single" w:sz="4" w:space="0" w:color="auto"/>
      </w:pBdr>
      <w:shd w:val="clear" w:color="000000" w:fill="DAF2D0"/>
      <w:spacing w:before="100" w:beforeAutospacing="1" w:after="100" w:afterAutospacing="1" w:line="240" w:lineRule="auto"/>
      <w:textAlignment w:val="center"/>
    </w:pPr>
    <w:rPr>
      <w:sz w:val="20"/>
      <w:szCs w:val="20"/>
      <w:lang w:val="es-ES" w:eastAsia="es-ES"/>
    </w:rPr>
  </w:style>
  <w:style w:type="paragraph" w:customStyle="1" w:styleId="xl102">
    <w:name w:val="xl102"/>
    <w:basedOn w:val="Normal"/>
    <w:rsid w:val="00C3322C"/>
    <w:pPr>
      <w:pBdr>
        <w:top w:val="single" w:sz="8" w:space="0" w:color="auto"/>
        <w:left w:val="single" w:sz="4" w:space="0" w:color="auto"/>
        <w:bottom w:val="single" w:sz="4" w:space="0" w:color="auto"/>
        <w:right w:val="single" w:sz="4" w:space="0" w:color="auto"/>
      </w:pBdr>
      <w:shd w:val="clear" w:color="000000" w:fill="DAF2D0"/>
      <w:spacing w:before="100" w:beforeAutospacing="1" w:after="100" w:afterAutospacing="1" w:line="240" w:lineRule="auto"/>
      <w:jc w:val="center"/>
      <w:textAlignment w:val="center"/>
    </w:pPr>
    <w:rPr>
      <w:sz w:val="20"/>
      <w:szCs w:val="20"/>
      <w:lang w:val="es-ES" w:eastAsia="es-ES"/>
    </w:rPr>
  </w:style>
  <w:style w:type="paragraph" w:customStyle="1" w:styleId="xl103">
    <w:name w:val="xl103"/>
    <w:basedOn w:val="Normal"/>
    <w:rsid w:val="00C3322C"/>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sz w:val="20"/>
      <w:szCs w:val="20"/>
      <w:lang w:val="es-ES" w:eastAsia="es-ES"/>
    </w:rPr>
  </w:style>
  <w:style w:type="paragraph" w:customStyle="1" w:styleId="xl104">
    <w:name w:val="xl104"/>
    <w:basedOn w:val="Normal"/>
    <w:rsid w:val="00C3322C"/>
    <w:pPr>
      <w:pBdr>
        <w:top w:val="single" w:sz="4" w:space="0" w:color="auto"/>
        <w:left w:val="single" w:sz="4" w:space="0" w:color="auto"/>
        <w:bottom w:val="single" w:sz="4" w:space="0" w:color="auto"/>
        <w:right w:val="single" w:sz="8" w:space="0" w:color="auto"/>
      </w:pBdr>
      <w:shd w:val="clear" w:color="000000" w:fill="DAF2D0"/>
      <w:spacing w:before="100" w:beforeAutospacing="1" w:after="100" w:afterAutospacing="1" w:line="240" w:lineRule="auto"/>
      <w:jc w:val="center"/>
      <w:textAlignment w:val="center"/>
    </w:pPr>
    <w:rPr>
      <w:sz w:val="20"/>
      <w:szCs w:val="20"/>
      <w:lang w:val="es-ES" w:eastAsia="es-ES"/>
    </w:rPr>
  </w:style>
  <w:style w:type="paragraph" w:customStyle="1" w:styleId="xl105">
    <w:name w:val="xl105"/>
    <w:basedOn w:val="Normal"/>
    <w:rsid w:val="00C3322C"/>
    <w:pPr>
      <w:pBdr>
        <w:top w:val="single" w:sz="4" w:space="0" w:color="auto"/>
        <w:left w:val="single" w:sz="4" w:space="0" w:color="auto"/>
        <w:bottom w:val="single" w:sz="8" w:space="0" w:color="auto"/>
        <w:right w:val="single" w:sz="4" w:space="0" w:color="auto"/>
      </w:pBdr>
      <w:shd w:val="clear" w:color="000000" w:fill="DAF2D0"/>
      <w:spacing w:before="100" w:beforeAutospacing="1" w:after="100" w:afterAutospacing="1" w:line="240" w:lineRule="auto"/>
      <w:textAlignment w:val="center"/>
    </w:pPr>
    <w:rPr>
      <w:sz w:val="20"/>
      <w:szCs w:val="20"/>
      <w:lang w:val="es-ES" w:eastAsia="es-ES"/>
    </w:rPr>
  </w:style>
  <w:style w:type="paragraph" w:customStyle="1" w:styleId="xl106">
    <w:name w:val="xl106"/>
    <w:basedOn w:val="Normal"/>
    <w:rsid w:val="00C3322C"/>
    <w:pPr>
      <w:pBdr>
        <w:top w:val="single" w:sz="4" w:space="0" w:color="auto"/>
        <w:left w:val="single" w:sz="4" w:space="0" w:color="auto"/>
        <w:bottom w:val="single" w:sz="8" w:space="0" w:color="auto"/>
        <w:right w:val="single" w:sz="4" w:space="0" w:color="auto"/>
      </w:pBdr>
      <w:shd w:val="clear" w:color="000000" w:fill="DAF2D0"/>
      <w:spacing w:before="100" w:beforeAutospacing="1" w:after="100" w:afterAutospacing="1" w:line="240" w:lineRule="auto"/>
      <w:jc w:val="center"/>
      <w:textAlignment w:val="center"/>
    </w:pPr>
    <w:rPr>
      <w:sz w:val="20"/>
      <w:szCs w:val="20"/>
      <w:lang w:val="es-ES" w:eastAsia="es-ES"/>
    </w:rPr>
  </w:style>
  <w:style w:type="paragraph" w:customStyle="1" w:styleId="xl107">
    <w:name w:val="xl107"/>
    <w:basedOn w:val="Normal"/>
    <w:rsid w:val="00C3322C"/>
    <w:pPr>
      <w:pBdr>
        <w:top w:val="single" w:sz="8"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textAlignment w:val="center"/>
    </w:pPr>
    <w:rPr>
      <w:sz w:val="20"/>
      <w:szCs w:val="20"/>
      <w:lang w:val="es-ES" w:eastAsia="es-ES"/>
    </w:rPr>
  </w:style>
  <w:style w:type="paragraph" w:customStyle="1" w:styleId="xl108">
    <w:name w:val="xl108"/>
    <w:basedOn w:val="Normal"/>
    <w:rsid w:val="00C3322C"/>
    <w:pPr>
      <w:pBdr>
        <w:top w:val="single" w:sz="8" w:space="0" w:color="auto"/>
        <w:left w:val="single" w:sz="4" w:space="0" w:color="auto"/>
        <w:bottom w:val="single" w:sz="4" w:space="0" w:color="auto"/>
        <w:right w:val="single" w:sz="4" w:space="0" w:color="auto"/>
      </w:pBdr>
      <w:shd w:val="clear" w:color="000000" w:fill="FFFFCC"/>
      <w:spacing w:before="100" w:beforeAutospacing="1" w:after="100" w:afterAutospacing="1" w:line="240" w:lineRule="auto"/>
      <w:jc w:val="center"/>
      <w:textAlignment w:val="center"/>
    </w:pPr>
    <w:rPr>
      <w:sz w:val="20"/>
      <w:szCs w:val="20"/>
      <w:lang w:val="es-ES" w:eastAsia="es-ES"/>
    </w:rPr>
  </w:style>
  <w:style w:type="paragraph" w:customStyle="1" w:styleId="xl109">
    <w:name w:val="xl109"/>
    <w:basedOn w:val="Normal"/>
    <w:rsid w:val="00C3322C"/>
    <w:pPr>
      <w:pBdr>
        <w:top w:val="single" w:sz="8" w:space="0" w:color="auto"/>
        <w:left w:val="single" w:sz="4" w:space="0" w:color="auto"/>
        <w:bottom w:val="single" w:sz="4" w:space="0" w:color="auto"/>
        <w:right w:val="single" w:sz="8" w:space="0" w:color="auto"/>
      </w:pBdr>
      <w:shd w:val="clear" w:color="000000" w:fill="FFFFCC"/>
      <w:spacing w:before="100" w:beforeAutospacing="1" w:after="100" w:afterAutospacing="1" w:line="240" w:lineRule="auto"/>
      <w:jc w:val="center"/>
      <w:textAlignment w:val="center"/>
    </w:pPr>
    <w:rPr>
      <w:sz w:val="20"/>
      <w:szCs w:val="20"/>
      <w:lang w:val="es-ES" w:eastAsia="es-ES"/>
    </w:rPr>
  </w:style>
  <w:style w:type="paragraph" w:customStyle="1" w:styleId="xl110">
    <w:name w:val="xl110"/>
    <w:basedOn w:val="Normal"/>
    <w:rsid w:val="00C3322C"/>
    <w:pPr>
      <w:pBdr>
        <w:top w:val="single" w:sz="4" w:space="0" w:color="auto"/>
        <w:left w:val="single" w:sz="4" w:space="0" w:color="auto"/>
        <w:bottom w:val="single" w:sz="8" w:space="0" w:color="auto"/>
        <w:right w:val="single" w:sz="4" w:space="0" w:color="auto"/>
      </w:pBdr>
      <w:shd w:val="clear" w:color="000000" w:fill="FFFFCC"/>
      <w:spacing w:before="100" w:beforeAutospacing="1" w:after="100" w:afterAutospacing="1" w:line="240" w:lineRule="auto"/>
      <w:textAlignment w:val="center"/>
    </w:pPr>
    <w:rPr>
      <w:sz w:val="20"/>
      <w:szCs w:val="20"/>
      <w:lang w:val="es-ES" w:eastAsia="es-ES"/>
    </w:rPr>
  </w:style>
  <w:style w:type="paragraph" w:customStyle="1" w:styleId="xl111">
    <w:name w:val="xl111"/>
    <w:basedOn w:val="Normal"/>
    <w:rsid w:val="00C3322C"/>
    <w:pPr>
      <w:pBdr>
        <w:top w:val="single" w:sz="4" w:space="0" w:color="auto"/>
        <w:left w:val="single" w:sz="4" w:space="0" w:color="auto"/>
        <w:bottom w:val="single" w:sz="8" w:space="0" w:color="auto"/>
        <w:right w:val="single" w:sz="4" w:space="0" w:color="auto"/>
      </w:pBdr>
      <w:shd w:val="clear" w:color="000000" w:fill="FFFFCC"/>
      <w:spacing w:before="100" w:beforeAutospacing="1" w:after="100" w:afterAutospacing="1" w:line="240" w:lineRule="auto"/>
      <w:jc w:val="center"/>
      <w:textAlignment w:val="center"/>
    </w:pPr>
    <w:rPr>
      <w:sz w:val="20"/>
      <w:szCs w:val="20"/>
      <w:lang w:val="es-ES" w:eastAsia="es-ES"/>
    </w:rPr>
  </w:style>
  <w:style w:type="paragraph" w:customStyle="1" w:styleId="xl112">
    <w:name w:val="xl112"/>
    <w:basedOn w:val="Normal"/>
    <w:rsid w:val="00C3322C"/>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textAlignment w:val="center"/>
    </w:pPr>
    <w:rPr>
      <w:sz w:val="20"/>
      <w:szCs w:val="20"/>
      <w:lang w:val="es-ES" w:eastAsia="es-ES"/>
    </w:rPr>
  </w:style>
  <w:style w:type="paragraph" w:customStyle="1" w:styleId="xl113">
    <w:name w:val="xl113"/>
    <w:basedOn w:val="Normal"/>
    <w:rsid w:val="00C3322C"/>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jc w:val="center"/>
      <w:textAlignment w:val="center"/>
    </w:pPr>
    <w:rPr>
      <w:sz w:val="20"/>
      <w:szCs w:val="20"/>
      <w:lang w:val="es-ES" w:eastAsia="es-ES"/>
    </w:rPr>
  </w:style>
  <w:style w:type="paragraph" w:customStyle="1" w:styleId="xl114">
    <w:name w:val="xl114"/>
    <w:basedOn w:val="Normal"/>
    <w:rsid w:val="00C3322C"/>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textAlignment w:val="center"/>
    </w:pPr>
    <w:rPr>
      <w:sz w:val="20"/>
      <w:szCs w:val="20"/>
      <w:lang w:val="es-ES" w:eastAsia="es-ES"/>
    </w:rPr>
  </w:style>
  <w:style w:type="paragraph" w:customStyle="1" w:styleId="xl115">
    <w:name w:val="xl115"/>
    <w:basedOn w:val="Normal"/>
    <w:rsid w:val="00C3322C"/>
    <w:pPr>
      <w:pBdr>
        <w:top w:val="single" w:sz="4" w:space="0" w:color="auto"/>
        <w:left w:val="single" w:sz="4" w:space="0" w:color="auto"/>
        <w:bottom w:val="single" w:sz="8" w:space="0" w:color="auto"/>
        <w:right w:val="single" w:sz="4" w:space="0" w:color="auto"/>
      </w:pBdr>
      <w:shd w:val="clear" w:color="000000" w:fill="F2F2F2"/>
      <w:spacing w:before="100" w:beforeAutospacing="1" w:after="100" w:afterAutospacing="1" w:line="240" w:lineRule="auto"/>
      <w:jc w:val="center"/>
      <w:textAlignment w:val="center"/>
    </w:pPr>
    <w:rPr>
      <w:sz w:val="20"/>
      <w:szCs w:val="20"/>
      <w:lang w:val="es-ES" w:eastAsia="es-ES"/>
    </w:rPr>
  </w:style>
  <w:style w:type="paragraph" w:customStyle="1" w:styleId="xl116">
    <w:name w:val="xl116"/>
    <w:basedOn w:val="Normal"/>
    <w:rsid w:val="00C3322C"/>
    <w:pPr>
      <w:pBdr>
        <w:top w:val="single" w:sz="8" w:space="0" w:color="auto"/>
        <w:left w:val="single" w:sz="4" w:space="0" w:color="auto"/>
        <w:bottom w:val="single" w:sz="4" w:space="0" w:color="auto"/>
        <w:right w:val="single" w:sz="4" w:space="0" w:color="auto"/>
      </w:pBdr>
      <w:shd w:val="clear" w:color="000000" w:fill="F2CEEF"/>
      <w:spacing w:before="100" w:beforeAutospacing="1" w:after="100" w:afterAutospacing="1" w:line="240" w:lineRule="auto"/>
      <w:textAlignment w:val="center"/>
    </w:pPr>
    <w:rPr>
      <w:sz w:val="20"/>
      <w:szCs w:val="20"/>
      <w:lang w:val="es-ES" w:eastAsia="es-ES"/>
    </w:rPr>
  </w:style>
  <w:style w:type="paragraph" w:customStyle="1" w:styleId="xl117">
    <w:name w:val="xl117"/>
    <w:basedOn w:val="Normal"/>
    <w:rsid w:val="00C3322C"/>
    <w:pPr>
      <w:pBdr>
        <w:top w:val="single" w:sz="8" w:space="0" w:color="auto"/>
        <w:left w:val="single" w:sz="4" w:space="0" w:color="auto"/>
        <w:bottom w:val="single" w:sz="4" w:space="0" w:color="auto"/>
        <w:right w:val="single" w:sz="4" w:space="0" w:color="auto"/>
      </w:pBdr>
      <w:shd w:val="clear" w:color="000000" w:fill="F2CEEF"/>
      <w:spacing w:before="100" w:beforeAutospacing="1" w:after="100" w:afterAutospacing="1" w:line="240" w:lineRule="auto"/>
      <w:jc w:val="center"/>
      <w:textAlignment w:val="center"/>
    </w:pPr>
    <w:rPr>
      <w:sz w:val="20"/>
      <w:szCs w:val="20"/>
      <w:lang w:val="es-ES" w:eastAsia="es-ES"/>
    </w:rPr>
  </w:style>
  <w:style w:type="paragraph" w:customStyle="1" w:styleId="xl118">
    <w:name w:val="xl118"/>
    <w:basedOn w:val="Normal"/>
    <w:rsid w:val="00C3322C"/>
    <w:pPr>
      <w:pBdr>
        <w:top w:val="single" w:sz="4" w:space="0" w:color="auto"/>
        <w:left w:val="single" w:sz="4" w:space="0" w:color="auto"/>
        <w:bottom w:val="single" w:sz="8" w:space="0" w:color="auto"/>
        <w:right w:val="single" w:sz="4" w:space="0" w:color="auto"/>
      </w:pBdr>
      <w:shd w:val="clear" w:color="000000" w:fill="F2CEEF"/>
      <w:spacing w:before="100" w:beforeAutospacing="1" w:after="100" w:afterAutospacing="1" w:line="240" w:lineRule="auto"/>
      <w:textAlignment w:val="center"/>
    </w:pPr>
    <w:rPr>
      <w:sz w:val="20"/>
      <w:szCs w:val="20"/>
      <w:lang w:val="es-ES" w:eastAsia="es-ES"/>
    </w:rPr>
  </w:style>
  <w:style w:type="paragraph" w:customStyle="1" w:styleId="xl119">
    <w:name w:val="xl119"/>
    <w:basedOn w:val="Normal"/>
    <w:rsid w:val="00C3322C"/>
    <w:pPr>
      <w:pBdr>
        <w:top w:val="single" w:sz="4" w:space="0" w:color="auto"/>
        <w:left w:val="single" w:sz="4" w:space="0" w:color="auto"/>
        <w:bottom w:val="single" w:sz="8" w:space="0" w:color="auto"/>
        <w:right w:val="single" w:sz="4" w:space="0" w:color="auto"/>
      </w:pBdr>
      <w:shd w:val="clear" w:color="000000" w:fill="F2CEEF"/>
      <w:spacing w:before="100" w:beforeAutospacing="1" w:after="100" w:afterAutospacing="1" w:line="240" w:lineRule="auto"/>
      <w:jc w:val="center"/>
      <w:textAlignment w:val="center"/>
    </w:pPr>
    <w:rPr>
      <w:sz w:val="20"/>
      <w:szCs w:val="20"/>
      <w:lang w:val="es-ES" w:eastAsia="es-ES"/>
    </w:rPr>
  </w:style>
  <w:style w:type="paragraph" w:customStyle="1" w:styleId="xl120">
    <w:name w:val="xl120"/>
    <w:basedOn w:val="Normal"/>
    <w:rsid w:val="00C3322C"/>
    <w:pPr>
      <w:pBdr>
        <w:top w:val="single" w:sz="8" w:space="0" w:color="auto"/>
        <w:left w:val="single" w:sz="8" w:space="0" w:color="auto"/>
      </w:pBdr>
      <w:shd w:val="clear" w:color="000000" w:fill="D86DCD"/>
      <w:spacing w:before="100" w:beforeAutospacing="1" w:after="100" w:afterAutospacing="1" w:line="240" w:lineRule="auto"/>
      <w:jc w:val="center"/>
      <w:textAlignment w:val="center"/>
    </w:pPr>
    <w:rPr>
      <w:b/>
      <w:bCs/>
      <w:lang w:val="es-ES" w:eastAsia="es-ES"/>
    </w:rPr>
  </w:style>
  <w:style w:type="paragraph" w:customStyle="1" w:styleId="xl121">
    <w:name w:val="xl121"/>
    <w:basedOn w:val="Normal"/>
    <w:rsid w:val="00C3322C"/>
    <w:pPr>
      <w:pBdr>
        <w:left w:val="single" w:sz="8" w:space="0" w:color="auto"/>
        <w:bottom w:val="single" w:sz="8" w:space="0" w:color="auto"/>
      </w:pBdr>
      <w:shd w:val="clear" w:color="000000" w:fill="D86DCD"/>
      <w:spacing w:before="100" w:beforeAutospacing="1" w:after="100" w:afterAutospacing="1" w:line="240" w:lineRule="auto"/>
      <w:jc w:val="center"/>
      <w:textAlignment w:val="center"/>
    </w:pPr>
    <w:rPr>
      <w:b/>
      <w:bCs/>
      <w:lang w:val="es-ES" w:eastAsia="es-ES"/>
    </w:rPr>
  </w:style>
  <w:style w:type="paragraph" w:customStyle="1" w:styleId="xl122">
    <w:name w:val="xl122"/>
    <w:basedOn w:val="Normal"/>
    <w:rsid w:val="00C3322C"/>
    <w:pPr>
      <w:pBdr>
        <w:top w:val="single" w:sz="8" w:space="0" w:color="auto"/>
      </w:pBdr>
      <w:spacing w:before="100" w:beforeAutospacing="1" w:after="100" w:afterAutospacing="1" w:line="240" w:lineRule="auto"/>
      <w:textAlignment w:val="center"/>
    </w:pPr>
    <w:rPr>
      <w:b/>
      <w:bCs/>
      <w:lang w:val="es-ES" w:eastAsia="es-ES"/>
    </w:rPr>
  </w:style>
  <w:style w:type="paragraph" w:customStyle="1" w:styleId="xl123">
    <w:name w:val="xl123"/>
    <w:basedOn w:val="Normal"/>
    <w:rsid w:val="00C3322C"/>
    <w:pPr>
      <w:spacing w:before="100" w:beforeAutospacing="1" w:after="100" w:afterAutospacing="1" w:line="240" w:lineRule="auto"/>
      <w:textAlignment w:val="center"/>
    </w:pPr>
    <w:rPr>
      <w:b/>
      <w:bCs/>
      <w:lang w:val="es-ES" w:eastAsia="es-ES"/>
    </w:rPr>
  </w:style>
  <w:style w:type="paragraph" w:customStyle="1" w:styleId="xl124">
    <w:name w:val="xl124"/>
    <w:basedOn w:val="Normal"/>
    <w:rsid w:val="00C3322C"/>
    <w:pPr>
      <w:pBdr>
        <w:top w:val="single" w:sz="8" w:space="0" w:color="auto"/>
        <w:left w:val="single" w:sz="8" w:space="0" w:color="auto"/>
        <w:bottom w:val="single" w:sz="4" w:space="0" w:color="auto"/>
      </w:pBdr>
      <w:shd w:val="clear" w:color="000000" w:fill="F7C7AC"/>
      <w:spacing w:before="100" w:beforeAutospacing="1" w:after="100" w:afterAutospacing="1" w:line="240" w:lineRule="auto"/>
      <w:jc w:val="center"/>
      <w:textAlignment w:val="center"/>
    </w:pPr>
    <w:rPr>
      <w:b/>
      <w:bCs/>
      <w:lang w:val="es-ES" w:eastAsia="es-ES"/>
    </w:rPr>
  </w:style>
  <w:style w:type="paragraph" w:customStyle="1" w:styleId="xl125">
    <w:name w:val="xl125"/>
    <w:basedOn w:val="Normal"/>
    <w:rsid w:val="00C3322C"/>
    <w:pPr>
      <w:pBdr>
        <w:top w:val="single" w:sz="4" w:space="0" w:color="auto"/>
        <w:left w:val="single" w:sz="8" w:space="0" w:color="auto"/>
        <w:bottom w:val="single" w:sz="4" w:space="0" w:color="auto"/>
      </w:pBdr>
      <w:shd w:val="clear" w:color="000000" w:fill="F7C7AC"/>
      <w:spacing w:before="100" w:beforeAutospacing="1" w:after="100" w:afterAutospacing="1" w:line="240" w:lineRule="auto"/>
      <w:jc w:val="center"/>
      <w:textAlignment w:val="center"/>
    </w:pPr>
    <w:rPr>
      <w:b/>
      <w:bCs/>
      <w:lang w:val="es-ES" w:eastAsia="es-ES"/>
    </w:rPr>
  </w:style>
  <w:style w:type="paragraph" w:customStyle="1" w:styleId="xl126">
    <w:name w:val="xl126"/>
    <w:basedOn w:val="Normal"/>
    <w:rsid w:val="00C3322C"/>
    <w:pPr>
      <w:pBdr>
        <w:top w:val="single" w:sz="4" w:space="0" w:color="auto"/>
        <w:left w:val="single" w:sz="8" w:space="0" w:color="auto"/>
        <w:bottom w:val="single" w:sz="8" w:space="0" w:color="auto"/>
      </w:pBdr>
      <w:shd w:val="clear" w:color="000000" w:fill="F7C7AC"/>
      <w:spacing w:before="100" w:beforeAutospacing="1" w:after="100" w:afterAutospacing="1" w:line="240" w:lineRule="auto"/>
      <w:jc w:val="center"/>
      <w:textAlignment w:val="center"/>
    </w:pPr>
    <w:rPr>
      <w:b/>
      <w:bCs/>
      <w:lang w:val="es-ES" w:eastAsia="es-ES"/>
    </w:rPr>
  </w:style>
  <w:style w:type="paragraph" w:customStyle="1" w:styleId="xl127">
    <w:name w:val="xl127"/>
    <w:basedOn w:val="Normal"/>
    <w:rsid w:val="00C3322C"/>
    <w:pPr>
      <w:pBdr>
        <w:top w:val="single" w:sz="8" w:space="0" w:color="auto"/>
        <w:left w:val="single" w:sz="8" w:space="0" w:color="auto"/>
      </w:pBdr>
      <w:shd w:val="clear" w:color="000000" w:fill="A6C9EC"/>
      <w:spacing w:before="100" w:beforeAutospacing="1" w:after="100" w:afterAutospacing="1" w:line="240" w:lineRule="auto"/>
      <w:jc w:val="center"/>
      <w:textAlignment w:val="center"/>
    </w:pPr>
    <w:rPr>
      <w:b/>
      <w:bCs/>
      <w:lang w:val="es-ES" w:eastAsia="es-ES"/>
    </w:rPr>
  </w:style>
  <w:style w:type="paragraph" w:customStyle="1" w:styleId="xl128">
    <w:name w:val="xl128"/>
    <w:basedOn w:val="Normal"/>
    <w:rsid w:val="00C3322C"/>
    <w:pPr>
      <w:pBdr>
        <w:left w:val="single" w:sz="8" w:space="0" w:color="auto"/>
      </w:pBdr>
      <w:shd w:val="clear" w:color="000000" w:fill="A6C9EC"/>
      <w:spacing w:before="100" w:beforeAutospacing="1" w:after="100" w:afterAutospacing="1" w:line="240" w:lineRule="auto"/>
      <w:jc w:val="center"/>
      <w:textAlignment w:val="center"/>
    </w:pPr>
    <w:rPr>
      <w:b/>
      <w:bCs/>
      <w:lang w:val="es-ES" w:eastAsia="es-ES"/>
    </w:rPr>
  </w:style>
  <w:style w:type="paragraph" w:customStyle="1" w:styleId="xl129">
    <w:name w:val="xl129"/>
    <w:basedOn w:val="Normal"/>
    <w:rsid w:val="00C3322C"/>
    <w:pPr>
      <w:pBdr>
        <w:left w:val="single" w:sz="8" w:space="0" w:color="auto"/>
        <w:bottom w:val="single" w:sz="8" w:space="0" w:color="auto"/>
      </w:pBdr>
      <w:shd w:val="clear" w:color="000000" w:fill="A6C9EC"/>
      <w:spacing w:before="100" w:beforeAutospacing="1" w:after="100" w:afterAutospacing="1" w:line="240" w:lineRule="auto"/>
      <w:jc w:val="center"/>
      <w:textAlignment w:val="center"/>
    </w:pPr>
    <w:rPr>
      <w:b/>
      <w:bCs/>
      <w:lang w:val="es-ES" w:eastAsia="es-ES"/>
    </w:rPr>
  </w:style>
  <w:style w:type="paragraph" w:customStyle="1" w:styleId="xl130">
    <w:name w:val="xl130"/>
    <w:basedOn w:val="Normal"/>
    <w:rsid w:val="00C3322C"/>
    <w:pPr>
      <w:pBdr>
        <w:top w:val="single" w:sz="8" w:space="0" w:color="auto"/>
        <w:left w:val="single" w:sz="8" w:space="0" w:color="auto"/>
      </w:pBdr>
      <w:shd w:val="clear" w:color="000000" w:fill="FFCC00"/>
      <w:spacing w:before="100" w:beforeAutospacing="1" w:after="100" w:afterAutospacing="1" w:line="240" w:lineRule="auto"/>
      <w:jc w:val="center"/>
      <w:textAlignment w:val="center"/>
    </w:pPr>
    <w:rPr>
      <w:b/>
      <w:bCs/>
      <w:lang w:val="es-ES" w:eastAsia="es-ES"/>
    </w:rPr>
  </w:style>
  <w:style w:type="paragraph" w:customStyle="1" w:styleId="xl131">
    <w:name w:val="xl131"/>
    <w:basedOn w:val="Normal"/>
    <w:rsid w:val="00C3322C"/>
    <w:pPr>
      <w:pBdr>
        <w:left w:val="single" w:sz="8" w:space="0" w:color="auto"/>
      </w:pBdr>
      <w:shd w:val="clear" w:color="000000" w:fill="FFCC00"/>
      <w:spacing w:before="100" w:beforeAutospacing="1" w:after="100" w:afterAutospacing="1" w:line="240" w:lineRule="auto"/>
      <w:jc w:val="center"/>
      <w:textAlignment w:val="center"/>
    </w:pPr>
    <w:rPr>
      <w:b/>
      <w:bCs/>
      <w:lang w:val="es-ES" w:eastAsia="es-ES"/>
    </w:rPr>
  </w:style>
  <w:style w:type="paragraph" w:customStyle="1" w:styleId="xl132">
    <w:name w:val="xl132"/>
    <w:basedOn w:val="Normal"/>
    <w:rsid w:val="00C3322C"/>
    <w:pPr>
      <w:pBdr>
        <w:left w:val="single" w:sz="8" w:space="0" w:color="auto"/>
        <w:bottom w:val="single" w:sz="8" w:space="0" w:color="auto"/>
      </w:pBdr>
      <w:shd w:val="clear" w:color="000000" w:fill="FFCC00"/>
      <w:spacing w:before="100" w:beforeAutospacing="1" w:after="100" w:afterAutospacing="1" w:line="240" w:lineRule="auto"/>
      <w:jc w:val="center"/>
      <w:textAlignment w:val="center"/>
    </w:pPr>
    <w:rPr>
      <w:b/>
      <w:bCs/>
      <w:lang w:val="es-ES" w:eastAsia="es-ES"/>
    </w:rPr>
  </w:style>
  <w:style w:type="paragraph" w:customStyle="1" w:styleId="xl133">
    <w:name w:val="xl133"/>
    <w:basedOn w:val="Normal"/>
    <w:rsid w:val="00C3322C"/>
    <w:pPr>
      <w:pBdr>
        <w:top w:val="single" w:sz="8" w:space="0" w:color="auto"/>
        <w:left w:val="single" w:sz="8" w:space="0" w:color="auto"/>
      </w:pBdr>
      <w:shd w:val="clear" w:color="000000" w:fill="ADADAD"/>
      <w:spacing w:before="100" w:beforeAutospacing="1" w:after="100" w:afterAutospacing="1" w:line="240" w:lineRule="auto"/>
      <w:jc w:val="center"/>
      <w:textAlignment w:val="center"/>
    </w:pPr>
    <w:rPr>
      <w:b/>
      <w:bCs/>
      <w:lang w:val="es-ES" w:eastAsia="es-ES"/>
    </w:rPr>
  </w:style>
  <w:style w:type="paragraph" w:customStyle="1" w:styleId="xl134">
    <w:name w:val="xl134"/>
    <w:basedOn w:val="Normal"/>
    <w:rsid w:val="00C3322C"/>
    <w:pPr>
      <w:pBdr>
        <w:left w:val="single" w:sz="8" w:space="0" w:color="auto"/>
      </w:pBdr>
      <w:shd w:val="clear" w:color="000000" w:fill="ADADAD"/>
      <w:spacing w:before="100" w:beforeAutospacing="1" w:after="100" w:afterAutospacing="1" w:line="240" w:lineRule="auto"/>
      <w:jc w:val="center"/>
      <w:textAlignment w:val="center"/>
    </w:pPr>
    <w:rPr>
      <w:b/>
      <w:bCs/>
      <w:lang w:val="es-ES" w:eastAsia="es-ES"/>
    </w:rPr>
  </w:style>
  <w:style w:type="paragraph" w:customStyle="1" w:styleId="xl135">
    <w:name w:val="xl135"/>
    <w:basedOn w:val="Normal"/>
    <w:rsid w:val="00C3322C"/>
    <w:pPr>
      <w:pBdr>
        <w:left w:val="single" w:sz="8" w:space="0" w:color="auto"/>
        <w:bottom w:val="single" w:sz="8" w:space="0" w:color="auto"/>
      </w:pBdr>
      <w:shd w:val="clear" w:color="000000" w:fill="ADADAD"/>
      <w:spacing w:before="100" w:beforeAutospacing="1" w:after="100" w:afterAutospacing="1" w:line="240" w:lineRule="auto"/>
      <w:jc w:val="center"/>
      <w:textAlignment w:val="center"/>
    </w:pPr>
    <w:rPr>
      <w:b/>
      <w:bCs/>
      <w:lang w:val="es-ES" w:eastAsia="es-ES"/>
    </w:rPr>
  </w:style>
  <w:style w:type="paragraph" w:customStyle="1" w:styleId="xl136">
    <w:name w:val="xl136"/>
    <w:basedOn w:val="Normal"/>
    <w:rsid w:val="00C3322C"/>
    <w:pPr>
      <w:pBdr>
        <w:top w:val="single" w:sz="8" w:space="0" w:color="auto"/>
        <w:left w:val="single" w:sz="8" w:space="0" w:color="auto"/>
      </w:pBdr>
      <w:spacing w:before="100" w:beforeAutospacing="1" w:after="100" w:afterAutospacing="1" w:line="240" w:lineRule="auto"/>
      <w:jc w:val="center"/>
      <w:textAlignment w:val="center"/>
    </w:pPr>
    <w:rPr>
      <w:b/>
      <w:bCs/>
      <w:lang w:val="es-ES" w:eastAsia="es-ES"/>
    </w:rPr>
  </w:style>
  <w:style w:type="paragraph" w:customStyle="1" w:styleId="xl137">
    <w:name w:val="xl137"/>
    <w:basedOn w:val="Normal"/>
    <w:rsid w:val="00C3322C"/>
    <w:pPr>
      <w:pBdr>
        <w:left w:val="single" w:sz="8" w:space="0" w:color="auto"/>
      </w:pBdr>
      <w:spacing w:before="100" w:beforeAutospacing="1" w:after="100" w:afterAutospacing="1" w:line="240" w:lineRule="auto"/>
      <w:jc w:val="center"/>
      <w:textAlignment w:val="center"/>
    </w:pPr>
    <w:rPr>
      <w:b/>
      <w:bCs/>
      <w:lang w:val="es-ES" w:eastAsia="es-ES"/>
    </w:rPr>
  </w:style>
  <w:style w:type="paragraph" w:customStyle="1" w:styleId="xl138">
    <w:name w:val="xl138"/>
    <w:basedOn w:val="Normal"/>
    <w:rsid w:val="00C3322C"/>
    <w:pPr>
      <w:pBdr>
        <w:top w:val="single" w:sz="8" w:space="0" w:color="auto"/>
        <w:left w:val="single" w:sz="8" w:space="0" w:color="auto"/>
      </w:pBdr>
      <w:shd w:val="clear" w:color="000000" w:fill="B5E6A2"/>
      <w:spacing w:before="100" w:beforeAutospacing="1" w:after="100" w:afterAutospacing="1" w:line="240" w:lineRule="auto"/>
      <w:jc w:val="center"/>
      <w:textAlignment w:val="center"/>
    </w:pPr>
    <w:rPr>
      <w:b/>
      <w:bCs/>
      <w:lang w:val="es-ES" w:eastAsia="es-ES"/>
    </w:rPr>
  </w:style>
  <w:style w:type="paragraph" w:customStyle="1" w:styleId="xl139">
    <w:name w:val="xl139"/>
    <w:basedOn w:val="Normal"/>
    <w:rsid w:val="00C3322C"/>
    <w:pPr>
      <w:pBdr>
        <w:left w:val="single" w:sz="8" w:space="0" w:color="auto"/>
      </w:pBdr>
      <w:shd w:val="clear" w:color="000000" w:fill="B5E6A2"/>
      <w:spacing w:before="100" w:beforeAutospacing="1" w:after="100" w:afterAutospacing="1" w:line="240" w:lineRule="auto"/>
      <w:jc w:val="center"/>
      <w:textAlignment w:val="center"/>
    </w:pPr>
    <w:rPr>
      <w:b/>
      <w:bCs/>
      <w:lang w:val="es-ES" w:eastAsia="es-ES"/>
    </w:rPr>
  </w:style>
  <w:style w:type="paragraph" w:customStyle="1" w:styleId="xl140">
    <w:name w:val="xl140"/>
    <w:basedOn w:val="Normal"/>
    <w:rsid w:val="00C3322C"/>
    <w:pPr>
      <w:pBdr>
        <w:left w:val="single" w:sz="8" w:space="0" w:color="auto"/>
        <w:bottom w:val="single" w:sz="8" w:space="0" w:color="auto"/>
      </w:pBdr>
      <w:shd w:val="clear" w:color="000000" w:fill="B5E6A2"/>
      <w:spacing w:before="100" w:beforeAutospacing="1" w:after="100" w:afterAutospacing="1" w:line="240" w:lineRule="auto"/>
      <w:jc w:val="center"/>
      <w:textAlignment w:val="center"/>
    </w:pPr>
    <w:rPr>
      <w:b/>
      <w:bCs/>
      <w:lang w:val="es-ES" w:eastAsia="es-ES"/>
    </w:rPr>
  </w:style>
  <w:style w:type="character" w:styleId="UnresolvedMention">
    <w:name w:val="Unresolved Mention"/>
    <w:basedOn w:val="DefaultParagraphFont"/>
    <w:uiPriority w:val="99"/>
    <w:semiHidden/>
    <w:unhideWhenUsed/>
    <w:rsid w:val="001557E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28170">
      <w:bodyDiv w:val="1"/>
      <w:marLeft w:val="0"/>
      <w:marRight w:val="0"/>
      <w:marTop w:val="0"/>
      <w:marBottom w:val="0"/>
      <w:divBdr>
        <w:top w:val="none" w:sz="0" w:space="0" w:color="auto"/>
        <w:left w:val="none" w:sz="0" w:space="0" w:color="auto"/>
        <w:bottom w:val="none" w:sz="0" w:space="0" w:color="auto"/>
        <w:right w:val="none" w:sz="0" w:space="0" w:color="auto"/>
      </w:divBdr>
    </w:div>
    <w:div w:id="28146194">
      <w:bodyDiv w:val="1"/>
      <w:marLeft w:val="0"/>
      <w:marRight w:val="0"/>
      <w:marTop w:val="0"/>
      <w:marBottom w:val="0"/>
      <w:divBdr>
        <w:top w:val="none" w:sz="0" w:space="0" w:color="auto"/>
        <w:left w:val="none" w:sz="0" w:space="0" w:color="auto"/>
        <w:bottom w:val="none" w:sz="0" w:space="0" w:color="auto"/>
        <w:right w:val="none" w:sz="0" w:space="0" w:color="auto"/>
      </w:divBdr>
    </w:div>
    <w:div w:id="52512976">
      <w:bodyDiv w:val="1"/>
      <w:marLeft w:val="0"/>
      <w:marRight w:val="0"/>
      <w:marTop w:val="0"/>
      <w:marBottom w:val="0"/>
      <w:divBdr>
        <w:top w:val="none" w:sz="0" w:space="0" w:color="auto"/>
        <w:left w:val="none" w:sz="0" w:space="0" w:color="auto"/>
        <w:bottom w:val="none" w:sz="0" w:space="0" w:color="auto"/>
        <w:right w:val="none" w:sz="0" w:space="0" w:color="auto"/>
      </w:divBdr>
    </w:div>
    <w:div w:id="83310162">
      <w:bodyDiv w:val="1"/>
      <w:marLeft w:val="0"/>
      <w:marRight w:val="0"/>
      <w:marTop w:val="0"/>
      <w:marBottom w:val="0"/>
      <w:divBdr>
        <w:top w:val="none" w:sz="0" w:space="0" w:color="auto"/>
        <w:left w:val="none" w:sz="0" w:space="0" w:color="auto"/>
        <w:bottom w:val="none" w:sz="0" w:space="0" w:color="auto"/>
        <w:right w:val="none" w:sz="0" w:space="0" w:color="auto"/>
      </w:divBdr>
    </w:div>
    <w:div w:id="98186494">
      <w:bodyDiv w:val="1"/>
      <w:marLeft w:val="0"/>
      <w:marRight w:val="0"/>
      <w:marTop w:val="0"/>
      <w:marBottom w:val="0"/>
      <w:divBdr>
        <w:top w:val="none" w:sz="0" w:space="0" w:color="auto"/>
        <w:left w:val="none" w:sz="0" w:space="0" w:color="auto"/>
        <w:bottom w:val="none" w:sz="0" w:space="0" w:color="auto"/>
        <w:right w:val="none" w:sz="0" w:space="0" w:color="auto"/>
      </w:divBdr>
    </w:div>
    <w:div w:id="149371023">
      <w:bodyDiv w:val="1"/>
      <w:marLeft w:val="0"/>
      <w:marRight w:val="0"/>
      <w:marTop w:val="0"/>
      <w:marBottom w:val="0"/>
      <w:divBdr>
        <w:top w:val="none" w:sz="0" w:space="0" w:color="auto"/>
        <w:left w:val="none" w:sz="0" w:space="0" w:color="auto"/>
        <w:bottom w:val="none" w:sz="0" w:space="0" w:color="auto"/>
        <w:right w:val="none" w:sz="0" w:space="0" w:color="auto"/>
      </w:divBdr>
    </w:div>
    <w:div w:id="217666543">
      <w:bodyDiv w:val="1"/>
      <w:marLeft w:val="0"/>
      <w:marRight w:val="0"/>
      <w:marTop w:val="0"/>
      <w:marBottom w:val="0"/>
      <w:divBdr>
        <w:top w:val="none" w:sz="0" w:space="0" w:color="auto"/>
        <w:left w:val="none" w:sz="0" w:space="0" w:color="auto"/>
        <w:bottom w:val="none" w:sz="0" w:space="0" w:color="auto"/>
        <w:right w:val="none" w:sz="0" w:space="0" w:color="auto"/>
      </w:divBdr>
    </w:div>
    <w:div w:id="297422269">
      <w:bodyDiv w:val="1"/>
      <w:marLeft w:val="0"/>
      <w:marRight w:val="0"/>
      <w:marTop w:val="0"/>
      <w:marBottom w:val="0"/>
      <w:divBdr>
        <w:top w:val="none" w:sz="0" w:space="0" w:color="auto"/>
        <w:left w:val="none" w:sz="0" w:space="0" w:color="auto"/>
        <w:bottom w:val="none" w:sz="0" w:space="0" w:color="auto"/>
        <w:right w:val="none" w:sz="0" w:space="0" w:color="auto"/>
      </w:divBdr>
    </w:div>
    <w:div w:id="300119413">
      <w:bodyDiv w:val="1"/>
      <w:marLeft w:val="0"/>
      <w:marRight w:val="0"/>
      <w:marTop w:val="0"/>
      <w:marBottom w:val="0"/>
      <w:divBdr>
        <w:top w:val="none" w:sz="0" w:space="0" w:color="auto"/>
        <w:left w:val="none" w:sz="0" w:space="0" w:color="auto"/>
        <w:bottom w:val="none" w:sz="0" w:space="0" w:color="auto"/>
        <w:right w:val="none" w:sz="0" w:space="0" w:color="auto"/>
      </w:divBdr>
    </w:div>
    <w:div w:id="323319142">
      <w:bodyDiv w:val="1"/>
      <w:marLeft w:val="0"/>
      <w:marRight w:val="0"/>
      <w:marTop w:val="0"/>
      <w:marBottom w:val="0"/>
      <w:divBdr>
        <w:top w:val="none" w:sz="0" w:space="0" w:color="auto"/>
        <w:left w:val="none" w:sz="0" w:space="0" w:color="auto"/>
        <w:bottom w:val="none" w:sz="0" w:space="0" w:color="auto"/>
        <w:right w:val="none" w:sz="0" w:space="0" w:color="auto"/>
      </w:divBdr>
    </w:div>
    <w:div w:id="336272212">
      <w:bodyDiv w:val="1"/>
      <w:marLeft w:val="0"/>
      <w:marRight w:val="0"/>
      <w:marTop w:val="0"/>
      <w:marBottom w:val="0"/>
      <w:divBdr>
        <w:top w:val="none" w:sz="0" w:space="0" w:color="auto"/>
        <w:left w:val="none" w:sz="0" w:space="0" w:color="auto"/>
        <w:bottom w:val="none" w:sz="0" w:space="0" w:color="auto"/>
        <w:right w:val="none" w:sz="0" w:space="0" w:color="auto"/>
      </w:divBdr>
    </w:div>
    <w:div w:id="379330816">
      <w:bodyDiv w:val="1"/>
      <w:marLeft w:val="0"/>
      <w:marRight w:val="0"/>
      <w:marTop w:val="0"/>
      <w:marBottom w:val="0"/>
      <w:divBdr>
        <w:top w:val="none" w:sz="0" w:space="0" w:color="auto"/>
        <w:left w:val="none" w:sz="0" w:space="0" w:color="auto"/>
        <w:bottom w:val="none" w:sz="0" w:space="0" w:color="auto"/>
        <w:right w:val="none" w:sz="0" w:space="0" w:color="auto"/>
      </w:divBdr>
    </w:div>
    <w:div w:id="419378424">
      <w:bodyDiv w:val="1"/>
      <w:marLeft w:val="0"/>
      <w:marRight w:val="0"/>
      <w:marTop w:val="0"/>
      <w:marBottom w:val="0"/>
      <w:divBdr>
        <w:top w:val="none" w:sz="0" w:space="0" w:color="auto"/>
        <w:left w:val="none" w:sz="0" w:space="0" w:color="auto"/>
        <w:bottom w:val="none" w:sz="0" w:space="0" w:color="auto"/>
        <w:right w:val="none" w:sz="0" w:space="0" w:color="auto"/>
      </w:divBdr>
    </w:div>
    <w:div w:id="427846228">
      <w:bodyDiv w:val="1"/>
      <w:marLeft w:val="0"/>
      <w:marRight w:val="0"/>
      <w:marTop w:val="0"/>
      <w:marBottom w:val="0"/>
      <w:divBdr>
        <w:top w:val="none" w:sz="0" w:space="0" w:color="auto"/>
        <w:left w:val="none" w:sz="0" w:space="0" w:color="auto"/>
        <w:bottom w:val="none" w:sz="0" w:space="0" w:color="auto"/>
        <w:right w:val="none" w:sz="0" w:space="0" w:color="auto"/>
      </w:divBdr>
    </w:div>
    <w:div w:id="436678584">
      <w:bodyDiv w:val="1"/>
      <w:marLeft w:val="0"/>
      <w:marRight w:val="0"/>
      <w:marTop w:val="0"/>
      <w:marBottom w:val="0"/>
      <w:divBdr>
        <w:top w:val="none" w:sz="0" w:space="0" w:color="auto"/>
        <w:left w:val="none" w:sz="0" w:space="0" w:color="auto"/>
        <w:bottom w:val="none" w:sz="0" w:space="0" w:color="auto"/>
        <w:right w:val="none" w:sz="0" w:space="0" w:color="auto"/>
      </w:divBdr>
    </w:div>
    <w:div w:id="531919146">
      <w:bodyDiv w:val="1"/>
      <w:marLeft w:val="0"/>
      <w:marRight w:val="0"/>
      <w:marTop w:val="0"/>
      <w:marBottom w:val="0"/>
      <w:divBdr>
        <w:top w:val="none" w:sz="0" w:space="0" w:color="auto"/>
        <w:left w:val="none" w:sz="0" w:space="0" w:color="auto"/>
        <w:bottom w:val="none" w:sz="0" w:space="0" w:color="auto"/>
        <w:right w:val="none" w:sz="0" w:space="0" w:color="auto"/>
      </w:divBdr>
    </w:div>
    <w:div w:id="573703438">
      <w:bodyDiv w:val="1"/>
      <w:marLeft w:val="0"/>
      <w:marRight w:val="0"/>
      <w:marTop w:val="0"/>
      <w:marBottom w:val="0"/>
      <w:divBdr>
        <w:top w:val="none" w:sz="0" w:space="0" w:color="auto"/>
        <w:left w:val="none" w:sz="0" w:space="0" w:color="auto"/>
        <w:bottom w:val="none" w:sz="0" w:space="0" w:color="auto"/>
        <w:right w:val="none" w:sz="0" w:space="0" w:color="auto"/>
      </w:divBdr>
    </w:div>
    <w:div w:id="581721083">
      <w:bodyDiv w:val="1"/>
      <w:marLeft w:val="0"/>
      <w:marRight w:val="0"/>
      <w:marTop w:val="0"/>
      <w:marBottom w:val="0"/>
      <w:divBdr>
        <w:top w:val="none" w:sz="0" w:space="0" w:color="auto"/>
        <w:left w:val="none" w:sz="0" w:space="0" w:color="auto"/>
        <w:bottom w:val="none" w:sz="0" w:space="0" w:color="auto"/>
        <w:right w:val="none" w:sz="0" w:space="0" w:color="auto"/>
      </w:divBdr>
    </w:div>
    <w:div w:id="611205854">
      <w:bodyDiv w:val="1"/>
      <w:marLeft w:val="0"/>
      <w:marRight w:val="0"/>
      <w:marTop w:val="0"/>
      <w:marBottom w:val="0"/>
      <w:divBdr>
        <w:top w:val="none" w:sz="0" w:space="0" w:color="auto"/>
        <w:left w:val="none" w:sz="0" w:space="0" w:color="auto"/>
        <w:bottom w:val="none" w:sz="0" w:space="0" w:color="auto"/>
        <w:right w:val="none" w:sz="0" w:space="0" w:color="auto"/>
      </w:divBdr>
    </w:div>
    <w:div w:id="697434314">
      <w:bodyDiv w:val="1"/>
      <w:marLeft w:val="0"/>
      <w:marRight w:val="0"/>
      <w:marTop w:val="0"/>
      <w:marBottom w:val="0"/>
      <w:divBdr>
        <w:top w:val="none" w:sz="0" w:space="0" w:color="auto"/>
        <w:left w:val="none" w:sz="0" w:space="0" w:color="auto"/>
        <w:bottom w:val="none" w:sz="0" w:space="0" w:color="auto"/>
        <w:right w:val="none" w:sz="0" w:space="0" w:color="auto"/>
      </w:divBdr>
    </w:div>
    <w:div w:id="703137637">
      <w:bodyDiv w:val="1"/>
      <w:marLeft w:val="0"/>
      <w:marRight w:val="0"/>
      <w:marTop w:val="0"/>
      <w:marBottom w:val="0"/>
      <w:divBdr>
        <w:top w:val="none" w:sz="0" w:space="0" w:color="auto"/>
        <w:left w:val="none" w:sz="0" w:space="0" w:color="auto"/>
        <w:bottom w:val="none" w:sz="0" w:space="0" w:color="auto"/>
        <w:right w:val="none" w:sz="0" w:space="0" w:color="auto"/>
      </w:divBdr>
    </w:div>
    <w:div w:id="716970601">
      <w:bodyDiv w:val="1"/>
      <w:marLeft w:val="0"/>
      <w:marRight w:val="0"/>
      <w:marTop w:val="0"/>
      <w:marBottom w:val="0"/>
      <w:divBdr>
        <w:top w:val="none" w:sz="0" w:space="0" w:color="auto"/>
        <w:left w:val="none" w:sz="0" w:space="0" w:color="auto"/>
        <w:bottom w:val="none" w:sz="0" w:space="0" w:color="auto"/>
        <w:right w:val="none" w:sz="0" w:space="0" w:color="auto"/>
      </w:divBdr>
    </w:div>
    <w:div w:id="836698927">
      <w:bodyDiv w:val="1"/>
      <w:marLeft w:val="0"/>
      <w:marRight w:val="0"/>
      <w:marTop w:val="0"/>
      <w:marBottom w:val="0"/>
      <w:divBdr>
        <w:top w:val="none" w:sz="0" w:space="0" w:color="auto"/>
        <w:left w:val="none" w:sz="0" w:space="0" w:color="auto"/>
        <w:bottom w:val="none" w:sz="0" w:space="0" w:color="auto"/>
        <w:right w:val="none" w:sz="0" w:space="0" w:color="auto"/>
      </w:divBdr>
    </w:div>
    <w:div w:id="846671453">
      <w:bodyDiv w:val="1"/>
      <w:marLeft w:val="0"/>
      <w:marRight w:val="0"/>
      <w:marTop w:val="0"/>
      <w:marBottom w:val="0"/>
      <w:divBdr>
        <w:top w:val="none" w:sz="0" w:space="0" w:color="auto"/>
        <w:left w:val="none" w:sz="0" w:space="0" w:color="auto"/>
        <w:bottom w:val="none" w:sz="0" w:space="0" w:color="auto"/>
        <w:right w:val="none" w:sz="0" w:space="0" w:color="auto"/>
      </w:divBdr>
    </w:div>
    <w:div w:id="852034778">
      <w:bodyDiv w:val="1"/>
      <w:marLeft w:val="0"/>
      <w:marRight w:val="0"/>
      <w:marTop w:val="0"/>
      <w:marBottom w:val="0"/>
      <w:divBdr>
        <w:top w:val="none" w:sz="0" w:space="0" w:color="auto"/>
        <w:left w:val="none" w:sz="0" w:space="0" w:color="auto"/>
        <w:bottom w:val="none" w:sz="0" w:space="0" w:color="auto"/>
        <w:right w:val="none" w:sz="0" w:space="0" w:color="auto"/>
      </w:divBdr>
    </w:div>
    <w:div w:id="872888536">
      <w:bodyDiv w:val="1"/>
      <w:marLeft w:val="0"/>
      <w:marRight w:val="0"/>
      <w:marTop w:val="0"/>
      <w:marBottom w:val="0"/>
      <w:divBdr>
        <w:top w:val="none" w:sz="0" w:space="0" w:color="auto"/>
        <w:left w:val="none" w:sz="0" w:space="0" w:color="auto"/>
        <w:bottom w:val="none" w:sz="0" w:space="0" w:color="auto"/>
        <w:right w:val="none" w:sz="0" w:space="0" w:color="auto"/>
      </w:divBdr>
    </w:div>
    <w:div w:id="902449511">
      <w:bodyDiv w:val="1"/>
      <w:marLeft w:val="0"/>
      <w:marRight w:val="0"/>
      <w:marTop w:val="0"/>
      <w:marBottom w:val="0"/>
      <w:divBdr>
        <w:top w:val="none" w:sz="0" w:space="0" w:color="auto"/>
        <w:left w:val="none" w:sz="0" w:space="0" w:color="auto"/>
        <w:bottom w:val="none" w:sz="0" w:space="0" w:color="auto"/>
        <w:right w:val="none" w:sz="0" w:space="0" w:color="auto"/>
      </w:divBdr>
    </w:div>
    <w:div w:id="909926053">
      <w:bodyDiv w:val="1"/>
      <w:marLeft w:val="0"/>
      <w:marRight w:val="0"/>
      <w:marTop w:val="0"/>
      <w:marBottom w:val="0"/>
      <w:divBdr>
        <w:top w:val="none" w:sz="0" w:space="0" w:color="auto"/>
        <w:left w:val="none" w:sz="0" w:space="0" w:color="auto"/>
        <w:bottom w:val="none" w:sz="0" w:space="0" w:color="auto"/>
        <w:right w:val="none" w:sz="0" w:space="0" w:color="auto"/>
      </w:divBdr>
    </w:div>
    <w:div w:id="945884642">
      <w:bodyDiv w:val="1"/>
      <w:marLeft w:val="0"/>
      <w:marRight w:val="0"/>
      <w:marTop w:val="0"/>
      <w:marBottom w:val="0"/>
      <w:divBdr>
        <w:top w:val="none" w:sz="0" w:space="0" w:color="auto"/>
        <w:left w:val="none" w:sz="0" w:space="0" w:color="auto"/>
        <w:bottom w:val="none" w:sz="0" w:space="0" w:color="auto"/>
        <w:right w:val="none" w:sz="0" w:space="0" w:color="auto"/>
      </w:divBdr>
    </w:div>
    <w:div w:id="972519819">
      <w:bodyDiv w:val="1"/>
      <w:marLeft w:val="0"/>
      <w:marRight w:val="0"/>
      <w:marTop w:val="0"/>
      <w:marBottom w:val="0"/>
      <w:divBdr>
        <w:top w:val="none" w:sz="0" w:space="0" w:color="auto"/>
        <w:left w:val="none" w:sz="0" w:space="0" w:color="auto"/>
        <w:bottom w:val="none" w:sz="0" w:space="0" w:color="auto"/>
        <w:right w:val="none" w:sz="0" w:space="0" w:color="auto"/>
      </w:divBdr>
    </w:div>
    <w:div w:id="1051222687">
      <w:bodyDiv w:val="1"/>
      <w:marLeft w:val="0"/>
      <w:marRight w:val="0"/>
      <w:marTop w:val="0"/>
      <w:marBottom w:val="0"/>
      <w:divBdr>
        <w:top w:val="none" w:sz="0" w:space="0" w:color="auto"/>
        <w:left w:val="none" w:sz="0" w:space="0" w:color="auto"/>
        <w:bottom w:val="none" w:sz="0" w:space="0" w:color="auto"/>
        <w:right w:val="none" w:sz="0" w:space="0" w:color="auto"/>
      </w:divBdr>
    </w:div>
    <w:div w:id="1062826487">
      <w:bodyDiv w:val="1"/>
      <w:marLeft w:val="0"/>
      <w:marRight w:val="0"/>
      <w:marTop w:val="0"/>
      <w:marBottom w:val="0"/>
      <w:divBdr>
        <w:top w:val="none" w:sz="0" w:space="0" w:color="auto"/>
        <w:left w:val="none" w:sz="0" w:space="0" w:color="auto"/>
        <w:bottom w:val="none" w:sz="0" w:space="0" w:color="auto"/>
        <w:right w:val="none" w:sz="0" w:space="0" w:color="auto"/>
      </w:divBdr>
    </w:div>
    <w:div w:id="1063260101">
      <w:bodyDiv w:val="1"/>
      <w:marLeft w:val="0"/>
      <w:marRight w:val="0"/>
      <w:marTop w:val="0"/>
      <w:marBottom w:val="0"/>
      <w:divBdr>
        <w:top w:val="none" w:sz="0" w:space="0" w:color="auto"/>
        <w:left w:val="none" w:sz="0" w:space="0" w:color="auto"/>
        <w:bottom w:val="none" w:sz="0" w:space="0" w:color="auto"/>
        <w:right w:val="none" w:sz="0" w:space="0" w:color="auto"/>
      </w:divBdr>
    </w:div>
    <w:div w:id="1076587895">
      <w:bodyDiv w:val="1"/>
      <w:marLeft w:val="0"/>
      <w:marRight w:val="0"/>
      <w:marTop w:val="0"/>
      <w:marBottom w:val="0"/>
      <w:divBdr>
        <w:top w:val="none" w:sz="0" w:space="0" w:color="auto"/>
        <w:left w:val="none" w:sz="0" w:space="0" w:color="auto"/>
        <w:bottom w:val="none" w:sz="0" w:space="0" w:color="auto"/>
        <w:right w:val="none" w:sz="0" w:space="0" w:color="auto"/>
      </w:divBdr>
    </w:div>
    <w:div w:id="1186140709">
      <w:bodyDiv w:val="1"/>
      <w:marLeft w:val="0"/>
      <w:marRight w:val="0"/>
      <w:marTop w:val="0"/>
      <w:marBottom w:val="0"/>
      <w:divBdr>
        <w:top w:val="none" w:sz="0" w:space="0" w:color="auto"/>
        <w:left w:val="none" w:sz="0" w:space="0" w:color="auto"/>
        <w:bottom w:val="none" w:sz="0" w:space="0" w:color="auto"/>
        <w:right w:val="none" w:sz="0" w:space="0" w:color="auto"/>
      </w:divBdr>
    </w:div>
    <w:div w:id="1205631091">
      <w:bodyDiv w:val="1"/>
      <w:marLeft w:val="0"/>
      <w:marRight w:val="0"/>
      <w:marTop w:val="0"/>
      <w:marBottom w:val="0"/>
      <w:divBdr>
        <w:top w:val="none" w:sz="0" w:space="0" w:color="auto"/>
        <w:left w:val="none" w:sz="0" w:space="0" w:color="auto"/>
        <w:bottom w:val="none" w:sz="0" w:space="0" w:color="auto"/>
        <w:right w:val="none" w:sz="0" w:space="0" w:color="auto"/>
      </w:divBdr>
    </w:div>
    <w:div w:id="1256597248">
      <w:bodyDiv w:val="1"/>
      <w:marLeft w:val="0"/>
      <w:marRight w:val="0"/>
      <w:marTop w:val="0"/>
      <w:marBottom w:val="0"/>
      <w:divBdr>
        <w:top w:val="none" w:sz="0" w:space="0" w:color="auto"/>
        <w:left w:val="none" w:sz="0" w:space="0" w:color="auto"/>
        <w:bottom w:val="none" w:sz="0" w:space="0" w:color="auto"/>
        <w:right w:val="none" w:sz="0" w:space="0" w:color="auto"/>
      </w:divBdr>
    </w:div>
    <w:div w:id="1257330402">
      <w:bodyDiv w:val="1"/>
      <w:marLeft w:val="0"/>
      <w:marRight w:val="0"/>
      <w:marTop w:val="0"/>
      <w:marBottom w:val="0"/>
      <w:divBdr>
        <w:top w:val="none" w:sz="0" w:space="0" w:color="auto"/>
        <w:left w:val="none" w:sz="0" w:space="0" w:color="auto"/>
        <w:bottom w:val="none" w:sz="0" w:space="0" w:color="auto"/>
        <w:right w:val="none" w:sz="0" w:space="0" w:color="auto"/>
      </w:divBdr>
    </w:div>
    <w:div w:id="1265462180">
      <w:bodyDiv w:val="1"/>
      <w:marLeft w:val="0"/>
      <w:marRight w:val="0"/>
      <w:marTop w:val="0"/>
      <w:marBottom w:val="0"/>
      <w:divBdr>
        <w:top w:val="none" w:sz="0" w:space="0" w:color="auto"/>
        <w:left w:val="none" w:sz="0" w:space="0" w:color="auto"/>
        <w:bottom w:val="none" w:sz="0" w:space="0" w:color="auto"/>
        <w:right w:val="none" w:sz="0" w:space="0" w:color="auto"/>
      </w:divBdr>
    </w:div>
    <w:div w:id="1281184469">
      <w:bodyDiv w:val="1"/>
      <w:marLeft w:val="0"/>
      <w:marRight w:val="0"/>
      <w:marTop w:val="0"/>
      <w:marBottom w:val="0"/>
      <w:divBdr>
        <w:top w:val="none" w:sz="0" w:space="0" w:color="auto"/>
        <w:left w:val="none" w:sz="0" w:space="0" w:color="auto"/>
        <w:bottom w:val="none" w:sz="0" w:space="0" w:color="auto"/>
        <w:right w:val="none" w:sz="0" w:space="0" w:color="auto"/>
      </w:divBdr>
    </w:div>
    <w:div w:id="1338532090">
      <w:bodyDiv w:val="1"/>
      <w:marLeft w:val="0"/>
      <w:marRight w:val="0"/>
      <w:marTop w:val="0"/>
      <w:marBottom w:val="0"/>
      <w:divBdr>
        <w:top w:val="none" w:sz="0" w:space="0" w:color="auto"/>
        <w:left w:val="none" w:sz="0" w:space="0" w:color="auto"/>
        <w:bottom w:val="none" w:sz="0" w:space="0" w:color="auto"/>
        <w:right w:val="none" w:sz="0" w:space="0" w:color="auto"/>
      </w:divBdr>
    </w:div>
    <w:div w:id="1354988894">
      <w:bodyDiv w:val="1"/>
      <w:marLeft w:val="0"/>
      <w:marRight w:val="0"/>
      <w:marTop w:val="0"/>
      <w:marBottom w:val="0"/>
      <w:divBdr>
        <w:top w:val="none" w:sz="0" w:space="0" w:color="auto"/>
        <w:left w:val="none" w:sz="0" w:space="0" w:color="auto"/>
        <w:bottom w:val="none" w:sz="0" w:space="0" w:color="auto"/>
        <w:right w:val="none" w:sz="0" w:space="0" w:color="auto"/>
      </w:divBdr>
    </w:div>
    <w:div w:id="1356467652">
      <w:bodyDiv w:val="1"/>
      <w:marLeft w:val="0"/>
      <w:marRight w:val="0"/>
      <w:marTop w:val="0"/>
      <w:marBottom w:val="0"/>
      <w:divBdr>
        <w:top w:val="none" w:sz="0" w:space="0" w:color="auto"/>
        <w:left w:val="none" w:sz="0" w:space="0" w:color="auto"/>
        <w:bottom w:val="none" w:sz="0" w:space="0" w:color="auto"/>
        <w:right w:val="none" w:sz="0" w:space="0" w:color="auto"/>
      </w:divBdr>
    </w:div>
    <w:div w:id="1375959729">
      <w:bodyDiv w:val="1"/>
      <w:marLeft w:val="0"/>
      <w:marRight w:val="0"/>
      <w:marTop w:val="0"/>
      <w:marBottom w:val="0"/>
      <w:divBdr>
        <w:top w:val="none" w:sz="0" w:space="0" w:color="auto"/>
        <w:left w:val="none" w:sz="0" w:space="0" w:color="auto"/>
        <w:bottom w:val="none" w:sz="0" w:space="0" w:color="auto"/>
        <w:right w:val="none" w:sz="0" w:space="0" w:color="auto"/>
      </w:divBdr>
    </w:div>
    <w:div w:id="1424106442">
      <w:bodyDiv w:val="1"/>
      <w:marLeft w:val="0"/>
      <w:marRight w:val="0"/>
      <w:marTop w:val="0"/>
      <w:marBottom w:val="0"/>
      <w:divBdr>
        <w:top w:val="none" w:sz="0" w:space="0" w:color="auto"/>
        <w:left w:val="none" w:sz="0" w:space="0" w:color="auto"/>
        <w:bottom w:val="none" w:sz="0" w:space="0" w:color="auto"/>
        <w:right w:val="none" w:sz="0" w:space="0" w:color="auto"/>
      </w:divBdr>
    </w:div>
    <w:div w:id="1443450841">
      <w:bodyDiv w:val="1"/>
      <w:marLeft w:val="0"/>
      <w:marRight w:val="0"/>
      <w:marTop w:val="0"/>
      <w:marBottom w:val="0"/>
      <w:divBdr>
        <w:top w:val="none" w:sz="0" w:space="0" w:color="auto"/>
        <w:left w:val="none" w:sz="0" w:space="0" w:color="auto"/>
        <w:bottom w:val="none" w:sz="0" w:space="0" w:color="auto"/>
        <w:right w:val="none" w:sz="0" w:space="0" w:color="auto"/>
      </w:divBdr>
    </w:div>
    <w:div w:id="1448231923">
      <w:bodyDiv w:val="1"/>
      <w:marLeft w:val="0"/>
      <w:marRight w:val="0"/>
      <w:marTop w:val="0"/>
      <w:marBottom w:val="0"/>
      <w:divBdr>
        <w:top w:val="none" w:sz="0" w:space="0" w:color="auto"/>
        <w:left w:val="none" w:sz="0" w:space="0" w:color="auto"/>
        <w:bottom w:val="none" w:sz="0" w:space="0" w:color="auto"/>
        <w:right w:val="none" w:sz="0" w:space="0" w:color="auto"/>
      </w:divBdr>
    </w:div>
    <w:div w:id="1463885191">
      <w:bodyDiv w:val="1"/>
      <w:marLeft w:val="0"/>
      <w:marRight w:val="0"/>
      <w:marTop w:val="0"/>
      <w:marBottom w:val="0"/>
      <w:divBdr>
        <w:top w:val="none" w:sz="0" w:space="0" w:color="auto"/>
        <w:left w:val="none" w:sz="0" w:space="0" w:color="auto"/>
        <w:bottom w:val="none" w:sz="0" w:space="0" w:color="auto"/>
        <w:right w:val="none" w:sz="0" w:space="0" w:color="auto"/>
      </w:divBdr>
    </w:div>
    <w:div w:id="1477989656">
      <w:bodyDiv w:val="1"/>
      <w:marLeft w:val="0"/>
      <w:marRight w:val="0"/>
      <w:marTop w:val="0"/>
      <w:marBottom w:val="0"/>
      <w:divBdr>
        <w:top w:val="none" w:sz="0" w:space="0" w:color="auto"/>
        <w:left w:val="none" w:sz="0" w:space="0" w:color="auto"/>
        <w:bottom w:val="none" w:sz="0" w:space="0" w:color="auto"/>
        <w:right w:val="none" w:sz="0" w:space="0" w:color="auto"/>
      </w:divBdr>
    </w:div>
    <w:div w:id="1497578126">
      <w:bodyDiv w:val="1"/>
      <w:marLeft w:val="0"/>
      <w:marRight w:val="0"/>
      <w:marTop w:val="0"/>
      <w:marBottom w:val="0"/>
      <w:divBdr>
        <w:top w:val="none" w:sz="0" w:space="0" w:color="auto"/>
        <w:left w:val="none" w:sz="0" w:space="0" w:color="auto"/>
        <w:bottom w:val="none" w:sz="0" w:space="0" w:color="auto"/>
        <w:right w:val="none" w:sz="0" w:space="0" w:color="auto"/>
      </w:divBdr>
    </w:div>
    <w:div w:id="1574855970">
      <w:bodyDiv w:val="1"/>
      <w:marLeft w:val="0"/>
      <w:marRight w:val="0"/>
      <w:marTop w:val="0"/>
      <w:marBottom w:val="0"/>
      <w:divBdr>
        <w:top w:val="none" w:sz="0" w:space="0" w:color="auto"/>
        <w:left w:val="none" w:sz="0" w:space="0" w:color="auto"/>
        <w:bottom w:val="none" w:sz="0" w:space="0" w:color="auto"/>
        <w:right w:val="none" w:sz="0" w:space="0" w:color="auto"/>
      </w:divBdr>
    </w:div>
    <w:div w:id="1580871011">
      <w:bodyDiv w:val="1"/>
      <w:marLeft w:val="0"/>
      <w:marRight w:val="0"/>
      <w:marTop w:val="0"/>
      <w:marBottom w:val="0"/>
      <w:divBdr>
        <w:top w:val="none" w:sz="0" w:space="0" w:color="auto"/>
        <w:left w:val="none" w:sz="0" w:space="0" w:color="auto"/>
        <w:bottom w:val="none" w:sz="0" w:space="0" w:color="auto"/>
        <w:right w:val="none" w:sz="0" w:space="0" w:color="auto"/>
      </w:divBdr>
    </w:div>
    <w:div w:id="1617715759">
      <w:bodyDiv w:val="1"/>
      <w:marLeft w:val="0"/>
      <w:marRight w:val="0"/>
      <w:marTop w:val="0"/>
      <w:marBottom w:val="0"/>
      <w:divBdr>
        <w:top w:val="none" w:sz="0" w:space="0" w:color="auto"/>
        <w:left w:val="none" w:sz="0" w:space="0" w:color="auto"/>
        <w:bottom w:val="none" w:sz="0" w:space="0" w:color="auto"/>
        <w:right w:val="none" w:sz="0" w:space="0" w:color="auto"/>
      </w:divBdr>
    </w:div>
    <w:div w:id="1627079964">
      <w:bodyDiv w:val="1"/>
      <w:marLeft w:val="0"/>
      <w:marRight w:val="0"/>
      <w:marTop w:val="0"/>
      <w:marBottom w:val="0"/>
      <w:divBdr>
        <w:top w:val="none" w:sz="0" w:space="0" w:color="auto"/>
        <w:left w:val="none" w:sz="0" w:space="0" w:color="auto"/>
        <w:bottom w:val="none" w:sz="0" w:space="0" w:color="auto"/>
        <w:right w:val="none" w:sz="0" w:space="0" w:color="auto"/>
      </w:divBdr>
    </w:div>
    <w:div w:id="1683774795">
      <w:bodyDiv w:val="1"/>
      <w:marLeft w:val="0"/>
      <w:marRight w:val="0"/>
      <w:marTop w:val="0"/>
      <w:marBottom w:val="0"/>
      <w:divBdr>
        <w:top w:val="none" w:sz="0" w:space="0" w:color="auto"/>
        <w:left w:val="none" w:sz="0" w:space="0" w:color="auto"/>
        <w:bottom w:val="none" w:sz="0" w:space="0" w:color="auto"/>
        <w:right w:val="none" w:sz="0" w:space="0" w:color="auto"/>
      </w:divBdr>
    </w:div>
    <w:div w:id="1716006037">
      <w:bodyDiv w:val="1"/>
      <w:marLeft w:val="0"/>
      <w:marRight w:val="0"/>
      <w:marTop w:val="0"/>
      <w:marBottom w:val="0"/>
      <w:divBdr>
        <w:top w:val="none" w:sz="0" w:space="0" w:color="auto"/>
        <w:left w:val="none" w:sz="0" w:space="0" w:color="auto"/>
        <w:bottom w:val="none" w:sz="0" w:space="0" w:color="auto"/>
        <w:right w:val="none" w:sz="0" w:space="0" w:color="auto"/>
      </w:divBdr>
    </w:div>
    <w:div w:id="1719937132">
      <w:bodyDiv w:val="1"/>
      <w:marLeft w:val="0"/>
      <w:marRight w:val="0"/>
      <w:marTop w:val="0"/>
      <w:marBottom w:val="0"/>
      <w:divBdr>
        <w:top w:val="none" w:sz="0" w:space="0" w:color="auto"/>
        <w:left w:val="none" w:sz="0" w:space="0" w:color="auto"/>
        <w:bottom w:val="none" w:sz="0" w:space="0" w:color="auto"/>
        <w:right w:val="none" w:sz="0" w:space="0" w:color="auto"/>
      </w:divBdr>
    </w:div>
    <w:div w:id="1783107856">
      <w:bodyDiv w:val="1"/>
      <w:marLeft w:val="0"/>
      <w:marRight w:val="0"/>
      <w:marTop w:val="0"/>
      <w:marBottom w:val="0"/>
      <w:divBdr>
        <w:top w:val="none" w:sz="0" w:space="0" w:color="auto"/>
        <w:left w:val="none" w:sz="0" w:space="0" w:color="auto"/>
        <w:bottom w:val="none" w:sz="0" w:space="0" w:color="auto"/>
        <w:right w:val="none" w:sz="0" w:space="0" w:color="auto"/>
      </w:divBdr>
    </w:div>
    <w:div w:id="1838037475">
      <w:bodyDiv w:val="1"/>
      <w:marLeft w:val="0"/>
      <w:marRight w:val="0"/>
      <w:marTop w:val="0"/>
      <w:marBottom w:val="0"/>
      <w:divBdr>
        <w:top w:val="none" w:sz="0" w:space="0" w:color="auto"/>
        <w:left w:val="none" w:sz="0" w:space="0" w:color="auto"/>
        <w:bottom w:val="none" w:sz="0" w:space="0" w:color="auto"/>
        <w:right w:val="none" w:sz="0" w:space="0" w:color="auto"/>
      </w:divBdr>
    </w:div>
    <w:div w:id="1850830749">
      <w:bodyDiv w:val="1"/>
      <w:marLeft w:val="0"/>
      <w:marRight w:val="0"/>
      <w:marTop w:val="0"/>
      <w:marBottom w:val="0"/>
      <w:divBdr>
        <w:top w:val="none" w:sz="0" w:space="0" w:color="auto"/>
        <w:left w:val="none" w:sz="0" w:space="0" w:color="auto"/>
        <w:bottom w:val="none" w:sz="0" w:space="0" w:color="auto"/>
        <w:right w:val="none" w:sz="0" w:space="0" w:color="auto"/>
      </w:divBdr>
    </w:div>
    <w:div w:id="1857377512">
      <w:bodyDiv w:val="1"/>
      <w:marLeft w:val="0"/>
      <w:marRight w:val="0"/>
      <w:marTop w:val="0"/>
      <w:marBottom w:val="0"/>
      <w:divBdr>
        <w:top w:val="none" w:sz="0" w:space="0" w:color="auto"/>
        <w:left w:val="none" w:sz="0" w:space="0" w:color="auto"/>
        <w:bottom w:val="none" w:sz="0" w:space="0" w:color="auto"/>
        <w:right w:val="none" w:sz="0" w:space="0" w:color="auto"/>
      </w:divBdr>
    </w:div>
    <w:div w:id="1870755150">
      <w:bodyDiv w:val="1"/>
      <w:marLeft w:val="0"/>
      <w:marRight w:val="0"/>
      <w:marTop w:val="0"/>
      <w:marBottom w:val="0"/>
      <w:divBdr>
        <w:top w:val="none" w:sz="0" w:space="0" w:color="auto"/>
        <w:left w:val="none" w:sz="0" w:space="0" w:color="auto"/>
        <w:bottom w:val="none" w:sz="0" w:space="0" w:color="auto"/>
        <w:right w:val="none" w:sz="0" w:space="0" w:color="auto"/>
      </w:divBdr>
    </w:div>
    <w:div w:id="1880629503">
      <w:bodyDiv w:val="1"/>
      <w:marLeft w:val="0"/>
      <w:marRight w:val="0"/>
      <w:marTop w:val="0"/>
      <w:marBottom w:val="0"/>
      <w:divBdr>
        <w:top w:val="none" w:sz="0" w:space="0" w:color="auto"/>
        <w:left w:val="none" w:sz="0" w:space="0" w:color="auto"/>
        <w:bottom w:val="none" w:sz="0" w:space="0" w:color="auto"/>
        <w:right w:val="none" w:sz="0" w:space="0" w:color="auto"/>
      </w:divBdr>
    </w:div>
    <w:div w:id="1968463095">
      <w:bodyDiv w:val="1"/>
      <w:marLeft w:val="0"/>
      <w:marRight w:val="0"/>
      <w:marTop w:val="0"/>
      <w:marBottom w:val="0"/>
      <w:divBdr>
        <w:top w:val="none" w:sz="0" w:space="0" w:color="auto"/>
        <w:left w:val="none" w:sz="0" w:space="0" w:color="auto"/>
        <w:bottom w:val="none" w:sz="0" w:space="0" w:color="auto"/>
        <w:right w:val="none" w:sz="0" w:space="0" w:color="auto"/>
      </w:divBdr>
    </w:div>
    <w:div w:id="1981835902">
      <w:bodyDiv w:val="1"/>
      <w:marLeft w:val="0"/>
      <w:marRight w:val="0"/>
      <w:marTop w:val="0"/>
      <w:marBottom w:val="0"/>
      <w:divBdr>
        <w:top w:val="none" w:sz="0" w:space="0" w:color="auto"/>
        <w:left w:val="none" w:sz="0" w:space="0" w:color="auto"/>
        <w:bottom w:val="none" w:sz="0" w:space="0" w:color="auto"/>
        <w:right w:val="none" w:sz="0" w:space="0" w:color="auto"/>
      </w:divBdr>
    </w:div>
    <w:div w:id="1989093530">
      <w:bodyDiv w:val="1"/>
      <w:marLeft w:val="0"/>
      <w:marRight w:val="0"/>
      <w:marTop w:val="0"/>
      <w:marBottom w:val="0"/>
      <w:divBdr>
        <w:top w:val="none" w:sz="0" w:space="0" w:color="auto"/>
        <w:left w:val="none" w:sz="0" w:space="0" w:color="auto"/>
        <w:bottom w:val="none" w:sz="0" w:space="0" w:color="auto"/>
        <w:right w:val="none" w:sz="0" w:space="0" w:color="auto"/>
      </w:divBdr>
    </w:div>
    <w:div w:id="2068410229">
      <w:bodyDiv w:val="1"/>
      <w:marLeft w:val="0"/>
      <w:marRight w:val="0"/>
      <w:marTop w:val="0"/>
      <w:marBottom w:val="0"/>
      <w:divBdr>
        <w:top w:val="none" w:sz="0" w:space="0" w:color="auto"/>
        <w:left w:val="none" w:sz="0" w:space="0" w:color="auto"/>
        <w:bottom w:val="none" w:sz="0" w:space="0" w:color="auto"/>
        <w:right w:val="none" w:sz="0" w:space="0" w:color="auto"/>
      </w:divBdr>
    </w:div>
    <w:div w:id="2120489576">
      <w:bodyDiv w:val="1"/>
      <w:marLeft w:val="0"/>
      <w:marRight w:val="0"/>
      <w:marTop w:val="0"/>
      <w:marBottom w:val="0"/>
      <w:divBdr>
        <w:top w:val="none" w:sz="0" w:space="0" w:color="auto"/>
        <w:left w:val="none" w:sz="0" w:space="0" w:color="auto"/>
        <w:bottom w:val="none" w:sz="0" w:space="0" w:color="auto"/>
        <w:right w:val="none" w:sz="0" w:space="0" w:color="auto"/>
      </w:divBdr>
    </w:div>
    <w:div w:id="2145267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5.emf"/><Relationship Id="rId3" Type="http://schemas.openxmlformats.org/officeDocument/2006/relationships/styles" Target="styles.xml"/><Relationship Id="rId21" Type="http://schemas.openxmlformats.org/officeDocument/2006/relationships/image" Target="media/image8.emf"/><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4.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image" Target="media/image10.emf"/><Relationship Id="rId10" Type="http://schemas.openxmlformats.org/officeDocument/2006/relationships/footer" Target="footer1.xml"/><Relationship Id="rId19" Type="http://schemas.openxmlformats.org/officeDocument/2006/relationships/image" Target="media/image6.emf"/><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1.emf"/><Relationship Id="rId22" Type="http://schemas.openxmlformats.org/officeDocument/2006/relationships/image" Target="media/image9.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elasco\Downloads\TF_Template_Word_Windows_2016%20(InternationalJournalofSustainableTransport\TF_Template_Word_Windows_201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02914E-4C3A-4163-A6C9-332A453E9D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TF_Template_Word_Windows_2016.dotx</Template>
  <TotalTime>1</TotalTime>
  <Pages>18</Pages>
  <Words>2932</Words>
  <Characters>16713</Characters>
  <Application>Microsoft Office Word</Application>
  <DocSecurity>0</DocSecurity>
  <Lines>139</Lines>
  <Paragraphs>39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TF_Template_Word_Windows_2016</vt:lpstr>
      <vt:lpstr>TF_Template_Word_Windows_2016</vt:lpstr>
    </vt:vector>
  </TitlesOfParts>
  <Company>Informa Plc</Company>
  <LinksUpToDate>false</LinksUpToDate>
  <CharactersWithSpaces>19606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TF_Template_Word_Windows_2016</dc:title>
  <dc:subject/>
  <dc:creator>Velasco, Alexandra</dc:creator>
  <cp:keywords/>
  <dc:description/>
  <cp:lastModifiedBy>Bhushan Tandale</cp:lastModifiedBy>
  <cp:revision>11</cp:revision>
  <cp:lastPrinted>2025-03-03T17:11:00Z</cp:lastPrinted>
  <dcterms:created xsi:type="dcterms:W3CDTF">2025-03-01T14:18:00Z</dcterms:created>
  <dcterms:modified xsi:type="dcterms:W3CDTF">2025-03-06T09:52:00Z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8">
    <vt:lpwstr>CloudProjectKey=ohl6402ebvbj3vrbmi3zb1144rw3bnvi1ifu2gc; ProjectName=AV-PhD</vt:lpwstr>
  </property>
  <property fmtid="{D5CDD505-2E9C-101B-9397-08002B2CF9AE}" pid="3" name="CitaviDocumentProperty_7">
    <vt:lpwstr>AV-PhD</vt:lpwstr>
  </property>
  <property fmtid="{D5CDD505-2E9C-101B-9397-08002B2CF9AE}" pid="4" name="CitaviDocumentProperty_0">
    <vt:lpwstr>a497688b-32bf-4a30-a6ed-cca847fabde3</vt:lpwstr>
  </property>
</Properties>
</file>