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C0A00" w14:textId="0EBB212C" w:rsidR="00FB25DB" w:rsidRPr="00B8372F" w:rsidRDefault="00000000">
      <w:pPr>
        <w:pStyle w:val="1"/>
        <w:tabs>
          <w:tab w:val="left" w:pos="8219"/>
        </w:tabs>
        <w:ind w:left="4362"/>
        <w:rPr>
          <w:rFonts w:ascii="微软雅黑" w:eastAsia="微软雅黑" w:hAnsi="微软雅黑" w:hint="eastAsia"/>
          <w:sz w:val="21"/>
          <w:szCs w:val="21"/>
        </w:rPr>
      </w:pPr>
      <w:r w:rsidRPr="00B8372F">
        <w:rPr>
          <w:sz w:val="21"/>
          <w:szCs w:val="21"/>
        </w:rPr>
        <w:tab/>
      </w:r>
    </w:p>
    <w:p w14:paraId="71A86369" w14:textId="77777777" w:rsidR="00FB25DB" w:rsidRPr="00B8372F" w:rsidRDefault="00FB25DB">
      <w:pPr>
        <w:pStyle w:val="a3"/>
        <w:spacing w:before="11"/>
        <w:rPr>
          <w:rFonts w:ascii="微软雅黑"/>
          <w:b/>
          <w:sz w:val="21"/>
          <w:szCs w:val="21"/>
        </w:rPr>
      </w:pPr>
    </w:p>
    <w:p w14:paraId="63FAA2F0" w14:textId="77777777" w:rsidR="00FB25DB" w:rsidRPr="00B8372F" w:rsidRDefault="00000000">
      <w:pPr>
        <w:pStyle w:val="a3"/>
        <w:spacing w:before="91"/>
        <w:ind w:left="1220"/>
        <w:rPr>
          <w:sz w:val="21"/>
          <w:szCs w:val="21"/>
        </w:rPr>
      </w:pPr>
      <w:r w:rsidRPr="00B8372F">
        <w:rPr>
          <w:sz w:val="21"/>
          <w:szCs w:val="21"/>
        </w:rPr>
        <w:t>MATERIALS</w:t>
      </w:r>
      <w:r w:rsidRPr="00B8372F">
        <w:rPr>
          <w:spacing w:val="-9"/>
          <w:sz w:val="21"/>
          <w:szCs w:val="21"/>
        </w:rPr>
        <w:t xml:space="preserve"> </w:t>
      </w:r>
      <w:r w:rsidRPr="00B8372F">
        <w:rPr>
          <w:sz w:val="21"/>
          <w:szCs w:val="21"/>
        </w:rPr>
        <w:t>AND</w:t>
      </w:r>
      <w:r w:rsidRPr="00B8372F">
        <w:rPr>
          <w:spacing w:val="-6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METHODS</w:t>
      </w:r>
    </w:p>
    <w:p w14:paraId="2149AB54" w14:textId="77777777" w:rsidR="00FB25DB" w:rsidRPr="00B8372F" w:rsidRDefault="00FB25DB">
      <w:pPr>
        <w:pStyle w:val="a3"/>
        <w:spacing w:before="7"/>
        <w:rPr>
          <w:sz w:val="21"/>
          <w:szCs w:val="21"/>
        </w:rPr>
      </w:pPr>
    </w:p>
    <w:p w14:paraId="223E7CB3" w14:textId="77777777" w:rsidR="00FB25DB" w:rsidRPr="00B8372F" w:rsidRDefault="00000000">
      <w:pPr>
        <w:pStyle w:val="2"/>
        <w:spacing w:before="92"/>
        <w:ind w:left="1220"/>
        <w:rPr>
          <w:sz w:val="21"/>
          <w:szCs w:val="21"/>
        </w:rPr>
      </w:pPr>
      <w:r w:rsidRPr="00B8372F">
        <w:rPr>
          <w:sz w:val="21"/>
          <w:szCs w:val="21"/>
        </w:rPr>
        <w:t>Metagenome</w:t>
      </w:r>
      <w:r w:rsidRPr="00B8372F">
        <w:rPr>
          <w:spacing w:val="-8"/>
          <w:sz w:val="21"/>
          <w:szCs w:val="21"/>
        </w:rPr>
        <w:t xml:space="preserve"> </w:t>
      </w:r>
      <w:r w:rsidRPr="00B8372F">
        <w:rPr>
          <w:sz w:val="21"/>
          <w:szCs w:val="21"/>
        </w:rPr>
        <w:t>DNA</w:t>
      </w:r>
      <w:r w:rsidRPr="00B8372F">
        <w:rPr>
          <w:spacing w:val="-7"/>
          <w:sz w:val="21"/>
          <w:szCs w:val="21"/>
        </w:rPr>
        <w:t xml:space="preserve"> </w:t>
      </w:r>
      <w:r w:rsidRPr="00B8372F">
        <w:rPr>
          <w:sz w:val="21"/>
          <w:szCs w:val="21"/>
        </w:rPr>
        <w:t>Extraction</w:t>
      </w:r>
      <w:r w:rsidRPr="00B8372F">
        <w:rPr>
          <w:spacing w:val="-7"/>
          <w:sz w:val="21"/>
          <w:szCs w:val="21"/>
        </w:rPr>
        <w:t xml:space="preserve"> </w:t>
      </w:r>
      <w:r w:rsidRPr="00B8372F">
        <w:rPr>
          <w:sz w:val="21"/>
          <w:szCs w:val="21"/>
        </w:rPr>
        <w:t>and</w:t>
      </w:r>
      <w:r w:rsidRPr="00B8372F">
        <w:rPr>
          <w:spacing w:val="-8"/>
          <w:sz w:val="21"/>
          <w:szCs w:val="21"/>
        </w:rPr>
        <w:t xml:space="preserve"> </w:t>
      </w:r>
      <w:r w:rsidRPr="00B8372F">
        <w:rPr>
          <w:sz w:val="21"/>
          <w:szCs w:val="21"/>
        </w:rPr>
        <w:t>Shotgun</w:t>
      </w:r>
      <w:r w:rsidRPr="00B8372F">
        <w:rPr>
          <w:spacing w:val="-8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Sequencing</w:t>
      </w:r>
    </w:p>
    <w:p w14:paraId="5242A7EF" w14:textId="77777777" w:rsidR="00FB25DB" w:rsidRPr="00B8372F" w:rsidRDefault="00FB25DB">
      <w:pPr>
        <w:pStyle w:val="a3"/>
        <w:spacing w:before="6"/>
        <w:rPr>
          <w:b/>
          <w:sz w:val="21"/>
          <w:szCs w:val="21"/>
        </w:rPr>
      </w:pPr>
    </w:p>
    <w:p w14:paraId="62314B8C" w14:textId="77777777" w:rsidR="00FB25DB" w:rsidRPr="00B8372F" w:rsidRDefault="00000000">
      <w:pPr>
        <w:pStyle w:val="a3"/>
        <w:spacing w:before="92" w:line="357" w:lineRule="auto"/>
        <w:ind w:left="1220" w:right="796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Total microbial genomic DNA samples were extracted using the OMEGA Mag-Bind Soil DNA Kit (M5635-02) (Omega Bio-Tek, Norcross, GA, USA), following the manufacturer’s instructions, and stored at -20°C prior to further assessment. The quantity and quality of extracted DNAs were measured using a Qubit</w:t>
      </w:r>
      <w:r w:rsidRPr="00B8372F">
        <w:rPr>
          <w:rFonts w:ascii="宋体" w:hAnsi="宋体"/>
          <w:sz w:val="21"/>
          <w:szCs w:val="21"/>
        </w:rPr>
        <w:t xml:space="preserve">™ </w:t>
      </w:r>
      <w:r w:rsidRPr="00B8372F">
        <w:rPr>
          <w:sz w:val="21"/>
          <w:szCs w:val="21"/>
        </w:rPr>
        <w:t>4 Fluorometer, with WiFi: Q33238 (Qubit</w:t>
      </w:r>
      <w:r w:rsidRPr="00B8372F">
        <w:rPr>
          <w:rFonts w:ascii="宋体" w:hAnsi="宋体"/>
          <w:sz w:val="21"/>
          <w:szCs w:val="21"/>
        </w:rPr>
        <w:t xml:space="preserve">™ </w:t>
      </w:r>
      <w:r w:rsidRPr="00B8372F">
        <w:rPr>
          <w:sz w:val="21"/>
          <w:szCs w:val="21"/>
        </w:rPr>
        <w:t>Assay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Tubes: Q32856; Qubit</w:t>
      </w:r>
      <w:r w:rsidRPr="00B8372F">
        <w:rPr>
          <w:spacing w:val="-14"/>
          <w:sz w:val="21"/>
          <w:szCs w:val="21"/>
        </w:rPr>
        <w:t xml:space="preserve"> </w:t>
      </w:r>
      <w:r w:rsidRPr="00B8372F">
        <w:rPr>
          <w:rFonts w:ascii="宋体" w:hAnsi="宋体"/>
          <w:sz w:val="21"/>
          <w:szCs w:val="21"/>
        </w:rPr>
        <w:t xml:space="preserve">™ </w:t>
      </w:r>
      <w:r w:rsidRPr="00B8372F">
        <w:rPr>
          <w:sz w:val="21"/>
          <w:szCs w:val="21"/>
        </w:rPr>
        <w:t>1X dsDNA HS Assay Kit: Q33231) (Invitrogen, USA) and agarose gel electrophoresis, respectively. The extracted microbial DNA was processed to construct</w:t>
      </w:r>
      <w:r w:rsidRPr="00B8372F">
        <w:rPr>
          <w:spacing w:val="37"/>
          <w:sz w:val="21"/>
          <w:szCs w:val="21"/>
        </w:rPr>
        <w:t xml:space="preserve"> </w:t>
      </w:r>
      <w:r w:rsidRPr="00B8372F">
        <w:rPr>
          <w:sz w:val="21"/>
          <w:szCs w:val="21"/>
        </w:rPr>
        <w:t>metagenome</w:t>
      </w:r>
      <w:r w:rsidRPr="00B8372F">
        <w:rPr>
          <w:spacing w:val="44"/>
          <w:sz w:val="21"/>
          <w:szCs w:val="21"/>
        </w:rPr>
        <w:t xml:space="preserve"> </w:t>
      </w:r>
      <w:r w:rsidRPr="00B8372F">
        <w:rPr>
          <w:sz w:val="21"/>
          <w:szCs w:val="21"/>
        </w:rPr>
        <w:t>shotgun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sequencing</w:t>
      </w:r>
      <w:r w:rsidRPr="00B8372F">
        <w:rPr>
          <w:spacing w:val="42"/>
          <w:sz w:val="21"/>
          <w:szCs w:val="21"/>
        </w:rPr>
        <w:t xml:space="preserve"> </w:t>
      </w:r>
      <w:r w:rsidRPr="00B8372F">
        <w:rPr>
          <w:sz w:val="21"/>
          <w:szCs w:val="21"/>
        </w:rPr>
        <w:t>libraries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with</w:t>
      </w:r>
      <w:r w:rsidRPr="00B8372F">
        <w:rPr>
          <w:spacing w:val="43"/>
          <w:sz w:val="21"/>
          <w:szCs w:val="21"/>
        </w:rPr>
        <w:t xml:space="preserve"> </w:t>
      </w:r>
      <w:r w:rsidRPr="00B8372F">
        <w:rPr>
          <w:sz w:val="21"/>
          <w:szCs w:val="21"/>
        </w:rPr>
        <w:t>insert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sizes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of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400</w:t>
      </w:r>
      <w:r w:rsidRPr="00B8372F">
        <w:rPr>
          <w:spacing w:val="41"/>
          <w:sz w:val="21"/>
          <w:szCs w:val="21"/>
        </w:rPr>
        <w:t xml:space="preserve"> </w:t>
      </w:r>
      <w:r w:rsidRPr="00B8372F">
        <w:rPr>
          <w:sz w:val="21"/>
          <w:szCs w:val="21"/>
        </w:rPr>
        <w:t>bp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by</w:t>
      </w:r>
      <w:r w:rsidRPr="00B8372F">
        <w:rPr>
          <w:spacing w:val="43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using</w:t>
      </w:r>
    </w:p>
    <w:p w14:paraId="182C1DE4" w14:textId="77777777" w:rsidR="00FB25DB" w:rsidRPr="00B8372F" w:rsidRDefault="00000000">
      <w:pPr>
        <w:pStyle w:val="a3"/>
        <w:spacing w:before="8" w:line="369" w:lineRule="auto"/>
        <w:ind w:left="1220" w:right="729"/>
        <w:rPr>
          <w:sz w:val="21"/>
          <w:szCs w:val="21"/>
        </w:rPr>
      </w:pPr>
      <w:r w:rsidRPr="00B8372F">
        <w:rPr>
          <w:sz w:val="21"/>
          <w:szCs w:val="21"/>
        </w:rPr>
        <w:t>Illumina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TruSeq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Nano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DNA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LT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Library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Preparation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Kit.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Each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library</w:t>
      </w:r>
      <w:r w:rsidRPr="00B8372F">
        <w:rPr>
          <w:spacing w:val="39"/>
          <w:sz w:val="21"/>
          <w:szCs w:val="21"/>
        </w:rPr>
        <w:t xml:space="preserve"> </w:t>
      </w:r>
      <w:r w:rsidRPr="00B8372F">
        <w:rPr>
          <w:sz w:val="21"/>
          <w:szCs w:val="21"/>
        </w:rPr>
        <w:t>was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sequenced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by Illumina NovaSeq platform (Illumina, USA) with PE150 strategy at Metabo-Profile Biotechnology Co., Ltd. (Shanghai, China).</w:t>
      </w:r>
    </w:p>
    <w:p w14:paraId="6F837A1C" w14:textId="77777777" w:rsidR="00FB25DB" w:rsidRPr="00B8372F" w:rsidRDefault="00FB25DB">
      <w:pPr>
        <w:pStyle w:val="a3"/>
        <w:rPr>
          <w:sz w:val="21"/>
          <w:szCs w:val="21"/>
        </w:rPr>
      </w:pPr>
    </w:p>
    <w:p w14:paraId="21F06C8D" w14:textId="77777777" w:rsidR="00FB25DB" w:rsidRPr="00B8372F" w:rsidRDefault="00FB25DB">
      <w:pPr>
        <w:pStyle w:val="a3"/>
        <w:rPr>
          <w:sz w:val="21"/>
          <w:szCs w:val="21"/>
        </w:rPr>
      </w:pPr>
    </w:p>
    <w:p w14:paraId="1F8111C0" w14:textId="77777777" w:rsidR="00FB25DB" w:rsidRPr="00B8372F" w:rsidRDefault="00FB25DB">
      <w:pPr>
        <w:pStyle w:val="a3"/>
        <w:spacing w:before="4"/>
        <w:rPr>
          <w:sz w:val="21"/>
          <w:szCs w:val="21"/>
        </w:rPr>
      </w:pPr>
    </w:p>
    <w:p w14:paraId="3592B2E4" w14:textId="77777777" w:rsidR="00FB25DB" w:rsidRPr="00B8372F" w:rsidRDefault="00000000">
      <w:pPr>
        <w:pStyle w:val="2"/>
        <w:spacing w:before="0"/>
        <w:ind w:left="1220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Metagenomics</w:t>
      </w:r>
      <w:r w:rsidRPr="00B8372F">
        <w:rPr>
          <w:spacing w:val="-12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Analysis</w:t>
      </w:r>
    </w:p>
    <w:p w14:paraId="57E59AE3" w14:textId="77777777" w:rsidR="00FB25DB" w:rsidRPr="00B8372F" w:rsidRDefault="00FB25DB">
      <w:pPr>
        <w:pStyle w:val="a3"/>
        <w:rPr>
          <w:b/>
          <w:sz w:val="21"/>
          <w:szCs w:val="21"/>
        </w:rPr>
      </w:pPr>
    </w:p>
    <w:p w14:paraId="5B16BD00" w14:textId="77CD8C34" w:rsidR="00FB25DB" w:rsidRPr="00B8372F" w:rsidRDefault="00000000" w:rsidP="00B8372F">
      <w:pPr>
        <w:spacing w:line="355" w:lineRule="auto"/>
        <w:ind w:left="1220" w:right="797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Raw sequencing reads were processed to obtain quality-filtered reads for further analysis. First, sequencing adapters were removed from sequencing reads using Cutadapt (v1.2.1) (</w:t>
      </w:r>
      <w:hyperlink w:anchor="_bookmark5" w:history="1">
        <w:r w:rsidRPr="00B8372F">
          <w:rPr>
            <w:sz w:val="21"/>
            <w:szCs w:val="21"/>
          </w:rPr>
          <w:t>Martin 2011</w:t>
        </w:r>
      </w:hyperlink>
      <w:r w:rsidRPr="00B8372F">
        <w:rPr>
          <w:sz w:val="21"/>
          <w:szCs w:val="21"/>
        </w:rPr>
        <w:t>). Secondly, low quality reads were trimmed using a sliding-window algorithm in fastp (</w:t>
      </w:r>
      <w:hyperlink w:anchor="_bookmark3" w:history="1">
        <w:r w:rsidRPr="00B8372F">
          <w:rPr>
            <w:sz w:val="21"/>
            <w:szCs w:val="21"/>
          </w:rPr>
          <w:t>C</w:t>
        </w:r>
      </w:hyperlink>
      <w:hyperlink w:anchor="_bookmark3" w:history="1">
        <w:r w:rsidRPr="00B8372F">
          <w:rPr>
            <w:sz w:val="21"/>
            <w:szCs w:val="21"/>
          </w:rPr>
          <w:t>hen, Zhou</w:t>
        </w:r>
      </w:hyperlink>
      <w:r w:rsidRPr="00B8372F">
        <w:rPr>
          <w:sz w:val="21"/>
          <w:szCs w:val="21"/>
        </w:rPr>
        <w:t xml:space="preserve"> et</w:t>
      </w:r>
      <w:r w:rsidRPr="00B8372F">
        <w:rPr>
          <w:spacing w:val="2"/>
          <w:sz w:val="21"/>
          <w:szCs w:val="21"/>
        </w:rPr>
        <w:t xml:space="preserve"> </w:t>
      </w:r>
      <w:r w:rsidRPr="00B8372F">
        <w:rPr>
          <w:sz w:val="21"/>
          <w:szCs w:val="21"/>
        </w:rPr>
        <w:t>al</w:t>
      </w:r>
      <w:r w:rsidRPr="00B8372F">
        <w:rPr>
          <w:spacing w:val="1"/>
          <w:sz w:val="21"/>
          <w:szCs w:val="21"/>
        </w:rPr>
        <w:t xml:space="preserve">. </w:t>
      </w:r>
      <w:r w:rsidRPr="00B8372F">
        <w:rPr>
          <w:sz w:val="21"/>
          <w:szCs w:val="21"/>
        </w:rPr>
        <w:t>2018).</w:t>
      </w:r>
      <w:r w:rsidR="00B8372F" w:rsidRPr="00B8372F">
        <w:rPr>
          <w:sz w:val="21"/>
          <w:szCs w:val="21"/>
        </w:rPr>
        <w:t xml:space="preserve"> </w:t>
      </w:r>
      <w:r w:rsidR="00B8372F" w:rsidRPr="00B8372F">
        <w:rPr>
          <w:sz w:val="21"/>
          <w:szCs w:val="21"/>
        </w:rPr>
        <w:t>Thirdly, reads were aligned to the host genome of homo sapiens using BMTagger to remove host contamination (Rotmistrovsky and Agarwala 2011).</w:t>
      </w:r>
      <w:r w:rsidRPr="00B8372F">
        <w:rPr>
          <w:sz w:val="21"/>
          <w:szCs w:val="21"/>
        </w:rPr>
        <w:t xml:space="preserve"> Once quality-filtered reads were obtained</w:t>
      </w:r>
      <w:r w:rsidRPr="00B8372F">
        <w:rPr>
          <w:spacing w:val="-14"/>
          <w:sz w:val="21"/>
          <w:szCs w:val="21"/>
        </w:rPr>
        <w:t xml:space="preserve"> </w:t>
      </w:r>
      <w:r w:rsidRPr="00B8372F">
        <w:rPr>
          <w:rFonts w:ascii="微软雅黑" w:eastAsia="微软雅黑" w:hAnsi="微软雅黑"/>
          <w:sz w:val="21"/>
          <w:szCs w:val="21"/>
        </w:rPr>
        <w:t>，</w:t>
      </w:r>
      <w:r w:rsidRPr="00B8372F">
        <w:rPr>
          <w:rFonts w:ascii="微软雅黑" w:eastAsia="微软雅黑" w:hAnsi="微软雅黑"/>
          <w:spacing w:val="-15"/>
          <w:sz w:val="21"/>
          <w:szCs w:val="21"/>
        </w:rPr>
        <w:t xml:space="preserve"> </w:t>
      </w:r>
      <w:r w:rsidRPr="00B8372F">
        <w:rPr>
          <w:sz w:val="21"/>
          <w:szCs w:val="21"/>
        </w:rPr>
        <w:t>taxonomical classifications of metagenomics sequencing reads from each sample were performed using [Kraken2 (</w:t>
      </w:r>
      <w:hyperlink w:anchor="_bookmark11" w:history="1">
        <w:r w:rsidRPr="00B8372F">
          <w:rPr>
            <w:sz w:val="21"/>
            <w:szCs w:val="21"/>
          </w:rPr>
          <w:t>Wood, Lu et al. 2019</w:t>
        </w:r>
      </w:hyperlink>
      <w:r w:rsidRPr="00B8372F">
        <w:rPr>
          <w:sz w:val="21"/>
          <w:szCs w:val="21"/>
        </w:rPr>
        <w:t>) against an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RefSeq-derived database, which included genomes from archaea, bacteria, viruses, fungi, protozoans, metazoans and viridiplantae. Reads assigned to metazoans or viridiplantae were removed for downstream analysis] or [Kaiju (Menzel et al., 2016) with greedy-5 mode against an nr-derived database, which included proteins from archaea, bacteria, viruses, fungi and microbial eukaryotes]. Megahit (v1.1.2)(</w:t>
      </w:r>
      <w:hyperlink w:anchor="_bookmark4" w:history="1">
        <w:r w:rsidRPr="00B8372F">
          <w:rPr>
            <w:sz w:val="21"/>
            <w:szCs w:val="21"/>
          </w:rPr>
          <w:t>Liu, Chi-Man et al. 2015</w:t>
        </w:r>
      </w:hyperlink>
      <w:r w:rsidRPr="00B8372F">
        <w:rPr>
          <w:sz w:val="21"/>
          <w:szCs w:val="21"/>
        </w:rPr>
        <w:t>) was used to assemble for each sample using the meta-large presetted parameters. The generated contigs (longer than 300bp) were then pooled together and clustered using mmseqs2 (</w:t>
      </w:r>
      <w:hyperlink w:anchor="_bookmark10" w:history="1">
        <w:r w:rsidRPr="00B8372F">
          <w:rPr>
            <w:sz w:val="21"/>
            <w:szCs w:val="21"/>
          </w:rPr>
          <w:t>Steinegger and SöDing 2017</w:t>
        </w:r>
      </w:hyperlink>
      <w:r w:rsidRPr="00B8372F">
        <w:rPr>
          <w:sz w:val="21"/>
          <w:szCs w:val="21"/>
        </w:rPr>
        <w:t>) with “easy-linclust” mode, setting sequence identity threshold to 0.95 and covered residuse of the shorter contig to 90%. The lowest common ancestor taxonomy of the non-redundant contigs was obtained by aligning them against the NCBI-nt database by mmseqs2 (</w:t>
      </w:r>
      <w:hyperlink w:anchor="_bookmark10" w:history="1">
        <w:r w:rsidRPr="00B8372F">
          <w:rPr>
            <w:sz w:val="21"/>
            <w:szCs w:val="21"/>
          </w:rPr>
          <w:t>Steinegger and SöDing 2017</w:t>
        </w:r>
      </w:hyperlink>
      <w:r w:rsidRPr="00B8372F">
        <w:rPr>
          <w:sz w:val="21"/>
          <w:szCs w:val="21"/>
        </w:rPr>
        <w:t>) with “taxonomy” mode, and contigs assigned to Viridiplantae or Metazoa were dropped in the following analysis. MetaGeneMark (</w:t>
      </w:r>
      <w:hyperlink w:anchor="_bookmark12" w:history="1">
        <w:r w:rsidRPr="00B8372F">
          <w:rPr>
            <w:sz w:val="21"/>
            <w:szCs w:val="21"/>
          </w:rPr>
          <w:t>Zhu,</w:t>
        </w:r>
        <w:r w:rsidRPr="00B8372F">
          <w:rPr>
            <w:spacing w:val="-2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Alexandre et al. 2010</w:t>
        </w:r>
      </w:hyperlink>
      <w:r w:rsidRPr="00B8372F">
        <w:rPr>
          <w:sz w:val="21"/>
          <w:szCs w:val="21"/>
        </w:rPr>
        <w:t>) was used to predict the genes in the</w:t>
      </w:r>
      <w:r w:rsidRPr="00B8372F">
        <w:rPr>
          <w:spacing w:val="19"/>
          <w:sz w:val="21"/>
          <w:szCs w:val="21"/>
        </w:rPr>
        <w:t xml:space="preserve"> </w:t>
      </w:r>
      <w:r w:rsidRPr="00B8372F">
        <w:rPr>
          <w:sz w:val="21"/>
          <w:szCs w:val="21"/>
        </w:rPr>
        <w:t>contigs.</w:t>
      </w:r>
      <w:r w:rsidRPr="00B8372F">
        <w:rPr>
          <w:spacing w:val="23"/>
          <w:sz w:val="21"/>
          <w:szCs w:val="21"/>
        </w:rPr>
        <w:t xml:space="preserve"> </w:t>
      </w:r>
      <w:r w:rsidRPr="00B8372F">
        <w:rPr>
          <w:sz w:val="21"/>
          <w:szCs w:val="21"/>
        </w:rPr>
        <w:t>CDS</w:t>
      </w:r>
      <w:r w:rsidRPr="00B8372F">
        <w:rPr>
          <w:spacing w:val="20"/>
          <w:sz w:val="21"/>
          <w:szCs w:val="21"/>
        </w:rPr>
        <w:t xml:space="preserve"> </w:t>
      </w:r>
      <w:r w:rsidRPr="00B8372F">
        <w:rPr>
          <w:sz w:val="21"/>
          <w:szCs w:val="21"/>
        </w:rPr>
        <w:t>sequences</w:t>
      </w:r>
      <w:r w:rsidRPr="00B8372F">
        <w:rPr>
          <w:spacing w:val="21"/>
          <w:sz w:val="21"/>
          <w:szCs w:val="21"/>
        </w:rPr>
        <w:t xml:space="preserve"> </w:t>
      </w:r>
      <w:r w:rsidRPr="00B8372F">
        <w:rPr>
          <w:sz w:val="21"/>
          <w:szCs w:val="21"/>
        </w:rPr>
        <w:t>of</w:t>
      </w:r>
      <w:r w:rsidRPr="00B8372F">
        <w:rPr>
          <w:spacing w:val="18"/>
          <w:sz w:val="21"/>
          <w:szCs w:val="21"/>
        </w:rPr>
        <w:t xml:space="preserve"> </w:t>
      </w:r>
      <w:r w:rsidRPr="00B8372F">
        <w:rPr>
          <w:sz w:val="21"/>
          <w:szCs w:val="21"/>
        </w:rPr>
        <w:t>all</w:t>
      </w:r>
      <w:r w:rsidRPr="00B8372F">
        <w:rPr>
          <w:spacing w:val="20"/>
          <w:sz w:val="21"/>
          <w:szCs w:val="21"/>
        </w:rPr>
        <w:t xml:space="preserve"> </w:t>
      </w:r>
      <w:r w:rsidRPr="00B8372F">
        <w:rPr>
          <w:sz w:val="21"/>
          <w:szCs w:val="21"/>
        </w:rPr>
        <w:t>samples</w:t>
      </w:r>
      <w:r w:rsidRPr="00B8372F">
        <w:rPr>
          <w:spacing w:val="21"/>
          <w:sz w:val="21"/>
          <w:szCs w:val="21"/>
        </w:rPr>
        <w:t xml:space="preserve"> </w:t>
      </w:r>
      <w:r w:rsidRPr="00B8372F">
        <w:rPr>
          <w:sz w:val="21"/>
          <w:szCs w:val="21"/>
        </w:rPr>
        <w:t>were</w:t>
      </w:r>
      <w:r w:rsidRPr="00B8372F">
        <w:rPr>
          <w:spacing w:val="19"/>
          <w:sz w:val="21"/>
          <w:szCs w:val="21"/>
        </w:rPr>
        <w:t xml:space="preserve"> </w:t>
      </w:r>
      <w:r w:rsidRPr="00B8372F">
        <w:rPr>
          <w:sz w:val="21"/>
          <w:szCs w:val="21"/>
        </w:rPr>
        <w:t>clustered</w:t>
      </w:r>
      <w:r w:rsidRPr="00B8372F">
        <w:rPr>
          <w:spacing w:val="22"/>
          <w:sz w:val="21"/>
          <w:szCs w:val="21"/>
        </w:rPr>
        <w:t xml:space="preserve"> </w:t>
      </w:r>
      <w:r w:rsidRPr="00B8372F">
        <w:rPr>
          <w:sz w:val="21"/>
          <w:szCs w:val="21"/>
        </w:rPr>
        <w:t>by</w:t>
      </w:r>
      <w:r w:rsidRPr="00B8372F">
        <w:rPr>
          <w:spacing w:val="20"/>
          <w:sz w:val="21"/>
          <w:szCs w:val="21"/>
        </w:rPr>
        <w:t xml:space="preserve"> </w:t>
      </w:r>
      <w:r w:rsidRPr="00B8372F">
        <w:rPr>
          <w:sz w:val="21"/>
          <w:szCs w:val="21"/>
        </w:rPr>
        <w:t>mmseqs2</w:t>
      </w:r>
      <w:r w:rsidRPr="00B8372F">
        <w:rPr>
          <w:spacing w:val="20"/>
          <w:sz w:val="21"/>
          <w:szCs w:val="21"/>
        </w:rPr>
        <w:t xml:space="preserve"> </w:t>
      </w:r>
      <w:r w:rsidRPr="00B8372F">
        <w:rPr>
          <w:sz w:val="21"/>
          <w:szCs w:val="21"/>
        </w:rPr>
        <w:t>(</w:t>
      </w:r>
      <w:hyperlink w:anchor="_bookmark10" w:history="1">
        <w:r w:rsidRPr="00B8372F">
          <w:rPr>
            <w:sz w:val="21"/>
            <w:szCs w:val="21"/>
          </w:rPr>
          <w:t>Steinegger</w:t>
        </w:r>
        <w:r w:rsidRPr="00B8372F">
          <w:rPr>
            <w:spacing w:val="21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and</w:t>
        </w:r>
        <w:r w:rsidRPr="00B8372F">
          <w:rPr>
            <w:spacing w:val="20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SöDing</w:t>
        </w:r>
      </w:hyperlink>
    </w:p>
    <w:p w14:paraId="125D876A" w14:textId="77777777" w:rsidR="00FB25DB" w:rsidRPr="00B8372F" w:rsidRDefault="00FB25DB">
      <w:pPr>
        <w:spacing w:line="357" w:lineRule="auto"/>
        <w:jc w:val="both"/>
        <w:rPr>
          <w:sz w:val="21"/>
          <w:szCs w:val="21"/>
        </w:rPr>
        <w:sectPr w:rsidR="00FB25DB" w:rsidRPr="00B8372F">
          <w:type w:val="continuous"/>
          <w:pgSz w:w="11910" w:h="16840"/>
          <w:pgMar w:top="520" w:right="1000" w:bottom="280" w:left="580" w:header="720" w:footer="720" w:gutter="0"/>
          <w:cols w:space="720"/>
        </w:sectPr>
      </w:pPr>
    </w:p>
    <w:p w14:paraId="29209BE4" w14:textId="2166C17B" w:rsidR="00FB25DB" w:rsidRPr="00B8372F" w:rsidRDefault="00FB25DB">
      <w:pPr>
        <w:pStyle w:val="a3"/>
        <w:rPr>
          <w:sz w:val="21"/>
          <w:szCs w:val="21"/>
        </w:rPr>
      </w:pPr>
    </w:p>
    <w:p w14:paraId="749CDE2A" w14:textId="2CE313AD" w:rsidR="00FB25DB" w:rsidRPr="00B8372F" w:rsidRDefault="00000000" w:rsidP="00B8372F">
      <w:pPr>
        <w:pStyle w:val="1"/>
        <w:tabs>
          <w:tab w:val="left" w:pos="7373"/>
        </w:tabs>
        <w:spacing w:before="200"/>
        <w:ind w:left="0"/>
        <w:rPr>
          <w:rFonts w:ascii="微软雅黑" w:eastAsia="微软雅黑" w:hAnsi="微软雅黑" w:hint="eastAsia"/>
          <w:sz w:val="21"/>
          <w:szCs w:val="21"/>
          <w:lang w:eastAsia="zh-CN"/>
        </w:rPr>
      </w:pPr>
      <w:r w:rsidRPr="00B8372F">
        <w:rPr>
          <w:sz w:val="21"/>
          <w:szCs w:val="21"/>
        </w:rPr>
        <w:tab/>
      </w:r>
    </w:p>
    <w:p w14:paraId="4103F2BC" w14:textId="77777777" w:rsidR="00FB25DB" w:rsidRPr="00B8372F" w:rsidRDefault="00FB25DB">
      <w:pPr>
        <w:pStyle w:val="a3"/>
        <w:spacing w:before="7"/>
        <w:rPr>
          <w:rFonts w:ascii="微软雅黑"/>
          <w:b/>
          <w:sz w:val="21"/>
          <w:szCs w:val="21"/>
        </w:rPr>
      </w:pPr>
    </w:p>
    <w:p w14:paraId="4F83EB57" w14:textId="77777777" w:rsidR="00FB25DB" w:rsidRPr="00B8372F" w:rsidRDefault="00000000">
      <w:pPr>
        <w:spacing w:before="91" w:line="360" w:lineRule="auto"/>
        <w:ind w:left="1220" w:right="729"/>
        <w:rPr>
          <w:sz w:val="21"/>
          <w:szCs w:val="21"/>
        </w:rPr>
      </w:pPr>
      <w:hyperlink w:anchor="_bookmark10" w:history="1">
        <w:r w:rsidRPr="00B8372F">
          <w:rPr>
            <w:sz w:val="21"/>
            <w:szCs w:val="21"/>
          </w:rPr>
          <w:t>2017</w:t>
        </w:r>
      </w:hyperlink>
      <w:r w:rsidRPr="00B8372F">
        <w:rPr>
          <w:sz w:val="21"/>
          <w:szCs w:val="21"/>
        </w:rPr>
        <w:t>) with “easy-cluster” mode, setting protein sequence identity threshold to 0.90 and covered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residuse of the shorter contig to 90%. To assess the abundances of these genes, the high-quality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reads</w:t>
      </w:r>
      <w:r w:rsidRPr="00B8372F">
        <w:rPr>
          <w:spacing w:val="-3"/>
          <w:sz w:val="21"/>
          <w:szCs w:val="21"/>
        </w:rPr>
        <w:t xml:space="preserve"> </w:t>
      </w:r>
      <w:r w:rsidRPr="00B8372F">
        <w:rPr>
          <w:sz w:val="21"/>
          <w:szCs w:val="21"/>
        </w:rPr>
        <w:t>from</w:t>
      </w:r>
      <w:r w:rsidRPr="00B8372F">
        <w:rPr>
          <w:spacing w:val="-3"/>
          <w:sz w:val="21"/>
          <w:szCs w:val="21"/>
        </w:rPr>
        <w:t xml:space="preserve"> </w:t>
      </w:r>
      <w:r w:rsidRPr="00B8372F">
        <w:rPr>
          <w:sz w:val="21"/>
          <w:szCs w:val="21"/>
        </w:rPr>
        <w:t>each</w:t>
      </w:r>
      <w:r w:rsidRPr="00B8372F">
        <w:rPr>
          <w:spacing w:val="-4"/>
          <w:sz w:val="21"/>
          <w:szCs w:val="21"/>
        </w:rPr>
        <w:t xml:space="preserve"> </w:t>
      </w:r>
      <w:r w:rsidRPr="00B8372F">
        <w:rPr>
          <w:sz w:val="21"/>
          <w:szCs w:val="21"/>
        </w:rPr>
        <w:t>sample were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mapped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onto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the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predicted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gene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sequences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using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salmon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(</w:t>
      </w:r>
      <w:hyperlink w:anchor="_bookmark6" w:history="1">
        <w:r w:rsidRPr="00B8372F">
          <w:rPr>
            <w:sz w:val="21"/>
            <w:szCs w:val="21"/>
          </w:rPr>
          <w:t>Patro</w:t>
        </w:r>
        <w:r w:rsidRPr="00B8372F">
          <w:rPr>
            <w:spacing w:val="-2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2015</w:t>
        </w:r>
      </w:hyperlink>
      <w:r w:rsidRPr="00B8372F">
        <w:rPr>
          <w:sz w:val="21"/>
          <w:szCs w:val="21"/>
        </w:rPr>
        <w:t>) in the quasi-mapping-based mode with “--meta --minScoreFraction=0.55 ”, and the CPM (copy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per kilobase per million mapped reads) was used to normalize abundance values in metagenomes. The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functionality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of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the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non-redundant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genes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were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obtained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by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annotated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using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mmseqs2 (</w:t>
      </w:r>
      <w:hyperlink w:anchor="_bookmark10" w:history="1">
        <w:r w:rsidRPr="00B8372F">
          <w:rPr>
            <w:sz w:val="21"/>
            <w:szCs w:val="21"/>
          </w:rPr>
          <w:t>Steinegger and SöDing 2017</w:t>
        </w:r>
      </w:hyperlink>
      <w:r w:rsidRPr="00B8372F">
        <w:rPr>
          <w:sz w:val="21"/>
          <w:szCs w:val="21"/>
        </w:rPr>
        <w:t>) with the “search” mode against the protein databases of KEGG, EggNOG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and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CAZy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databases,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respectively.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EggNOG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and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GO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were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obtained</w:t>
      </w:r>
      <w:r w:rsidRPr="00B8372F">
        <w:rPr>
          <w:spacing w:val="80"/>
          <w:sz w:val="21"/>
          <w:szCs w:val="21"/>
        </w:rPr>
        <w:t xml:space="preserve"> </w:t>
      </w:r>
      <w:r w:rsidRPr="00B8372F">
        <w:rPr>
          <w:sz w:val="21"/>
          <w:szCs w:val="21"/>
        </w:rPr>
        <w:t>using EggNOG-mapper (v2) (</w:t>
      </w:r>
      <w:hyperlink w:anchor="_bookmark2" w:history="1">
        <w:r w:rsidRPr="00B8372F">
          <w:rPr>
            <w:sz w:val="21"/>
            <w:szCs w:val="21"/>
          </w:rPr>
          <w:t>Cantalapiedra, Hernández-Plaza et al. 2021</w:t>
        </w:r>
      </w:hyperlink>
      <w:r w:rsidRPr="00B8372F">
        <w:rPr>
          <w:sz w:val="21"/>
          <w:szCs w:val="21"/>
        </w:rPr>
        <w:t>). GO ontology was obtained using map2slim (</w:t>
      </w:r>
      <w:hyperlink r:id="rId6">
        <w:r w:rsidRPr="00B8372F">
          <w:rPr>
            <w:sz w:val="21"/>
            <w:szCs w:val="21"/>
          </w:rPr>
          <w:t>www.metacpan.org</w:t>
        </w:r>
      </w:hyperlink>
      <w:r w:rsidRPr="00B8372F">
        <w:rPr>
          <w:sz w:val="21"/>
          <w:szCs w:val="21"/>
        </w:rPr>
        <w:t>). KO were obtained using KOBAS (</w:t>
      </w:r>
      <w:hyperlink w:anchor="_bookmark1" w:history="1">
        <w:r w:rsidRPr="00B8372F">
          <w:rPr>
            <w:sz w:val="21"/>
            <w:szCs w:val="21"/>
          </w:rPr>
          <w:t>Bu 2021</w:t>
        </w:r>
      </w:hyperlink>
      <w:r w:rsidRPr="00B8372F">
        <w:rPr>
          <w:sz w:val="21"/>
          <w:szCs w:val="21"/>
        </w:rPr>
        <w:t>).</w:t>
      </w:r>
    </w:p>
    <w:p w14:paraId="12E848AB" w14:textId="77777777" w:rsidR="00FB25DB" w:rsidRPr="00B8372F" w:rsidRDefault="00FB25DB">
      <w:pPr>
        <w:pStyle w:val="a3"/>
        <w:rPr>
          <w:sz w:val="21"/>
          <w:szCs w:val="21"/>
        </w:rPr>
      </w:pPr>
    </w:p>
    <w:p w14:paraId="74387659" w14:textId="77777777" w:rsidR="00FB25DB" w:rsidRPr="00B8372F" w:rsidRDefault="00FB25DB">
      <w:pPr>
        <w:pStyle w:val="a3"/>
        <w:rPr>
          <w:sz w:val="21"/>
          <w:szCs w:val="21"/>
        </w:rPr>
      </w:pPr>
    </w:p>
    <w:p w14:paraId="3521374F" w14:textId="77777777" w:rsidR="00FB25DB" w:rsidRPr="00B8372F" w:rsidRDefault="00000000">
      <w:pPr>
        <w:pStyle w:val="2"/>
        <w:rPr>
          <w:sz w:val="21"/>
          <w:szCs w:val="21"/>
        </w:rPr>
      </w:pPr>
      <w:r w:rsidRPr="00B8372F">
        <w:rPr>
          <w:sz w:val="21"/>
          <w:szCs w:val="21"/>
        </w:rPr>
        <w:t>Statistical</w:t>
      </w:r>
      <w:r w:rsidRPr="00B8372F">
        <w:rPr>
          <w:spacing w:val="-11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Analyses</w:t>
      </w:r>
    </w:p>
    <w:p w14:paraId="565398A8" w14:textId="77777777" w:rsidR="00FB25DB" w:rsidRPr="00B8372F" w:rsidRDefault="00FB25DB">
      <w:pPr>
        <w:pStyle w:val="a3"/>
        <w:spacing w:before="6"/>
        <w:rPr>
          <w:b/>
          <w:sz w:val="21"/>
          <w:szCs w:val="21"/>
        </w:rPr>
      </w:pPr>
    </w:p>
    <w:p w14:paraId="60143F65" w14:textId="77777777" w:rsidR="00FB25DB" w:rsidRPr="00B8372F" w:rsidRDefault="00000000">
      <w:pPr>
        <w:pStyle w:val="a3"/>
        <w:spacing w:line="360" w:lineRule="auto"/>
        <w:ind w:left="1219" w:right="796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Based on the taxonomic and functional profiles of non-redundant genes, LEfSe (Linear discriminant analysis effect size) was performed to detect differentially abundant taxa and functions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across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groups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using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the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default</w:t>
      </w:r>
      <w:r w:rsidRPr="00B8372F">
        <w:rPr>
          <w:spacing w:val="-3"/>
          <w:sz w:val="21"/>
          <w:szCs w:val="21"/>
        </w:rPr>
        <w:t xml:space="preserve"> </w:t>
      </w:r>
      <w:r w:rsidRPr="00B8372F">
        <w:rPr>
          <w:sz w:val="21"/>
          <w:szCs w:val="21"/>
        </w:rPr>
        <w:t>parameters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(</w:t>
      </w:r>
      <w:hyperlink w:anchor="_bookmark9" w:history="1">
        <w:r w:rsidRPr="00B8372F">
          <w:rPr>
            <w:sz w:val="21"/>
            <w:szCs w:val="21"/>
          </w:rPr>
          <w:t>Segata,</w:t>
        </w:r>
        <w:r w:rsidRPr="00B8372F">
          <w:rPr>
            <w:spacing w:val="-1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Izard</w:t>
        </w:r>
        <w:r w:rsidRPr="00B8372F">
          <w:rPr>
            <w:spacing w:val="-1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et al.</w:t>
        </w:r>
        <w:r w:rsidRPr="00B8372F">
          <w:rPr>
            <w:spacing w:val="-1"/>
            <w:sz w:val="21"/>
            <w:szCs w:val="21"/>
          </w:rPr>
          <w:t xml:space="preserve"> </w:t>
        </w:r>
        <w:r w:rsidRPr="00B8372F">
          <w:rPr>
            <w:sz w:val="21"/>
            <w:szCs w:val="21"/>
          </w:rPr>
          <w:t>2011</w:t>
        </w:r>
      </w:hyperlink>
      <w:r w:rsidRPr="00B8372F">
        <w:rPr>
          <w:sz w:val="21"/>
          <w:szCs w:val="21"/>
        </w:rPr>
        <w:t>).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Beta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>diversity analysis was performed to investigate the compositional and functional variation of microbial communities across samples using Bray-Curtis distance metrics (</w:t>
      </w:r>
      <w:hyperlink w:anchor="_bookmark0" w:history="1">
        <w:r w:rsidRPr="00B8372F">
          <w:rPr>
            <w:sz w:val="21"/>
            <w:szCs w:val="21"/>
          </w:rPr>
          <w:t>Bray and Curtis 1957</w:t>
        </w:r>
      </w:hyperlink>
      <w:r w:rsidRPr="00B8372F">
        <w:rPr>
          <w:sz w:val="21"/>
          <w:szCs w:val="21"/>
        </w:rPr>
        <w:t>) and visualized via principal coordinate analysis (PCoA), nonmetric multidimensional scaling (NMDS) and unweighted pair-group method with arithmetic means (UPGMA) hierarchical clustering (</w:t>
      </w:r>
      <w:hyperlink w:anchor="_bookmark7" w:history="1">
        <w:r w:rsidRPr="00B8372F">
          <w:rPr>
            <w:sz w:val="21"/>
            <w:szCs w:val="21"/>
          </w:rPr>
          <w:t>Ramette 2007</w:t>
        </w:r>
      </w:hyperlink>
      <w:r w:rsidRPr="00B8372F">
        <w:rPr>
          <w:sz w:val="21"/>
          <w:szCs w:val="21"/>
        </w:rPr>
        <w:t>).</w:t>
      </w:r>
    </w:p>
    <w:p w14:paraId="03D0E1C8" w14:textId="77777777" w:rsidR="00FB25DB" w:rsidRPr="00B8372F" w:rsidRDefault="00FB25DB">
      <w:pPr>
        <w:pStyle w:val="a3"/>
        <w:rPr>
          <w:sz w:val="21"/>
          <w:szCs w:val="21"/>
        </w:rPr>
      </w:pPr>
    </w:p>
    <w:p w14:paraId="7F727232" w14:textId="77777777" w:rsidR="00FB25DB" w:rsidRPr="00B8372F" w:rsidRDefault="00FB25DB">
      <w:pPr>
        <w:pStyle w:val="a3"/>
        <w:rPr>
          <w:sz w:val="21"/>
          <w:szCs w:val="21"/>
        </w:rPr>
      </w:pPr>
    </w:p>
    <w:p w14:paraId="6493DF60" w14:textId="77777777" w:rsidR="00FB25DB" w:rsidRPr="00B8372F" w:rsidRDefault="00000000">
      <w:pPr>
        <w:pStyle w:val="2"/>
        <w:rPr>
          <w:sz w:val="21"/>
          <w:szCs w:val="21"/>
        </w:rPr>
      </w:pPr>
      <w:r w:rsidRPr="00B8372F">
        <w:rPr>
          <w:sz w:val="21"/>
          <w:szCs w:val="21"/>
        </w:rPr>
        <w:t>Data</w:t>
      </w:r>
      <w:r w:rsidRPr="00B8372F">
        <w:rPr>
          <w:spacing w:val="-6"/>
          <w:sz w:val="21"/>
          <w:szCs w:val="21"/>
        </w:rPr>
        <w:t xml:space="preserve"> </w:t>
      </w:r>
      <w:r w:rsidRPr="00B8372F">
        <w:rPr>
          <w:spacing w:val="-2"/>
          <w:sz w:val="21"/>
          <w:szCs w:val="21"/>
        </w:rPr>
        <w:t>Access</w:t>
      </w:r>
    </w:p>
    <w:p w14:paraId="17ED3F6B" w14:textId="77777777" w:rsidR="00FB25DB" w:rsidRPr="00B8372F" w:rsidRDefault="00FB25DB">
      <w:pPr>
        <w:pStyle w:val="a3"/>
        <w:spacing w:before="6"/>
        <w:rPr>
          <w:b/>
          <w:sz w:val="21"/>
          <w:szCs w:val="21"/>
        </w:rPr>
      </w:pPr>
    </w:p>
    <w:p w14:paraId="03A6A1AC" w14:textId="1E769B1B" w:rsidR="00FB25DB" w:rsidRPr="00B8372F" w:rsidRDefault="00000000">
      <w:pPr>
        <w:pStyle w:val="a3"/>
        <w:spacing w:before="1" w:line="360" w:lineRule="auto"/>
        <w:ind w:left="1219" w:right="797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All raw sequences were deposited in the NCBI Sequence Read Archive under accession number.</w:t>
      </w:r>
    </w:p>
    <w:p w14:paraId="2A9506FF" w14:textId="77777777" w:rsidR="00FB25DB" w:rsidRPr="00B8372F" w:rsidRDefault="00FB25DB">
      <w:pPr>
        <w:pStyle w:val="a3"/>
        <w:rPr>
          <w:sz w:val="21"/>
          <w:szCs w:val="21"/>
        </w:rPr>
      </w:pPr>
    </w:p>
    <w:p w14:paraId="323A315D" w14:textId="77777777" w:rsidR="00FB25DB" w:rsidRPr="00B8372F" w:rsidRDefault="00FB25DB">
      <w:pPr>
        <w:pStyle w:val="a3"/>
        <w:rPr>
          <w:sz w:val="21"/>
          <w:szCs w:val="21"/>
        </w:rPr>
      </w:pPr>
    </w:p>
    <w:p w14:paraId="7D84969F" w14:textId="77777777" w:rsidR="00FB25DB" w:rsidRPr="00B8372F" w:rsidRDefault="00000000">
      <w:pPr>
        <w:pStyle w:val="2"/>
        <w:spacing w:before="141"/>
        <w:rPr>
          <w:sz w:val="21"/>
          <w:szCs w:val="21"/>
        </w:rPr>
      </w:pPr>
      <w:r w:rsidRPr="00B8372F">
        <w:rPr>
          <w:spacing w:val="-2"/>
          <w:sz w:val="21"/>
          <w:szCs w:val="21"/>
        </w:rPr>
        <w:t>References</w:t>
      </w:r>
    </w:p>
    <w:p w14:paraId="629349CC" w14:textId="77777777" w:rsidR="00FB25DB" w:rsidRPr="00B8372F" w:rsidRDefault="00FB25DB">
      <w:pPr>
        <w:pStyle w:val="a3"/>
        <w:spacing w:before="8"/>
        <w:rPr>
          <w:b/>
          <w:sz w:val="21"/>
          <w:szCs w:val="21"/>
        </w:rPr>
      </w:pPr>
    </w:p>
    <w:p w14:paraId="4782F0A6" w14:textId="77777777" w:rsidR="00FB25DB" w:rsidRPr="00B8372F" w:rsidRDefault="00000000">
      <w:pPr>
        <w:pStyle w:val="a3"/>
        <w:spacing w:line="444" w:lineRule="auto"/>
        <w:ind w:left="1219" w:right="798"/>
        <w:jc w:val="both"/>
        <w:rPr>
          <w:sz w:val="21"/>
          <w:szCs w:val="21"/>
        </w:rPr>
      </w:pPr>
      <w:bookmarkStart w:id="0" w:name="_bookmark0"/>
      <w:bookmarkEnd w:id="0"/>
      <w:r w:rsidRPr="00B8372F">
        <w:rPr>
          <w:sz w:val="21"/>
          <w:szCs w:val="21"/>
        </w:rPr>
        <w:t xml:space="preserve">Bray, J. R. and J. T. Curtis (1957). "An Ordination of the Upland Forest Communities of Southern Wisconsin." </w:t>
      </w:r>
      <w:r w:rsidRPr="00B8372F">
        <w:rPr>
          <w:sz w:val="21"/>
          <w:szCs w:val="21"/>
          <w:u w:val="single"/>
        </w:rPr>
        <w:t>Ecological Monographs</w:t>
      </w:r>
      <w:r w:rsidRPr="00B8372F">
        <w:rPr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27</w:t>
      </w:r>
      <w:r w:rsidRPr="00B8372F">
        <w:rPr>
          <w:sz w:val="21"/>
          <w:szCs w:val="21"/>
        </w:rPr>
        <w:t>(4): 325-349.</w:t>
      </w:r>
    </w:p>
    <w:p w14:paraId="0556EC78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72BA7B1A" w14:textId="77777777" w:rsidR="00FB25DB" w:rsidRPr="00B8372F" w:rsidRDefault="00000000">
      <w:pPr>
        <w:pStyle w:val="a3"/>
        <w:ind w:left="1219"/>
        <w:rPr>
          <w:sz w:val="21"/>
          <w:szCs w:val="21"/>
        </w:rPr>
      </w:pPr>
      <w:bookmarkStart w:id="1" w:name="_bookmark1"/>
      <w:bookmarkEnd w:id="1"/>
      <w:r w:rsidRPr="00B8372F">
        <w:rPr>
          <w:sz w:val="21"/>
          <w:szCs w:val="21"/>
        </w:rPr>
        <w:t>Bu,</w:t>
      </w:r>
      <w:r w:rsidRPr="00B8372F">
        <w:rPr>
          <w:spacing w:val="31"/>
          <w:sz w:val="21"/>
          <w:szCs w:val="21"/>
        </w:rPr>
        <w:t xml:space="preserve"> </w:t>
      </w:r>
      <w:r w:rsidRPr="00B8372F">
        <w:rPr>
          <w:sz w:val="21"/>
          <w:szCs w:val="21"/>
        </w:rPr>
        <w:t>D.,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Luo,</w:t>
      </w:r>
      <w:r w:rsidRPr="00B8372F">
        <w:rPr>
          <w:spacing w:val="34"/>
          <w:sz w:val="21"/>
          <w:szCs w:val="21"/>
        </w:rPr>
        <w:t xml:space="preserve"> </w:t>
      </w:r>
      <w:r w:rsidRPr="00B8372F">
        <w:rPr>
          <w:sz w:val="21"/>
          <w:szCs w:val="21"/>
        </w:rPr>
        <w:t>H.</w:t>
      </w:r>
      <w:r w:rsidRPr="00B8372F">
        <w:rPr>
          <w:spacing w:val="35"/>
          <w:sz w:val="21"/>
          <w:szCs w:val="21"/>
        </w:rPr>
        <w:t xml:space="preserve"> </w:t>
      </w:r>
      <w:r w:rsidRPr="00B8372F">
        <w:rPr>
          <w:sz w:val="21"/>
          <w:szCs w:val="21"/>
        </w:rPr>
        <w:t>,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Huo,</w:t>
      </w:r>
      <w:r w:rsidRPr="00B8372F">
        <w:rPr>
          <w:spacing w:val="34"/>
          <w:sz w:val="21"/>
          <w:szCs w:val="21"/>
        </w:rPr>
        <w:t xml:space="preserve"> </w:t>
      </w:r>
      <w:r w:rsidRPr="00B8372F">
        <w:rPr>
          <w:sz w:val="21"/>
          <w:szCs w:val="21"/>
        </w:rPr>
        <w:t>P.</w:t>
      </w:r>
      <w:r w:rsidRPr="00B8372F">
        <w:rPr>
          <w:spacing w:val="31"/>
          <w:sz w:val="21"/>
          <w:szCs w:val="21"/>
        </w:rPr>
        <w:t xml:space="preserve"> </w:t>
      </w:r>
      <w:r w:rsidRPr="00B8372F">
        <w:rPr>
          <w:sz w:val="21"/>
          <w:szCs w:val="21"/>
        </w:rPr>
        <w:t>,</w:t>
      </w:r>
      <w:r w:rsidRPr="00B8372F">
        <w:rPr>
          <w:spacing w:val="31"/>
          <w:sz w:val="21"/>
          <w:szCs w:val="21"/>
        </w:rPr>
        <w:t xml:space="preserve"> </w:t>
      </w:r>
      <w:r w:rsidRPr="00B8372F">
        <w:rPr>
          <w:sz w:val="21"/>
          <w:szCs w:val="21"/>
        </w:rPr>
        <w:t>Wang,</w:t>
      </w:r>
      <w:r w:rsidRPr="00B8372F">
        <w:rPr>
          <w:spacing w:val="34"/>
          <w:sz w:val="21"/>
          <w:szCs w:val="21"/>
        </w:rPr>
        <w:t xml:space="preserve"> </w:t>
      </w:r>
      <w:r w:rsidRPr="00B8372F">
        <w:rPr>
          <w:sz w:val="21"/>
          <w:szCs w:val="21"/>
        </w:rPr>
        <w:t>Z.</w:t>
      </w:r>
      <w:r w:rsidRPr="00B8372F">
        <w:rPr>
          <w:spacing w:val="38"/>
          <w:sz w:val="21"/>
          <w:szCs w:val="21"/>
        </w:rPr>
        <w:t xml:space="preserve"> </w:t>
      </w:r>
      <w:r w:rsidRPr="00B8372F">
        <w:rPr>
          <w:sz w:val="21"/>
          <w:szCs w:val="21"/>
        </w:rPr>
        <w:t>,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Zhang,</w:t>
      </w:r>
      <w:r w:rsidRPr="00B8372F">
        <w:rPr>
          <w:spacing w:val="36"/>
          <w:sz w:val="21"/>
          <w:szCs w:val="21"/>
        </w:rPr>
        <w:t xml:space="preserve"> </w:t>
      </w:r>
      <w:r w:rsidRPr="00B8372F">
        <w:rPr>
          <w:sz w:val="21"/>
          <w:szCs w:val="21"/>
        </w:rPr>
        <w:t>S.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,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&amp;</w:t>
      </w:r>
      <w:r w:rsidRPr="00B8372F">
        <w:rPr>
          <w:spacing w:val="35"/>
          <w:sz w:val="21"/>
          <w:szCs w:val="21"/>
        </w:rPr>
        <w:t xml:space="preserve"> </w:t>
      </w:r>
      <w:r w:rsidRPr="00B8372F">
        <w:rPr>
          <w:sz w:val="21"/>
          <w:szCs w:val="21"/>
        </w:rPr>
        <w:t>He,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Z.</w:t>
      </w:r>
      <w:r w:rsidRPr="00B8372F">
        <w:rPr>
          <w:spacing w:val="35"/>
          <w:sz w:val="21"/>
          <w:szCs w:val="21"/>
        </w:rPr>
        <w:t xml:space="preserve"> </w:t>
      </w:r>
      <w:r w:rsidRPr="00B8372F">
        <w:rPr>
          <w:sz w:val="21"/>
          <w:szCs w:val="21"/>
        </w:rPr>
        <w:t>,</w:t>
      </w:r>
      <w:r w:rsidRPr="00B8372F">
        <w:rPr>
          <w:spacing w:val="35"/>
          <w:sz w:val="21"/>
          <w:szCs w:val="21"/>
        </w:rPr>
        <w:t xml:space="preserve"> </w:t>
      </w:r>
      <w:r w:rsidRPr="00B8372F">
        <w:rPr>
          <w:sz w:val="21"/>
          <w:szCs w:val="21"/>
        </w:rPr>
        <w:t>et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al.</w:t>
      </w:r>
      <w:r w:rsidRPr="00B8372F">
        <w:rPr>
          <w:spacing w:val="33"/>
          <w:sz w:val="21"/>
          <w:szCs w:val="21"/>
        </w:rPr>
        <w:t xml:space="preserve"> </w:t>
      </w:r>
      <w:r w:rsidRPr="00B8372F">
        <w:rPr>
          <w:sz w:val="21"/>
          <w:szCs w:val="21"/>
        </w:rPr>
        <w:t>(2021).</w:t>
      </w:r>
      <w:r w:rsidRPr="00B8372F">
        <w:rPr>
          <w:spacing w:val="34"/>
          <w:sz w:val="21"/>
          <w:szCs w:val="21"/>
        </w:rPr>
        <w:t xml:space="preserve"> </w:t>
      </w:r>
      <w:r w:rsidRPr="00B8372F">
        <w:rPr>
          <w:sz w:val="21"/>
          <w:szCs w:val="21"/>
        </w:rPr>
        <w:t>"KOBAS-</w:t>
      </w:r>
      <w:r w:rsidRPr="00B8372F">
        <w:rPr>
          <w:spacing w:val="-5"/>
          <w:sz w:val="21"/>
          <w:szCs w:val="21"/>
        </w:rPr>
        <w:t>i:</w:t>
      </w:r>
    </w:p>
    <w:p w14:paraId="77118788" w14:textId="77777777" w:rsidR="00FB25DB" w:rsidRPr="00B8372F" w:rsidRDefault="00000000">
      <w:pPr>
        <w:pStyle w:val="a3"/>
        <w:spacing w:before="215" w:line="444" w:lineRule="auto"/>
        <w:ind w:left="1219" w:right="800"/>
        <w:jc w:val="both"/>
        <w:rPr>
          <w:sz w:val="21"/>
          <w:szCs w:val="21"/>
        </w:rPr>
      </w:pPr>
      <w:r w:rsidRPr="00B8372F">
        <w:rPr>
          <w:sz w:val="21"/>
          <w:szCs w:val="21"/>
        </w:rPr>
        <w:t>intelligent prioritization and exploratory visualization of biological functions for gene enrichment analysis %J Nucleic Acids Research."</w:t>
      </w:r>
    </w:p>
    <w:p w14:paraId="76896C9B" w14:textId="77777777" w:rsidR="00FB25DB" w:rsidRPr="00B8372F" w:rsidRDefault="00FB25DB">
      <w:pPr>
        <w:spacing w:line="444" w:lineRule="auto"/>
        <w:jc w:val="both"/>
        <w:rPr>
          <w:sz w:val="21"/>
          <w:szCs w:val="21"/>
        </w:rPr>
        <w:sectPr w:rsidR="00FB25DB" w:rsidRPr="00B8372F">
          <w:pgSz w:w="11910" w:h="16840"/>
          <w:pgMar w:top="0" w:right="1000" w:bottom="280" w:left="580" w:header="720" w:footer="720" w:gutter="0"/>
          <w:cols w:space="720"/>
        </w:sectPr>
      </w:pPr>
    </w:p>
    <w:p w14:paraId="11186E6C" w14:textId="47292AAF" w:rsidR="00FB25DB" w:rsidRPr="00B8372F" w:rsidRDefault="00FB25DB">
      <w:pPr>
        <w:pStyle w:val="a3"/>
        <w:rPr>
          <w:sz w:val="21"/>
          <w:szCs w:val="21"/>
        </w:rPr>
      </w:pPr>
    </w:p>
    <w:p w14:paraId="7150DF4D" w14:textId="77777777" w:rsidR="00FB25DB" w:rsidRPr="00B8372F" w:rsidRDefault="00FB25DB">
      <w:pPr>
        <w:pStyle w:val="a3"/>
        <w:spacing w:before="5"/>
        <w:rPr>
          <w:sz w:val="21"/>
          <w:szCs w:val="21"/>
        </w:rPr>
      </w:pPr>
    </w:p>
    <w:p w14:paraId="7E52F8BC" w14:textId="77777777" w:rsidR="00FB25DB" w:rsidRPr="00B8372F" w:rsidRDefault="00000000">
      <w:pPr>
        <w:pStyle w:val="a3"/>
        <w:spacing w:before="92" w:line="444" w:lineRule="auto"/>
        <w:ind w:left="1220" w:right="797"/>
        <w:jc w:val="both"/>
        <w:rPr>
          <w:sz w:val="21"/>
          <w:szCs w:val="21"/>
        </w:rPr>
      </w:pPr>
      <w:bookmarkStart w:id="2" w:name="_bookmark2"/>
      <w:bookmarkEnd w:id="2"/>
      <w:r w:rsidRPr="00B8372F">
        <w:rPr>
          <w:sz w:val="21"/>
          <w:szCs w:val="21"/>
        </w:rPr>
        <w:t>Cantalapiedra, C. P., A. Hernández-Plaza, I. Letunic, P. Bork and J. Huerta-Cepas (2021). "eggNOG-mapper v2: Functional Annotation, Orthology Assignments, and Domain</w:t>
      </w:r>
      <w:r w:rsidRPr="00B8372F">
        <w:rPr>
          <w:spacing w:val="40"/>
          <w:sz w:val="21"/>
          <w:szCs w:val="21"/>
        </w:rPr>
        <w:t xml:space="preserve"> </w:t>
      </w:r>
      <w:r w:rsidRPr="00B8372F">
        <w:rPr>
          <w:sz w:val="21"/>
          <w:szCs w:val="21"/>
        </w:rPr>
        <w:t>Prediction at the Metagenomic Scale." 2021.2006.2003.446934.</w:t>
      </w:r>
    </w:p>
    <w:p w14:paraId="501D5189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0FCDDDBF" w14:textId="77777777" w:rsidR="00FB25DB" w:rsidRPr="00B8372F" w:rsidRDefault="00000000">
      <w:pPr>
        <w:pStyle w:val="a3"/>
        <w:spacing w:line="444" w:lineRule="auto"/>
        <w:ind w:left="1220" w:right="796"/>
        <w:jc w:val="both"/>
        <w:rPr>
          <w:sz w:val="21"/>
          <w:szCs w:val="21"/>
        </w:rPr>
      </w:pPr>
      <w:bookmarkStart w:id="3" w:name="_bookmark3"/>
      <w:bookmarkEnd w:id="3"/>
      <w:r w:rsidRPr="00B8372F">
        <w:rPr>
          <w:sz w:val="21"/>
          <w:szCs w:val="21"/>
        </w:rPr>
        <w:t>Chen, S., Y. Zhou, Y. Chen and G. J. B. Jia (2018). "fastp: an ultra-fast all-in-one FASTQ preprocessor."</w:t>
      </w:r>
      <w:r w:rsidRPr="00B8372F">
        <w:rPr>
          <w:spacing w:val="80"/>
          <w:w w:val="150"/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34</w:t>
      </w:r>
      <w:r w:rsidRPr="00B8372F">
        <w:rPr>
          <w:sz w:val="21"/>
          <w:szCs w:val="21"/>
        </w:rPr>
        <w:t>(17): i884-i890.</w:t>
      </w:r>
    </w:p>
    <w:p w14:paraId="67C0AE38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65E87F45" w14:textId="77777777" w:rsidR="00FB25DB" w:rsidRPr="00B8372F" w:rsidRDefault="00000000">
      <w:pPr>
        <w:pStyle w:val="a3"/>
        <w:spacing w:line="444" w:lineRule="auto"/>
        <w:ind w:left="1220" w:right="798"/>
        <w:jc w:val="both"/>
        <w:rPr>
          <w:sz w:val="21"/>
          <w:szCs w:val="21"/>
        </w:rPr>
      </w:pPr>
      <w:bookmarkStart w:id="4" w:name="_bookmark4"/>
      <w:bookmarkEnd w:id="4"/>
      <w:r w:rsidRPr="00B8372F">
        <w:rPr>
          <w:sz w:val="21"/>
          <w:szCs w:val="21"/>
        </w:rPr>
        <w:t>Liu,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Chi-Man,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Lam,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Tak-Wah,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Li,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Dinghua,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Luo,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Ruibang, Sadakane</w:t>
      </w:r>
      <w:r w:rsidRPr="00B8372F">
        <w:rPr>
          <w:spacing w:val="-3"/>
          <w:sz w:val="21"/>
          <w:szCs w:val="21"/>
        </w:rPr>
        <w:t xml:space="preserve"> </w:t>
      </w:r>
      <w:r w:rsidRPr="00B8372F">
        <w:rPr>
          <w:sz w:val="21"/>
          <w:szCs w:val="21"/>
        </w:rPr>
        <w:t>and</w:t>
      </w:r>
      <w:r w:rsidRPr="00B8372F">
        <w:rPr>
          <w:spacing w:val="-8"/>
          <w:sz w:val="21"/>
          <w:szCs w:val="21"/>
        </w:rPr>
        <w:t xml:space="preserve"> </w:t>
      </w:r>
      <w:r w:rsidRPr="00B8372F">
        <w:rPr>
          <w:sz w:val="21"/>
          <w:szCs w:val="21"/>
        </w:rPr>
        <w:t>K.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J.</w:t>
      </w:r>
      <w:r w:rsidRPr="00B8372F">
        <w:rPr>
          <w:spacing w:val="-5"/>
          <w:sz w:val="21"/>
          <w:szCs w:val="21"/>
        </w:rPr>
        <w:t xml:space="preserve"> </w:t>
      </w:r>
      <w:r w:rsidRPr="00B8372F">
        <w:rPr>
          <w:sz w:val="21"/>
          <w:szCs w:val="21"/>
        </w:rPr>
        <w:t>Bioinformatics (2015). "MEGAHIT: an ultra-fast single-node solution for large and complex metagenomics assembly via succinct de Bruijn graph."</w:t>
      </w:r>
    </w:p>
    <w:p w14:paraId="23676D9C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51E4B098" w14:textId="77777777" w:rsidR="00FB25DB" w:rsidRPr="00B8372F" w:rsidRDefault="00000000">
      <w:pPr>
        <w:pStyle w:val="a3"/>
        <w:spacing w:line="444" w:lineRule="auto"/>
        <w:ind w:left="1220" w:right="797"/>
        <w:jc w:val="both"/>
        <w:rPr>
          <w:sz w:val="21"/>
          <w:szCs w:val="21"/>
        </w:rPr>
      </w:pPr>
      <w:bookmarkStart w:id="5" w:name="_bookmark5"/>
      <w:bookmarkEnd w:id="5"/>
      <w:r w:rsidRPr="00B8372F">
        <w:rPr>
          <w:sz w:val="21"/>
          <w:szCs w:val="21"/>
        </w:rPr>
        <w:t xml:space="preserve">Martin, M. (2011). "Cutadapt removes adapter sequences from high-throughput sequencing reads." </w:t>
      </w:r>
      <w:r w:rsidRPr="00B8372F">
        <w:rPr>
          <w:sz w:val="21"/>
          <w:szCs w:val="21"/>
          <w:u w:val="single"/>
        </w:rPr>
        <w:t>EMBnet.journal; Vol 17, No 1: Next Generation Sequencing Data</w:t>
      </w:r>
      <w:r w:rsidRPr="00B8372F">
        <w:rPr>
          <w:spacing w:val="-6"/>
          <w:sz w:val="21"/>
          <w:szCs w:val="21"/>
          <w:u w:val="single"/>
        </w:rPr>
        <w:t xml:space="preserve"> </w:t>
      </w:r>
      <w:r w:rsidRPr="00B8372F">
        <w:rPr>
          <w:sz w:val="21"/>
          <w:szCs w:val="21"/>
          <w:u w:val="single"/>
        </w:rPr>
        <w:t>Analysis</w:t>
      </w:r>
      <w:r w:rsidRPr="00B8372F">
        <w:rPr>
          <w:sz w:val="21"/>
          <w:szCs w:val="21"/>
        </w:rPr>
        <w:t>.</w:t>
      </w:r>
    </w:p>
    <w:p w14:paraId="4D579687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343694AE" w14:textId="77777777" w:rsidR="00FB25DB" w:rsidRPr="00B8372F" w:rsidRDefault="00000000">
      <w:pPr>
        <w:pStyle w:val="a3"/>
        <w:spacing w:line="444" w:lineRule="auto"/>
        <w:ind w:left="1220" w:right="799"/>
        <w:jc w:val="both"/>
        <w:rPr>
          <w:sz w:val="21"/>
          <w:szCs w:val="21"/>
        </w:rPr>
      </w:pPr>
      <w:bookmarkStart w:id="6" w:name="_bookmark6"/>
      <w:bookmarkEnd w:id="6"/>
      <w:r w:rsidRPr="00B8372F">
        <w:rPr>
          <w:sz w:val="21"/>
          <w:szCs w:val="21"/>
        </w:rPr>
        <w:t>Patro, R. (2015). "Salmon: Accurate, Versatile and Ultrafast Quantification from RNA-seq Data using Lightweight-Alignment."</w:t>
      </w:r>
    </w:p>
    <w:p w14:paraId="2CF2B6AC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7656A7B1" w14:textId="77777777" w:rsidR="00FB25DB" w:rsidRPr="00B8372F" w:rsidRDefault="00000000">
      <w:pPr>
        <w:pStyle w:val="a3"/>
        <w:spacing w:line="444" w:lineRule="auto"/>
        <w:ind w:left="1220" w:right="799"/>
        <w:jc w:val="both"/>
        <w:rPr>
          <w:sz w:val="21"/>
          <w:szCs w:val="21"/>
        </w:rPr>
      </w:pPr>
      <w:bookmarkStart w:id="7" w:name="_bookmark7"/>
      <w:bookmarkEnd w:id="7"/>
      <w:r w:rsidRPr="00B8372F">
        <w:rPr>
          <w:sz w:val="21"/>
          <w:szCs w:val="21"/>
        </w:rPr>
        <w:t xml:space="preserve">Ramette, A. (2007). "Multivariate analyses in microbial ecology." </w:t>
      </w:r>
      <w:r w:rsidRPr="00B8372F">
        <w:rPr>
          <w:sz w:val="21"/>
          <w:szCs w:val="21"/>
          <w:u w:val="single"/>
        </w:rPr>
        <w:t>Fems Microbiology</w:t>
      </w:r>
      <w:r w:rsidRPr="00B8372F">
        <w:rPr>
          <w:sz w:val="21"/>
          <w:szCs w:val="21"/>
        </w:rPr>
        <w:t xml:space="preserve"> </w:t>
      </w:r>
      <w:r w:rsidRPr="00B8372F">
        <w:rPr>
          <w:sz w:val="21"/>
          <w:szCs w:val="21"/>
          <w:u w:val="single"/>
        </w:rPr>
        <w:t>Ecology</w:t>
      </w:r>
      <w:r w:rsidRPr="00B8372F">
        <w:rPr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62</w:t>
      </w:r>
      <w:r w:rsidRPr="00B8372F">
        <w:rPr>
          <w:sz w:val="21"/>
          <w:szCs w:val="21"/>
        </w:rPr>
        <w:t>(2): 142-160.</w:t>
      </w:r>
    </w:p>
    <w:p w14:paraId="756C2EE1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524F5810" w14:textId="77777777" w:rsidR="00FB25DB" w:rsidRPr="00B8372F" w:rsidRDefault="00000000">
      <w:pPr>
        <w:pStyle w:val="a3"/>
        <w:spacing w:line="444" w:lineRule="auto"/>
        <w:ind w:left="1220" w:right="797"/>
        <w:jc w:val="both"/>
        <w:rPr>
          <w:sz w:val="21"/>
          <w:szCs w:val="21"/>
        </w:rPr>
      </w:pPr>
      <w:bookmarkStart w:id="8" w:name="_bookmark8"/>
      <w:bookmarkEnd w:id="8"/>
      <w:r w:rsidRPr="00B8372F">
        <w:rPr>
          <w:sz w:val="21"/>
          <w:szCs w:val="21"/>
        </w:rPr>
        <w:t>Rotmistrovsky, K. and R. Agarwala (2011). "BMTagger: Best Match Tagger for removing human reads from metagenomics datasets."</w:t>
      </w:r>
    </w:p>
    <w:p w14:paraId="48F22E0F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0DDDE3E6" w14:textId="77777777" w:rsidR="00FB25DB" w:rsidRPr="00B8372F" w:rsidRDefault="00000000">
      <w:pPr>
        <w:pStyle w:val="a3"/>
        <w:spacing w:line="444" w:lineRule="auto"/>
        <w:ind w:left="1220" w:right="796"/>
        <w:jc w:val="both"/>
        <w:rPr>
          <w:sz w:val="21"/>
          <w:szCs w:val="21"/>
        </w:rPr>
      </w:pPr>
      <w:bookmarkStart w:id="9" w:name="_bookmark9"/>
      <w:bookmarkEnd w:id="9"/>
      <w:r w:rsidRPr="00B8372F">
        <w:rPr>
          <w:sz w:val="21"/>
          <w:szCs w:val="21"/>
        </w:rPr>
        <w:t>Segata,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N., J.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Izard, L.</w:t>
      </w:r>
      <w:r w:rsidRPr="00B8372F">
        <w:rPr>
          <w:spacing w:val="-4"/>
          <w:sz w:val="21"/>
          <w:szCs w:val="21"/>
        </w:rPr>
        <w:t xml:space="preserve"> </w:t>
      </w:r>
      <w:r w:rsidRPr="00B8372F">
        <w:rPr>
          <w:sz w:val="21"/>
          <w:szCs w:val="21"/>
        </w:rPr>
        <w:t>Waldron,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D. Gevers,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L. Miropolsky,</w:t>
      </w:r>
      <w:r w:rsidRPr="00B8372F">
        <w:rPr>
          <w:spacing w:val="-7"/>
          <w:sz w:val="21"/>
          <w:szCs w:val="21"/>
        </w:rPr>
        <w:t xml:space="preserve"> </w:t>
      </w:r>
      <w:r w:rsidRPr="00B8372F">
        <w:rPr>
          <w:sz w:val="21"/>
          <w:szCs w:val="21"/>
        </w:rPr>
        <w:t>W.</w:t>
      </w:r>
      <w:r w:rsidRPr="00B8372F">
        <w:rPr>
          <w:spacing w:val="-2"/>
          <w:sz w:val="21"/>
          <w:szCs w:val="21"/>
        </w:rPr>
        <w:t xml:space="preserve"> </w:t>
      </w:r>
      <w:r w:rsidRPr="00B8372F">
        <w:rPr>
          <w:sz w:val="21"/>
          <w:szCs w:val="21"/>
        </w:rPr>
        <w:t>S. Garrett</w:t>
      </w:r>
      <w:r w:rsidRPr="00B8372F">
        <w:rPr>
          <w:spacing w:val="-1"/>
          <w:sz w:val="21"/>
          <w:szCs w:val="21"/>
        </w:rPr>
        <w:t xml:space="preserve"> </w:t>
      </w:r>
      <w:r w:rsidRPr="00B8372F">
        <w:rPr>
          <w:sz w:val="21"/>
          <w:szCs w:val="21"/>
        </w:rPr>
        <w:t xml:space="preserve">and C. Huttenhower (2011). "Metagenomic biomarker discovery and explanation." </w:t>
      </w:r>
      <w:r w:rsidRPr="00B8372F">
        <w:rPr>
          <w:sz w:val="21"/>
          <w:szCs w:val="21"/>
          <w:u w:val="single"/>
        </w:rPr>
        <w:t>Genome Biology</w:t>
      </w:r>
      <w:r w:rsidRPr="00B8372F">
        <w:rPr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12</w:t>
      </w:r>
      <w:r w:rsidRPr="00B8372F">
        <w:rPr>
          <w:sz w:val="21"/>
          <w:szCs w:val="21"/>
        </w:rPr>
        <w:t>(6).</w:t>
      </w:r>
    </w:p>
    <w:p w14:paraId="147C97FE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0ADFAFE9" w14:textId="77777777" w:rsidR="00FB25DB" w:rsidRPr="00B8372F" w:rsidRDefault="00000000">
      <w:pPr>
        <w:pStyle w:val="a3"/>
        <w:spacing w:line="444" w:lineRule="auto"/>
        <w:ind w:left="1220" w:right="797"/>
        <w:jc w:val="both"/>
        <w:rPr>
          <w:sz w:val="21"/>
          <w:szCs w:val="21"/>
        </w:rPr>
      </w:pPr>
      <w:bookmarkStart w:id="10" w:name="_bookmark10"/>
      <w:bookmarkEnd w:id="10"/>
      <w:r w:rsidRPr="00B8372F">
        <w:rPr>
          <w:sz w:val="21"/>
          <w:szCs w:val="21"/>
        </w:rPr>
        <w:t>Steinegger, M. and J. J. N. B. SöDing (2017). "MMseqs2 enables sensitive protein sequence searching for the analysis of massive data sets."</w:t>
      </w:r>
    </w:p>
    <w:p w14:paraId="426C3FCE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4DD8AA96" w14:textId="77777777" w:rsidR="00FB25DB" w:rsidRPr="00B8372F" w:rsidRDefault="00000000">
      <w:pPr>
        <w:pStyle w:val="a3"/>
        <w:spacing w:line="444" w:lineRule="auto"/>
        <w:ind w:left="1220" w:right="795"/>
        <w:jc w:val="both"/>
        <w:rPr>
          <w:sz w:val="21"/>
          <w:szCs w:val="21"/>
        </w:rPr>
      </w:pPr>
      <w:bookmarkStart w:id="11" w:name="_bookmark11"/>
      <w:bookmarkEnd w:id="11"/>
      <w:r w:rsidRPr="00B8372F">
        <w:rPr>
          <w:sz w:val="21"/>
          <w:szCs w:val="21"/>
        </w:rPr>
        <w:t>Wood, D. E., J. Lu and B. J. G. b. Langmead (2019). "Improved metagenomic analysis with Kraken 2."</w:t>
      </w:r>
      <w:r w:rsidRPr="00B8372F">
        <w:rPr>
          <w:spacing w:val="80"/>
          <w:w w:val="150"/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20</w:t>
      </w:r>
      <w:r w:rsidRPr="00B8372F">
        <w:rPr>
          <w:sz w:val="21"/>
          <w:szCs w:val="21"/>
        </w:rPr>
        <w:t>(1).</w:t>
      </w:r>
    </w:p>
    <w:p w14:paraId="0C1513CA" w14:textId="77777777" w:rsidR="00FB25DB" w:rsidRPr="00B8372F" w:rsidRDefault="00FB25DB">
      <w:pPr>
        <w:pStyle w:val="a3"/>
        <w:spacing w:before="10"/>
        <w:rPr>
          <w:sz w:val="21"/>
          <w:szCs w:val="21"/>
        </w:rPr>
      </w:pPr>
    </w:p>
    <w:p w14:paraId="1FA4D0F3" w14:textId="77777777" w:rsidR="00FB25DB" w:rsidRPr="00B8372F" w:rsidRDefault="00000000">
      <w:pPr>
        <w:pStyle w:val="a3"/>
        <w:spacing w:line="444" w:lineRule="auto"/>
        <w:ind w:left="1220" w:right="795"/>
        <w:jc w:val="both"/>
        <w:rPr>
          <w:sz w:val="21"/>
          <w:szCs w:val="21"/>
        </w:rPr>
      </w:pPr>
      <w:bookmarkStart w:id="12" w:name="_bookmark12"/>
      <w:bookmarkEnd w:id="12"/>
      <w:r w:rsidRPr="00B8372F">
        <w:rPr>
          <w:sz w:val="21"/>
          <w:szCs w:val="21"/>
        </w:rPr>
        <w:t>Zhu, W., L. Alexandre and B. J. N. A. R. Mark (2010). "Ab initio gene identification in metagenomic sequences."</w:t>
      </w:r>
      <w:r w:rsidRPr="00B8372F">
        <w:rPr>
          <w:spacing w:val="80"/>
          <w:w w:val="150"/>
          <w:sz w:val="21"/>
          <w:szCs w:val="21"/>
        </w:rPr>
        <w:t xml:space="preserve"> </w:t>
      </w:r>
      <w:r w:rsidRPr="00B8372F">
        <w:rPr>
          <w:b/>
          <w:sz w:val="21"/>
          <w:szCs w:val="21"/>
        </w:rPr>
        <w:t>38</w:t>
      </w:r>
      <w:r w:rsidRPr="00B8372F">
        <w:rPr>
          <w:sz w:val="21"/>
          <w:szCs w:val="21"/>
        </w:rPr>
        <w:t>(12): e132.</w:t>
      </w:r>
    </w:p>
    <w:sectPr w:rsidR="00FB25DB" w:rsidRPr="00B8372F">
      <w:pgSz w:w="11910" w:h="16840"/>
      <w:pgMar w:top="0" w:right="10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B64B9" w14:textId="77777777" w:rsidR="00385344" w:rsidRDefault="00385344" w:rsidP="00B474E9">
      <w:r>
        <w:separator/>
      </w:r>
    </w:p>
  </w:endnote>
  <w:endnote w:type="continuationSeparator" w:id="0">
    <w:p w14:paraId="6ADF299E" w14:textId="77777777" w:rsidR="00385344" w:rsidRDefault="00385344" w:rsidP="00B4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2AB5" w14:textId="77777777" w:rsidR="00385344" w:rsidRDefault="00385344" w:rsidP="00B474E9">
      <w:r>
        <w:separator/>
      </w:r>
    </w:p>
  </w:footnote>
  <w:footnote w:type="continuationSeparator" w:id="0">
    <w:p w14:paraId="1FC25CD8" w14:textId="77777777" w:rsidR="00385344" w:rsidRDefault="00385344" w:rsidP="00B4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DB"/>
    <w:rsid w:val="0017795C"/>
    <w:rsid w:val="00385344"/>
    <w:rsid w:val="00B474E9"/>
    <w:rsid w:val="00B8372F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29843"/>
  <w15:docId w15:val="{6F1429DB-13BE-49E2-A2F7-12B85632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7"/>
      <w:ind w:left="42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39"/>
      <w:ind w:left="121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74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74E9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74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74E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tacpa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</dc:creator>
  <cp:lastModifiedBy>799540705@qq.com</cp:lastModifiedBy>
  <cp:revision>3</cp:revision>
  <dcterms:created xsi:type="dcterms:W3CDTF">2024-09-16T04:06:00Z</dcterms:created>
  <dcterms:modified xsi:type="dcterms:W3CDTF">2024-09-16T04:10:00Z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2024-08-06T00:00:00Z</vt:filetime>
  </property>
</Properties>
</file>