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AB9B7" w14:textId="77777777" w:rsidR="00AA78F6" w:rsidRDefault="00000000">
      <w:pPr>
        <w:pStyle w:val="1"/>
        <w:spacing w:before="77"/>
      </w:pPr>
      <w:r>
        <w:t>Sample</w:t>
      </w:r>
      <w:r>
        <w:rPr>
          <w:spacing w:val="-8"/>
        </w:rPr>
        <w:t xml:space="preserve"> </w:t>
      </w:r>
      <w:r>
        <w:t>preparation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bacterial</w:t>
      </w:r>
      <w:r>
        <w:rPr>
          <w:spacing w:val="-7"/>
        </w:rPr>
        <w:t xml:space="preserve"> </w:t>
      </w:r>
      <w:r>
        <w:rPr>
          <w:spacing w:val="-2"/>
        </w:rPr>
        <w:t>enrichment</w:t>
      </w:r>
    </w:p>
    <w:p w14:paraId="7BB35A63" w14:textId="77777777" w:rsidR="00AA78F6" w:rsidRDefault="00000000">
      <w:pPr>
        <w:pStyle w:val="a3"/>
        <w:spacing w:before="71" w:line="309" w:lineRule="auto"/>
      </w:pPr>
      <w:r>
        <w:t xml:space="preserve">500 </w:t>
      </w:r>
      <w:proofErr w:type="spellStart"/>
      <w:r>
        <w:t>μL</w:t>
      </w:r>
      <w:proofErr w:type="spellEnd"/>
      <w:r>
        <w:t xml:space="preserve"> of phosphate buffered saline (PBS) pre-chilled at 4 </w:t>
      </w:r>
      <w:proofErr w:type="spellStart"/>
      <w:r>
        <w:rPr>
          <w:vertAlign w:val="superscript"/>
        </w:rPr>
        <w:t>o</w:t>
      </w:r>
      <w:r>
        <w:t>C</w:t>
      </w:r>
      <w:proofErr w:type="spellEnd"/>
      <w:r>
        <w:t xml:space="preserve"> was added to the fecal samples along with quartz sand to ensure thorough mixing. The mixture was then centrifuged at 4 </w:t>
      </w:r>
      <w:proofErr w:type="spellStart"/>
      <w:r>
        <w:rPr>
          <w:vertAlign w:val="superscript"/>
        </w:rPr>
        <w:t>o</w:t>
      </w:r>
      <w:r>
        <w:t>C</w:t>
      </w:r>
      <w:proofErr w:type="spellEnd"/>
      <w:r>
        <w:t xml:space="preserve"> for 5 minutes to collect the supernatant, which enriched the bacterial content.</w:t>
      </w:r>
    </w:p>
    <w:p w14:paraId="2A9F734D" w14:textId="77777777" w:rsidR="00AA78F6" w:rsidRDefault="00AA78F6">
      <w:pPr>
        <w:pStyle w:val="a3"/>
        <w:spacing w:before="2"/>
        <w:ind w:left="0" w:right="0"/>
        <w:jc w:val="left"/>
        <w:rPr>
          <w:sz w:val="27"/>
        </w:rPr>
      </w:pPr>
    </w:p>
    <w:p w14:paraId="42171F6C" w14:textId="77777777" w:rsidR="00AA78F6" w:rsidRDefault="00000000">
      <w:pPr>
        <w:pStyle w:val="1"/>
        <w:spacing w:before="1"/>
      </w:pPr>
      <w:r>
        <w:t>Protein</w:t>
      </w:r>
      <w:r>
        <w:rPr>
          <w:spacing w:val="-9"/>
        </w:rPr>
        <w:t xml:space="preserve"> </w:t>
      </w:r>
      <w:r>
        <w:t>extraction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proteome</w:t>
      </w:r>
      <w:r>
        <w:rPr>
          <w:spacing w:val="-7"/>
        </w:rPr>
        <w:t xml:space="preserve"> </w:t>
      </w:r>
      <w:r>
        <w:t>sample</w:t>
      </w:r>
      <w:r>
        <w:rPr>
          <w:spacing w:val="-7"/>
        </w:rPr>
        <w:t xml:space="preserve"> </w:t>
      </w:r>
      <w:r>
        <w:rPr>
          <w:spacing w:val="-2"/>
        </w:rPr>
        <w:t>preparation</w:t>
      </w:r>
    </w:p>
    <w:p w14:paraId="0C1D52E5" w14:textId="77777777" w:rsidR="00AA78F6" w:rsidRDefault="00000000">
      <w:pPr>
        <w:pStyle w:val="a3"/>
        <w:spacing w:line="309" w:lineRule="auto"/>
      </w:pPr>
      <w:r>
        <w:t xml:space="preserve">Bacterial cells were lysed by adding 250 </w:t>
      </w:r>
      <w:proofErr w:type="spellStart"/>
      <w:r>
        <w:t>μL</w:t>
      </w:r>
      <w:proofErr w:type="spellEnd"/>
      <w:r>
        <w:t xml:space="preserve"> of lysis buffer containing sodium dodecyl sulfate (SDS) and tris(hydroxymethyl)aminomethane hydrochloride (Tris-HCl, pH 8.0), and subjected to high-temperature lysis at 95</w:t>
      </w:r>
      <w:r>
        <w:rPr>
          <w:spacing w:val="-14"/>
        </w:rPr>
        <w:t xml:space="preserve"> </w:t>
      </w:r>
      <w:proofErr w:type="spellStart"/>
      <w:r>
        <w:rPr>
          <w:vertAlign w:val="superscript"/>
        </w:rPr>
        <w:t>o</w:t>
      </w:r>
      <w:r>
        <w:t>C</w:t>
      </w:r>
      <w:proofErr w:type="spellEnd"/>
      <w:r>
        <w:t xml:space="preserve"> with 800 rpm agitation in a constant temperature metal bath for 10 minutes.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disrupt</w:t>
      </w:r>
      <w:r>
        <w:rPr>
          <w:spacing w:val="-1"/>
        </w:rPr>
        <w:t xml:space="preserve"> </w:t>
      </w:r>
      <w:r>
        <w:t>the cells, the samples were subjected</w:t>
      </w:r>
      <w:r>
        <w:rPr>
          <w:spacing w:val="-2"/>
        </w:rPr>
        <w:t xml:space="preserve"> </w:t>
      </w:r>
      <w:r>
        <w:t>to ultrasonication for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hour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 xml:space="preserve">10 </w:t>
      </w:r>
      <w:r>
        <w:rPr>
          <w:position w:val="7"/>
          <w:sz w:val="13"/>
        </w:rPr>
        <w:t>o</w:t>
      </w:r>
      <w:r>
        <w:t xml:space="preserve">C with a power setting of 40 KHz. Post-lysis, proteins were precipitated by adding 1 mL of acetone to the bacterial lysate and incubating overnight at -20 </w:t>
      </w:r>
      <w:proofErr w:type="spellStart"/>
      <w:r>
        <w:rPr>
          <w:vertAlign w:val="superscript"/>
        </w:rPr>
        <w:t>o</w:t>
      </w:r>
      <w:r>
        <w:t>C</w:t>
      </w:r>
      <w:proofErr w:type="spellEnd"/>
      <w:r>
        <w:t>, followed by centrifugation.</w:t>
      </w:r>
      <w:r>
        <w:rPr>
          <w:spacing w:val="40"/>
        </w:rPr>
        <w:t xml:space="preserve"> </w:t>
      </w:r>
      <w:r>
        <w:t>After centrifugation, the supernatant was discarded, and the protein pellet was washed 3 times</w:t>
      </w:r>
      <w:r>
        <w:rPr>
          <w:spacing w:val="40"/>
        </w:rPr>
        <w:t xml:space="preserve"> </w:t>
      </w:r>
      <w:r>
        <w:t xml:space="preserve">with 400 </w:t>
      </w:r>
      <w:proofErr w:type="spellStart"/>
      <w:r>
        <w:t>μL</w:t>
      </w:r>
      <w:proofErr w:type="spellEnd"/>
      <w:r>
        <w:t xml:space="preserve"> of acetone. The pellet was then resuspended in 25 </w:t>
      </w:r>
      <w:proofErr w:type="spellStart"/>
      <w:r>
        <w:t>μL</w:t>
      </w:r>
      <w:proofErr w:type="spellEnd"/>
      <w:r>
        <w:t xml:space="preserve"> of lysis buffer (8 M urea) and subjected</w:t>
      </w:r>
      <w:r>
        <w:rPr>
          <w:spacing w:val="-2"/>
        </w:rPr>
        <w:t xml:space="preserve"> </w:t>
      </w:r>
      <w:r>
        <w:t>to denaturation at 31.5</w:t>
      </w:r>
      <w:r>
        <w:rPr>
          <w:spacing w:val="-14"/>
        </w:rPr>
        <w:t xml:space="preserve"> </w:t>
      </w:r>
      <w:proofErr w:type="spellStart"/>
      <w:r>
        <w:rPr>
          <w:vertAlign w:val="superscript"/>
        </w:rPr>
        <w:t>o</w:t>
      </w:r>
      <w:r>
        <w:t>C</w:t>
      </w:r>
      <w:proofErr w:type="spellEnd"/>
      <w:r>
        <w:t xml:space="preserve"> with 600 rpm mixing for 30 minutes. Reduction was achieved by adding 2.3 </w:t>
      </w:r>
      <w:proofErr w:type="spellStart"/>
      <w:r>
        <w:t>μL</w:t>
      </w:r>
      <w:proofErr w:type="spellEnd"/>
      <w:r>
        <w:t xml:space="preserve"> of 0.1 M tris(2-</w:t>
      </w:r>
      <w:proofErr w:type="gramStart"/>
      <w:r>
        <w:t>carboxyethyl)phosphine</w:t>
      </w:r>
      <w:proofErr w:type="gramEnd"/>
      <w:r>
        <w:t xml:space="preserve"> (TCEP), which was dissolved in 100 mM ammonium bicarbonate (ABB). Alkylation was then performed in 6 </w:t>
      </w:r>
      <w:proofErr w:type="spellStart"/>
      <w:r>
        <w:t>μL</w:t>
      </w:r>
      <w:proofErr w:type="spellEnd"/>
      <w:r>
        <w:t xml:space="preserve"> of 0.2 M iodoacetamide (IAA), also dissolved in</w:t>
      </w:r>
      <w:r>
        <w:rPr>
          <w:spacing w:val="-2"/>
        </w:rPr>
        <w:t xml:space="preserve"> </w:t>
      </w:r>
      <w:r>
        <w:t>100 mM</w:t>
      </w:r>
      <w:r>
        <w:rPr>
          <w:spacing w:val="-11"/>
        </w:rPr>
        <w:t xml:space="preserve"> </w:t>
      </w:r>
      <w:r>
        <w:t>ABB, in the dark at</w:t>
      </w:r>
      <w:r>
        <w:rPr>
          <w:spacing w:val="-1"/>
        </w:rPr>
        <w:t xml:space="preserve"> </w:t>
      </w:r>
      <w:r>
        <w:t xml:space="preserve">31.5 </w:t>
      </w:r>
      <w:proofErr w:type="spellStart"/>
      <w:r>
        <w:rPr>
          <w:vertAlign w:val="superscript"/>
        </w:rPr>
        <w:t>o</w:t>
      </w:r>
      <w:r>
        <w:t>C</w:t>
      </w:r>
      <w:proofErr w:type="spellEnd"/>
      <w:r>
        <w:t xml:space="preserve"> with 600</w:t>
      </w:r>
      <w:r>
        <w:rPr>
          <w:spacing w:val="-2"/>
        </w:rPr>
        <w:t xml:space="preserve"> </w:t>
      </w:r>
      <w:r>
        <w:t xml:space="preserve">rpm mixing for 45 minutes. Next, 100 </w:t>
      </w:r>
      <w:proofErr w:type="spellStart"/>
      <w:r>
        <w:t>μL</w:t>
      </w:r>
      <w:proofErr w:type="spellEnd"/>
      <w:r>
        <w:t xml:space="preserve"> of 0.1 M ABB was added to each tube, followed by 1.5 </w:t>
      </w:r>
      <w:proofErr w:type="spellStart"/>
      <w:r>
        <w:t>μg</w:t>
      </w:r>
      <w:proofErr w:type="spellEnd"/>
      <w:r>
        <w:t xml:space="preserve"> trypsin protease solution, incubating at 32 </w:t>
      </w:r>
      <w:proofErr w:type="spellStart"/>
      <w:r>
        <w:rPr>
          <w:vertAlign w:val="superscript"/>
        </w:rPr>
        <w:t>o</w:t>
      </w:r>
      <w:r>
        <w:t>C</w:t>
      </w:r>
      <w:proofErr w:type="spellEnd"/>
      <w:r>
        <w:t xml:space="preserve"> with 600 rpm agitation for 4 hours. Trypsin digestion was performed by adding 1.5 </w:t>
      </w:r>
      <w:proofErr w:type="spellStart"/>
      <w:r>
        <w:t>μg</w:t>
      </w:r>
      <w:proofErr w:type="spellEnd"/>
      <w:r>
        <w:t xml:space="preserve"> of trypsin to each sample and incubating at 32 </w:t>
      </w:r>
      <w:proofErr w:type="spellStart"/>
      <w:r>
        <w:rPr>
          <w:vertAlign w:val="superscript"/>
        </w:rPr>
        <w:t>o</w:t>
      </w:r>
      <w:r>
        <w:t>C</w:t>
      </w:r>
      <w:proofErr w:type="spellEnd"/>
      <w:r>
        <w:t xml:space="preserve"> with 600 rpm agitation for 12 hours. The digestion process was terminated by adding 18 </w:t>
      </w:r>
      <w:proofErr w:type="spellStart"/>
      <w:r>
        <w:t>μL</w:t>
      </w:r>
      <w:proofErr w:type="spellEnd"/>
      <w:r>
        <w:t xml:space="preserve"> of 10% trifluoroacetic acid (TFA). Finally, the digested peptides were desalted using </w:t>
      </w:r>
      <w:proofErr w:type="spellStart"/>
      <w:r>
        <w:t>SOLAμTM</w:t>
      </w:r>
      <w:proofErr w:type="spellEnd"/>
      <w:r>
        <w:t xml:space="preserve"> SPE Plate (</w:t>
      </w:r>
      <w:proofErr w:type="spellStart"/>
      <w:r>
        <w:t>Thermo</w:t>
      </w:r>
      <w:proofErr w:type="spellEnd"/>
      <w:r>
        <w:t xml:space="preserve"> Fisher Scientific™, San Jose, USA) according to the user guides provided by the </w:t>
      </w:r>
      <w:r>
        <w:rPr>
          <w:spacing w:val="-2"/>
        </w:rPr>
        <w:t>producer.</w:t>
      </w:r>
    </w:p>
    <w:p w14:paraId="5C01DACE" w14:textId="77777777" w:rsidR="00AA78F6" w:rsidRDefault="00AA78F6">
      <w:pPr>
        <w:pStyle w:val="a3"/>
        <w:spacing w:before="11"/>
        <w:ind w:left="0" w:right="0"/>
        <w:jc w:val="left"/>
        <w:rPr>
          <w:sz w:val="27"/>
        </w:rPr>
      </w:pPr>
    </w:p>
    <w:p w14:paraId="4E33F2D7" w14:textId="77777777" w:rsidR="00AA78F6" w:rsidRDefault="00000000">
      <w:pPr>
        <w:pStyle w:val="1"/>
      </w:pPr>
      <w:r>
        <w:t>Spectral</w:t>
      </w:r>
      <w:r>
        <w:rPr>
          <w:spacing w:val="-10"/>
        </w:rPr>
        <w:t xml:space="preserve"> </w:t>
      </w:r>
      <w:r>
        <w:t>library</w:t>
      </w:r>
      <w:r>
        <w:rPr>
          <w:spacing w:val="-6"/>
        </w:rPr>
        <w:t xml:space="preserve"> </w:t>
      </w:r>
      <w:r>
        <w:rPr>
          <w:spacing w:val="-2"/>
        </w:rPr>
        <w:t>construction</w:t>
      </w:r>
    </w:p>
    <w:p w14:paraId="39F8126C" w14:textId="77777777" w:rsidR="00AA78F6" w:rsidRDefault="00000000">
      <w:pPr>
        <w:pStyle w:val="a3"/>
        <w:spacing w:line="309" w:lineRule="auto"/>
        <w:ind w:right="117"/>
      </w:pPr>
      <w:r>
        <w:t xml:space="preserve">Peptides from all samples were pooled into a single peptide sample with a total amount of 100 </w:t>
      </w:r>
      <w:proofErr w:type="spellStart"/>
      <w:r>
        <w:t>μg</w:t>
      </w:r>
      <w:proofErr w:type="spellEnd"/>
      <w:r>
        <w:t xml:space="preserve"> for library construction. The pool sample was further fractionated with a Waters </w:t>
      </w:r>
      <w:proofErr w:type="spellStart"/>
      <w:r>
        <w:t>XBridge</w:t>
      </w:r>
      <w:proofErr w:type="spellEnd"/>
      <w:r>
        <w:t xml:space="preserve"> Peptide BEH C18 column (300 Å, 5 </w:t>
      </w:r>
      <w:proofErr w:type="spellStart"/>
      <w:r>
        <w:t>μm</w:t>
      </w:r>
      <w:proofErr w:type="spellEnd"/>
      <w:r>
        <w:t xml:space="preserve"> × 4.6 mm × 250 mm) under a DIONEX </w:t>
      </w:r>
      <w:proofErr w:type="spellStart"/>
      <w:r>
        <w:t>UltiMate</w:t>
      </w:r>
      <w:r>
        <w:rPr>
          <w:vertAlign w:val="superscript"/>
        </w:rPr>
        <w:t>TM</w:t>
      </w:r>
      <w:proofErr w:type="spellEnd"/>
      <w:r>
        <w:t xml:space="preserve"> 3000 Liquid Chromatography system. Mobile phase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was 10 mM ammonium hydroxide (pH 10), and mobile phase B was 98% acetonitrile (ACN) with 10 mM ammonium hydroxide (pH 10). Peptides were collected</w:t>
      </w:r>
      <w:r>
        <w:rPr>
          <w:spacing w:val="-6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minute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gradient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5%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35%</w:t>
      </w:r>
      <w:r>
        <w:rPr>
          <w:spacing w:val="-13"/>
        </w:rPr>
        <w:t xml:space="preserve"> </w:t>
      </w:r>
      <w:r>
        <w:t>ACN</w:t>
      </w:r>
      <w:r>
        <w:rPr>
          <w:spacing w:val="-1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flow</w:t>
      </w:r>
      <w:r>
        <w:rPr>
          <w:spacing w:val="-2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rPr>
          <w:spacing w:val="-5"/>
        </w:rPr>
        <w:t>of</w:t>
      </w:r>
    </w:p>
    <w:p w14:paraId="7CE79DC9" w14:textId="77777777" w:rsidR="00AA78F6" w:rsidRDefault="00000000">
      <w:pPr>
        <w:pStyle w:val="a3"/>
        <w:spacing w:before="3" w:line="309" w:lineRule="auto"/>
      </w:pPr>
      <w:r>
        <w:t xml:space="preserve">0.5 mL/min, and then combined into 30 fractions. After drying with a </w:t>
      </w:r>
      <w:proofErr w:type="spellStart"/>
      <w:r>
        <w:t>SpeedVac</w:t>
      </w:r>
      <w:proofErr w:type="spellEnd"/>
      <w:r>
        <w:t>, the 30 fraction samples were resuspended with 2%</w:t>
      </w:r>
      <w:r>
        <w:rPr>
          <w:spacing w:val="-2"/>
        </w:rPr>
        <w:t xml:space="preserve"> </w:t>
      </w:r>
      <w:r>
        <w:t xml:space="preserve">ACN, 0.1% formic acid (FA) and then sent for the following analysis. LC-MS/MS analysis was performed using an ultra-high pressure liquid chromatography (UHPLC) system (Bruker </w:t>
      </w:r>
      <w:proofErr w:type="spellStart"/>
      <w:r>
        <w:t>Daltonics</w:t>
      </w:r>
      <w:proofErr w:type="spellEnd"/>
      <w:r>
        <w:t xml:space="preserve">, Germany) and a </w:t>
      </w:r>
      <w:proofErr w:type="spellStart"/>
      <w:r>
        <w:t>timsTOF</w:t>
      </w:r>
      <w:proofErr w:type="spellEnd"/>
      <w:r>
        <w:t xml:space="preserve"> Pro mass spectrometer (Bruker </w:t>
      </w:r>
      <w:proofErr w:type="spellStart"/>
      <w:r>
        <w:rPr>
          <w:position w:val="2"/>
        </w:rPr>
        <w:t>Daltonics</w:t>
      </w:r>
      <w:proofErr w:type="spellEnd"/>
      <w:r>
        <w:rPr>
          <w:position w:val="2"/>
        </w:rPr>
        <w:t>, Germany), utilizing the data-dependent acquisition (DDA) mode. Buffer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A. 100% H</w:t>
      </w:r>
      <w:r>
        <w:rPr>
          <w:sz w:val="13"/>
        </w:rPr>
        <w:t>2</w:t>
      </w:r>
      <w:r>
        <w:rPr>
          <w:position w:val="2"/>
        </w:rPr>
        <w:t>O</w:t>
      </w:r>
    </w:p>
    <w:p w14:paraId="5C9D1F14" w14:textId="77777777" w:rsidR="00AA78F6" w:rsidRDefault="00000000">
      <w:pPr>
        <w:pStyle w:val="a3"/>
        <w:spacing w:before="0" w:line="259" w:lineRule="auto"/>
      </w:pPr>
      <w:r>
        <w:t>containing 0.1% FA; Buffer B. 100% ACN in water containing 0.1% FA. All reagents were MS grade. For each</w:t>
      </w:r>
      <w:r>
        <w:rPr>
          <w:spacing w:val="-1"/>
        </w:rPr>
        <w:t xml:space="preserve"> </w:t>
      </w:r>
      <w:r>
        <w:t xml:space="preserve">acquisition, peptides were first loaded onto a pre-column (5 mm </w:t>
      </w:r>
      <w:r>
        <w:rPr>
          <w:rFonts w:ascii="等线" w:hAnsi="等线"/>
        </w:rPr>
        <w:t xml:space="preserve">× </w:t>
      </w:r>
      <w:r>
        <w:t xml:space="preserve">300 µm </w:t>
      </w:r>
      <w:proofErr w:type="spellStart"/>
      <w:r>
        <w:t>i.d.</w:t>
      </w:r>
      <w:proofErr w:type="spellEnd"/>
      <w:r>
        <w:t xml:space="preserve">) at a pressure of 217.5 bar, then introduced into an analytical column (1.9 µm, 120 Å, 150 mm </w:t>
      </w:r>
      <w:r>
        <w:rPr>
          <w:rFonts w:ascii="等线" w:hAnsi="等线"/>
        </w:rPr>
        <w:t xml:space="preserve">× </w:t>
      </w:r>
      <w:r>
        <w:t xml:space="preserve">75 µm </w:t>
      </w:r>
      <w:proofErr w:type="spellStart"/>
      <w:r>
        <w:t>i.d.</w:t>
      </w:r>
      <w:proofErr w:type="spellEnd"/>
      <w:r>
        <w:t xml:space="preserve">) at a flow rate of 300 </w:t>
      </w:r>
      <w:proofErr w:type="spellStart"/>
      <w:r>
        <w:t>nL</w:t>
      </w:r>
      <w:proofErr w:type="spellEnd"/>
      <w:r>
        <w:t>/min, analyzed using a 60-minute LC gradient (0-50 min, 5-27%</w:t>
      </w:r>
    </w:p>
    <w:p w14:paraId="12BE343C" w14:textId="77777777" w:rsidR="00AA78F6" w:rsidRDefault="00000000">
      <w:pPr>
        <w:pStyle w:val="a3"/>
        <w:spacing w:before="44" w:line="309" w:lineRule="auto"/>
        <w:ind w:right="117"/>
      </w:pPr>
      <w:r>
        <w:t>mobile phase</w:t>
      </w:r>
      <w:r>
        <w:rPr>
          <w:spacing w:val="-2"/>
        </w:rPr>
        <w:t xml:space="preserve"> </w:t>
      </w:r>
      <w:r>
        <w:t>B; 50-60 min, 27-40% mobile phase</w:t>
      </w:r>
      <w:r>
        <w:rPr>
          <w:spacing w:val="-2"/>
        </w:rPr>
        <w:t xml:space="preserve"> </w:t>
      </w:r>
      <w:r>
        <w:t>B). Mass spectrometry scan</w:t>
      </w:r>
      <w:r>
        <w:rPr>
          <w:spacing w:val="-2"/>
        </w:rPr>
        <w:t xml:space="preserve"> </w:t>
      </w:r>
      <w:r>
        <w:t>parameters were as follows: PASEF MS and MS/MS mass scan range from 100-1700 m/z, 1/k0 scanning range from</w:t>
      </w:r>
    </w:p>
    <w:p w14:paraId="25E69FD7" w14:textId="77777777" w:rsidR="00AA78F6" w:rsidRDefault="00AA78F6">
      <w:pPr>
        <w:spacing w:line="309" w:lineRule="auto"/>
        <w:sectPr w:rsidR="00AA78F6">
          <w:type w:val="continuous"/>
          <w:pgSz w:w="11910" w:h="16840"/>
          <w:pgMar w:top="1380" w:right="1680" w:bottom="280" w:left="1680" w:header="720" w:footer="720" w:gutter="0"/>
          <w:cols w:space="720"/>
        </w:sectPr>
      </w:pPr>
    </w:p>
    <w:p w14:paraId="1B8EBDDE" w14:textId="77777777" w:rsidR="00AA78F6" w:rsidRDefault="00000000">
      <w:pPr>
        <w:pStyle w:val="a3"/>
        <w:spacing w:before="77" w:line="309" w:lineRule="auto"/>
        <w:ind w:right="120"/>
      </w:pPr>
      <w:r>
        <w:lastRenderedPageBreak/>
        <w:t xml:space="preserve">0.6-1.6, with a peak detection threshold of 5000; PASEF MS/MS scan count set to 10, charge range from 0-5, peak detection threshold of 2500 </w:t>
      </w:r>
      <w:proofErr w:type="spellStart"/>
      <w:r>
        <w:t>cts</w:t>
      </w:r>
      <w:proofErr w:type="spellEnd"/>
      <w:r>
        <w:t>/s.</w:t>
      </w:r>
    </w:p>
    <w:p w14:paraId="4E16C16B" w14:textId="77777777" w:rsidR="00AA78F6" w:rsidRDefault="00AA78F6">
      <w:pPr>
        <w:pStyle w:val="a3"/>
        <w:spacing w:before="2"/>
        <w:ind w:left="0" w:right="0"/>
        <w:jc w:val="left"/>
        <w:rPr>
          <w:sz w:val="27"/>
        </w:rPr>
      </w:pPr>
    </w:p>
    <w:p w14:paraId="5A07028E" w14:textId="77777777" w:rsidR="00AA78F6" w:rsidRDefault="00000000">
      <w:pPr>
        <w:pStyle w:val="1"/>
        <w:spacing w:before="1"/>
      </w:pPr>
      <w:r>
        <w:t>Proteome</w:t>
      </w:r>
      <w:r>
        <w:rPr>
          <w:spacing w:val="-9"/>
        </w:rPr>
        <w:t xml:space="preserve"> </w:t>
      </w:r>
      <w:r>
        <w:t>sample</w:t>
      </w:r>
      <w:r>
        <w:rPr>
          <w:spacing w:val="-9"/>
        </w:rPr>
        <w:t xml:space="preserve"> </w:t>
      </w:r>
      <w:r>
        <w:rPr>
          <w:spacing w:val="-2"/>
        </w:rPr>
        <w:t>analysis</w:t>
      </w:r>
    </w:p>
    <w:p w14:paraId="59F9F5E0" w14:textId="77777777" w:rsidR="00AA78F6" w:rsidRDefault="00000000">
      <w:pPr>
        <w:pStyle w:val="a3"/>
        <w:spacing w:line="309" w:lineRule="auto"/>
        <w:ind w:right="108"/>
      </w:pPr>
      <w:r>
        <w:t>For the proteomic analysis, data-independent acquisition (DIA) was employed for all samples. A peptide</w:t>
      </w:r>
      <w:r>
        <w:rPr>
          <w:spacing w:val="18"/>
        </w:rPr>
        <w:t xml:space="preserve"> </w:t>
      </w:r>
      <w:r>
        <w:t>solution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0.2</w:t>
      </w:r>
      <w:r>
        <w:rPr>
          <w:spacing w:val="19"/>
        </w:rPr>
        <w:t xml:space="preserve"> </w:t>
      </w:r>
      <w:proofErr w:type="spellStart"/>
      <w:r>
        <w:t>μg</w:t>
      </w:r>
      <w:proofErr w:type="spellEnd"/>
      <w:r>
        <w:t>/</w:t>
      </w:r>
      <w:proofErr w:type="spellStart"/>
      <w:r>
        <w:t>μL</w:t>
      </w:r>
      <w:proofErr w:type="spellEnd"/>
      <w:r>
        <w:rPr>
          <w:spacing w:val="13"/>
        </w:rPr>
        <w:t xml:space="preserve"> </w:t>
      </w:r>
      <w:r>
        <w:t>was</w:t>
      </w:r>
      <w:r>
        <w:rPr>
          <w:spacing w:val="20"/>
        </w:rPr>
        <w:t xml:space="preserve"> </w:t>
      </w:r>
      <w:r>
        <w:t>prepared,</w:t>
      </w:r>
      <w:r>
        <w:rPr>
          <w:spacing w:val="19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injection</w:t>
      </w:r>
      <w:r>
        <w:rPr>
          <w:spacing w:val="23"/>
        </w:rPr>
        <w:t xml:space="preserve"> </w:t>
      </w:r>
      <w:r>
        <w:t>volume</w:t>
      </w:r>
      <w:r>
        <w:rPr>
          <w:spacing w:val="21"/>
        </w:rPr>
        <w:t xml:space="preserve"> </w:t>
      </w:r>
      <w:r>
        <w:t>set</w:t>
      </w:r>
      <w:r>
        <w:rPr>
          <w:spacing w:val="19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1</w:t>
      </w:r>
      <w:r>
        <w:rPr>
          <w:spacing w:val="21"/>
        </w:rPr>
        <w:t xml:space="preserve"> </w:t>
      </w:r>
      <w:proofErr w:type="spellStart"/>
      <w:r>
        <w:t>μL</w:t>
      </w:r>
      <w:proofErr w:type="spellEnd"/>
      <w:r>
        <w:rPr>
          <w:spacing w:val="12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each</w:t>
      </w:r>
      <w:r>
        <w:rPr>
          <w:spacing w:val="21"/>
        </w:rPr>
        <w:t xml:space="preserve"> </w:t>
      </w:r>
      <w:r>
        <w:rPr>
          <w:spacing w:val="-5"/>
        </w:rPr>
        <w:t>DIA</w:t>
      </w:r>
    </w:p>
    <w:p w14:paraId="655A689E" w14:textId="77777777" w:rsidR="00AA78F6" w:rsidRDefault="00000000">
      <w:pPr>
        <w:pStyle w:val="a3"/>
        <w:spacing w:before="1" w:line="259" w:lineRule="auto"/>
        <w:ind w:right="116"/>
      </w:pPr>
      <w:r>
        <w:t>sample, resulting in a total loading amount of 200 ng. During DIA acquisition for all samples, peptides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first loaded</w:t>
      </w:r>
      <w:r>
        <w:rPr>
          <w:spacing w:val="-3"/>
        </w:rPr>
        <w:t xml:space="preserve"> </w:t>
      </w:r>
      <w:r>
        <w:t>onto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pre-column (5</w:t>
      </w:r>
      <w:r>
        <w:rPr>
          <w:spacing w:val="-1"/>
        </w:rPr>
        <w:t xml:space="preserve"> </w:t>
      </w:r>
      <w:r>
        <w:t>mm</w:t>
      </w:r>
      <w:r>
        <w:rPr>
          <w:spacing w:val="-2"/>
        </w:rPr>
        <w:t xml:space="preserve"> </w:t>
      </w:r>
      <w:r>
        <w:rPr>
          <w:rFonts w:ascii="等线" w:hAnsi="等线"/>
        </w:rPr>
        <w:t>×</w:t>
      </w:r>
      <w:r>
        <w:rPr>
          <w:rFonts w:ascii="等线" w:hAnsi="等线"/>
          <w:spacing w:val="-3"/>
        </w:rPr>
        <w:t xml:space="preserve"> </w:t>
      </w:r>
      <w:r>
        <w:t>300</w:t>
      </w:r>
      <w:r>
        <w:rPr>
          <w:spacing w:val="-3"/>
        </w:rPr>
        <w:t xml:space="preserve"> </w:t>
      </w:r>
      <w:r>
        <w:t>µm</w:t>
      </w:r>
      <w:r>
        <w:rPr>
          <w:spacing w:val="-2"/>
        </w:rPr>
        <w:t xml:space="preserve"> </w:t>
      </w:r>
      <w:proofErr w:type="spellStart"/>
      <w:r>
        <w:t>i.d.</w:t>
      </w:r>
      <w:proofErr w:type="spellEnd"/>
      <w:r>
        <w:t>)</w:t>
      </w:r>
      <w:r>
        <w:rPr>
          <w:spacing w:val="-2"/>
        </w:rPr>
        <w:t xml:space="preserve"> </w:t>
      </w:r>
      <w:r>
        <w:t>at a</w:t>
      </w:r>
      <w:r>
        <w:rPr>
          <w:spacing w:val="-1"/>
        </w:rPr>
        <w:t xml:space="preserve"> </w:t>
      </w:r>
      <w:r>
        <w:t>pressure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217.5</w:t>
      </w:r>
      <w:r>
        <w:rPr>
          <w:spacing w:val="-3"/>
        </w:rPr>
        <w:t xml:space="preserve"> </w:t>
      </w:r>
      <w:r>
        <w:t>bar,</w:t>
      </w:r>
      <w:r>
        <w:rPr>
          <w:spacing w:val="-4"/>
        </w:rPr>
        <w:t xml:space="preserve"> </w:t>
      </w:r>
      <w:r>
        <w:t xml:space="preserve">then introduced into an analytical column (1.9 µm, 120 Å, 150 mm </w:t>
      </w:r>
      <w:r>
        <w:rPr>
          <w:rFonts w:ascii="等线" w:hAnsi="等线"/>
        </w:rPr>
        <w:t xml:space="preserve">× </w:t>
      </w:r>
      <w:r>
        <w:t xml:space="preserve">75 µm </w:t>
      </w:r>
      <w:proofErr w:type="spellStart"/>
      <w:r>
        <w:t>i.d.</w:t>
      </w:r>
      <w:proofErr w:type="spellEnd"/>
      <w:r>
        <w:t xml:space="preserve">) at a flow rate of 300 </w:t>
      </w:r>
      <w:proofErr w:type="spellStart"/>
      <w:r>
        <w:t>nL</w:t>
      </w:r>
      <w:proofErr w:type="spellEnd"/>
      <w:r>
        <w:t>/min,</w:t>
      </w:r>
      <w:r>
        <w:rPr>
          <w:spacing w:val="14"/>
        </w:rPr>
        <w:t xml:space="preserve"> </w:t>
      </w:r>
      <w:r>
        <w:t>analyzed</w:t>
      </w:r>
      <w:r>
        <w:rPr>
          <w:spacing w:val="15"/>
        </w:rPr>
        <w:t xml:space="preserve"> </w:t>
      </w:r>
      <w:r>
        <w:t>using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60-minute</w:t>
      </w:r>
      <w:r>
        <w:rPr>
          <w:spacing w:val="15"/>
        </w:rPr>
        <w:t xml:space="preserve"> </w:t>
      </w:r>
      <w:r>
        <w:t>LC</w:t>
      </w:r>
      <w:r>
        <w:rPr>
          <w:spacing w:val="14"/>
        </w:rPr>
        <w:t xml:space="preserve"> </w:t>
      </w:r>
      <w:r>
        <w:t>gradient</w:t>
      </w:r>
      <w:r>
        <w:rPr>
          <w:spacing w:val="15"/>
        </w:rPr>
        <w:t xml:space="preserve"> </w:t>
      </w:r>
      <w:r>
        <w:t>(0-50</w:t>
      </w:r>
      <w:r>
        <w:rPr>
          <w:spacing w:val="15"/>
        </w:rPr>
        <w:t xml:space="preserve"> </w:t>
      </w:r>
      <w:r>
        <w:t>min,</w:t>
      </w:r>
      <w:r>
        <w:rPr>
          <w:spacing w:val="15"/>
        </w:rPr>
        <w:t xml:space="preserve"> </w:t>
      </w:r>
      <w:r>
        <w:t>5-27%</w:t>
      </w:r>
      <w:r>
        <w:rPr>
          <w:spacing w:val="14"/>
        </w:rPr>
        <w:t xml:space="preserve"> </w:t>
      </w:r>
      <w:r>
        <w:t>mobile</w:t>
      </w:r>
      <w:r>
        <w:rPr>
          <w:spacing w:val="15"/>
        </w:rPr>
        <w:t xml:space="preserve"> </w:t>
      </w:r>
      <w:r>
        <w:t>phase</w:t>
      </w:r>
      <w:r>
        <w:rPr>
          <w:spacing w:val="12"/>
        </w:rPr>
        <w:t xml:space="preserve"> </w:t>
      </w:r>
      <w:r>
        <w:t>B;</w:t>
      </w:r>
      <w:r>
        <w:rPr>
          <w:spacing w:val="15"/>
        </w:rPr>
        <w:t xml:space="preserve"> </w:t>
      </w:r>
      <w:r>
        <w:t>50-60</w:t>
      </w:r>
      <w:r>
        <w:rPr>
          <w:spacing w:val="13"/>
        </w:rPr>
        <w:t xml:space="preserve"> </w:t>
      </w:r>
      <w:r>
        <w:rPr>
          <w:spacing w:val="-4"/>
        </w:rPr>
        <w:t>min,</w:t>
      </w:r>
    </w:p>
    <w:p w14:paraId="586C51DC" w14:textId="77777777" w:rsidR="00AA78F6" w:rsidRDefault="00000000">
      <w:pPr>
        <w:pStyle w:val="a3"/>
        <w:spacing w:before="43" w:line="309" w:lineRule="auto"/>
      </w:pPr>
      <w:r>
        <w:t xml:space="preserve">27-40% mobile phase B). The mass spectrometry scanning parameters were as follows: PASEF MS mass scan range from 100-1700 m/z, 1/k0 scanning range from 0.7-1.3, with a peak detection threshold of 5,000; PASEF MS/MS scan count set to 10, charge range from 0-5, peak detection threshold of 2,500 </w:t>
      </w:r>
      <w:proofErr w:type="spellStart"/>
      <w:r>
        <w:t>cts</w:t>
      </w:r>
      <w:proofErr w:type="spellEnd"/>
      <w:r>
        <w:t>/s, with a total of 56 windows.</w:t>
      </w:r>
    </w:p>
    <w:p w14:paraId="4E8D444E" w14:textId="77777777" w:rsidR="00AA78F6" w:rsidRDefault="00AA78F6">
      <w:pPr>
        <w:pStyle w:val="a3"/>
        <w:spacing w:before="4"/>
        <w:ind w:left="0" w:right="0"/>
        <w:jc w:val="left"/>
        <w:rPr>
          <w:sz w:val="27"/>
        </w:rPr>
      </w:pPr>
    </w:p>
    <w:p w14:paraId="1C8246F2" w14:textId="77777777" w:rsidR="00AA78F6" w:rsidRDefault="00000000">
      <w:pPr>
        <w:pStyle w:val="1"/>
      </w:pPr>
      <w:r>
        <w:t>Mass</w:t>
      </w:r>
      <w:r>
        <w:rPr>
          <w:spacing w:val="-9"/>
        </w:rPr>
        <w:t xml:space="preserve"> </w:t>
      </w:r>
      <w:r>
        <w:t>spectrometry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rPr>
          <w:spacing w:val="-2"/>
        </w:rPr>
        <w:t>analysis</w:t>
      </w:r>
    </w:p>
    <w:p w14:paraId="4CE866E3" w14:textId="77777777" w:rsidR="00AA78F6" w:rsidRDefault="00AA78F6">
      <w:pPr>
        <w:pStyle w:val="a3"/>
        <w:spacing w:before="0"/>
        <w:ind w:left="0" w:right="0"/>
        <w:jc w:val="left"/>
        <w:rPr>
          <w:b/>
          <w:sz w:val="22"/>
        </w:rPr>
      </w:pPr>
    </w:p>
    <w:p w14:paraId="0ABFFC6B" w14:textId="77777777" w:rsidR="00AA78F6" w:rsidRDefault="00000000">
      <w:pPr>
        <w:pStyle w:val="a3"/>
        <w:spacing w:before="129" w:line="309" w:lineRule="auto"/>
      </w:pPr>
      <w:r>
        <w:t xml:space="preserve">The construction of the spectral library utilized a combination of data-dependent acquisition (DDA) data and metagenomic data collected from the samples, with the latter providing the </w:t>
      </w:r>
      <w:proofErr w:type="spellStart"/>
      <w:r>
        <w:t>fasta</w:t>
      </w:r>
      <w:proofErr w:type="spellEnd"/>
      <w:r>
        <w:t xml:space="preserve"> file. The mass spectrometry data were processed using the DIA-NN software (version 1.8.1) for database searching, leveraging the spectral library generated as described above. This analysis yielded both qualitative and quantitative data, with a set threshold for the false discovery rate (FDR) of less than 0.01 serving as the filtering criterion.</w:t>
      </w:r>
    </w:p>
    <w:p w14:paraId="02434235" w14:textId="77777777" w:rsidR="00AA78F6" w:rsidRDefault="00AA78F6">
      <w:pPr>
        <w:pStyle w:val="a3"/>
        <w:spacing w:before="5"/>
        <w:ind w:left="0" w:right="0"/>
        <w:jc w:val="left"/>
        <w:rPr>
          <w:sz w:val="27"/>
        </w:rPr>
      </w:pPr>
    </w:p>
    <w:p w14:paraId="694F9A9B" w14:textId="77777777" w:rsidR="00AA78F6" w:rsidRDefault="00000000">
      <w:pPr>
        <w:pStyle w:val="1"/>
      </w:pPr>
      <w:r>
        <w:t>Statistical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bioinformatics</w:t>
      </w:r>
      <w:r>
        <w:rPr>
          <w:spacing w:val="-10"/>
        </w:rPr>
        <w:t xml:space="preserve"> </w:t>
      </w:r>
      <w:r>
        <w:rPr>
          <w:spacing w:val="-2"/>
        </w:rPr>
        <w:t>analysis</w:t>
      </w:r>
    </w:p>
    <w:p w14:paraId="2DEB24B9" w14:textId="77777777" w:rsidR="00AA78F6" w:rsidRDefault="00000000">
      <w:pPr>
        <w:pStyle w:val="a3"/>
        <w:spacing w:line="309" w:lineRule="auto"/>
        <w:ind w:right="115"/>
      </w:pPr>
      <w:r>
        <w:t xml:space="preserve">Taxonomic annotations were performed using the peptide-centric taxonomic annotation software </w:t>
      </w:r>
      <w:proofErr w:type="spellStart"/>
      <w:proofErr w:type="gramStart"/>
      <w:r>
        <w:t>Unipept</w:t>
      </w:r>
      <w:proofErr w:type="spellEnd"/>
      <w:r>
        <w:rPr>
          <w:vertAlign w:val="superscript"/>
        </w:rPr>
        <w:t>[</w:t>
      </w:r>
      <w:proofErr w:type="gramEnd"/>
      <w:r>
        <w:rPr>
          <w:vertAlign w:val="superscript"/>
        </w:rPr>
        <w:t>1]</w:t>
      </w:r>
      <w:r>
        <w:t xml:space="preserve"> (</w:t>
      </w:r>
      <w:hyperlink r:id="rId7">
        <w:r>
          <w:rPr>
            <w:u w:val="single"/>
          </w:rPr>
          <w:t>https://unipept.ugent.be/mpa</w:t>
        </w:r>
      </w:hyperlink>
      <w:r>
        <w:t>), categorizing into seven hierarchical levels: kingdom, phylum, class, order,</w:t>
      </w:r>
      <w:r>
        <w:rPr>
          <w:spacing w:val="-3"/>
        </w:rPr>
        <w:t xml:space="preserve"> </w:t>
      </w:r>
      <w:r>
        <w:t>family,</w:t>
      </w:r>
      <w:r>
        <w:rPr>
          <w:spacing w:val="-3"/>
        </w:rPr>
        <w:t xml:space="preserve"> </w:t>
      </w:r>
      <w:r>
        <w:t>genus, and species. Proteins not</w:t>
      </w:r>
      <w:r>
        <w:rPr>
          <w:spacing w:val="-1"/>
        </w:rPr>
        <w:t xml:space="preserve"> </w:t>
      </w:r>
      <w:r>
        <w:t xml:space="preserve">detected in 80% of the samples were excluded, and the remaining missing values were imputed with </w:t>
      </w:r>
      <w:proofErr w:type="gramStart"/>
      <w:r>
        <w:t>zero.α</w:t>
      </w:r>
      <w:proofErr w:type="gramEnd"/>
      <w:r>
        <w:t xml:space="preserve">-Diversity (Shannon index, Simpson index, Richness index) and β-Diversity (distance matrix-based unconstrained ordination methods such as PCA, </w:t>
      </w:r>
      <w:proofErr w:type="spellStart"/>
      <w:r>
        <w:t>PCoA</w:t>
      </w:r>
      <w:proofErr w:type="spellEnd"/>
      <w:r>
        <w:t>, and adonis multivariate variance) analyses were conducted using R packages. Initially, the non-parametric Kruskal-</w:t>
      </w:r>
      <w:proofErr w:type="gramStart"/>
      <w:r>
        <w:t>Wallis</w:t>
      </w:r>
      <w:proofErr w:type="gramEnd"/>
      <w:r>
        <w:t xml:space="preserve"> rank-sum test was utilized to identify species with differential abundance across multiple groups (three or more), followed by pairwise comparisons between groups using the Wilcoxon rank-sum test for these species. Subsequently, Linear Discriminant Analysis Effect Size (</w:t>
      </w:r>
      <w:proofErr w:type="spellStart"/>
      <w:r>
        <w:t>LEfSe</w:t>
      </w:r>
      <w:proofErr w:type="spellEnd"/>
      <w:r>
        <w:t>) was employed to estimate the contribution of each differentially abundant species to the overall variance, with species exhibiting an LDA</w:t>
      </w:r>
      <w:r>
        <w:rPr>
          <w:spacing w:val="-3"/>
        </w:rPr>
        <w:t xml:space="preserve"> </w:t>
      </w:r>
      <w:r>
        <w:t xml:space="preserve">score greater than 2 being selected by default. To explore the functionality of proteins, </w:t>
      </w:r>
      <w:proofErr w:type="spellStart"/>
      <w:r>
        <w:t>eggNOG</w:t>
      </w:r>
      <w:proofErr w:type="spellEnd"/>
      <w:r>
        <w:t xml:space="preserve">- </w:t>
      </w:r>
      <w:proofErr w:type="gramStart"/>
      <w:r>
        <w:t>mapper</w:t>
      </w:r>
      <w:r>
        <w:rPr>
          <w:vertAlign w:val="superscript"/>
        </w:rPr>
        <w:t>[</w:t>
      </w:r>
      <w:proofErr w:type="gramEnd"/>
      <w:r>
        <w:rPr>
          <w:vertAlign w:val="superscript"/>
        </w:rPr>
        <w:t>2]</w:t>
      </w:r>
      <w:r>
        <w:t xml:space="preserve"> was used for Clusters of Orthologous Groups (COG) annotation, and </w:t>
      </w:r>
      <w:proofErr w:type="spellStart"/>
      <w:r>
        <w:t>GhostKOALA</w:t>
      </w:r>
      <w:proofErr w:type="spellEnd"/>
      <w:r>
        <w:rPr>
          <w:vertAlign w:val="superscript"/>
        </w:rPr>
        <w:t>[3]</w:t>
      </w:r>
      <w:r>
        <w:t xml:space="preserve"> was employed for KEGG </w:t>
      </w:r>
      <w:proofErr w:type="spellStart"/>
      <w:r>
        <w:t>Orthology</w:t>
      </w:r>
      <w:proofErr w:type="spellEnd"/>
      <w:r>
        <w:t xml:space="preserve"> (KO) annotation. Pathway enrichment significance analysis was performed using Fisher's exact test, with a P-value &lt;0.05 considered statistically significant. The Wilcoxon test was applied for inter-group differential protein analysis, with proteins showing a fold change (fc) &gt; 1.2 or fc &lt; 1/1.2 and P</w:t>
      </w:r>
      <w:r>
        <w:rPr>
          <w:spacing w:val="-2"/>
        </w:rPr>
        <w:t xml:space="preserve"> </w:t>
      </w:r>
      <w:r>
        <w:t>&lt; 0.05 considered as significantly different proteins.</w:t>
      </w:r>
    </w:p>
    <w:p w14:paraId="30EC93B7" w14:textId="77777777" w:rsidR="00AA78F6" w:rsidRDefault="00AA78F6">
      <w:pPr>
        <w:pStyle w:val="a3"/>
        <w:spacing w:before="10"/>
        <w:ind w:left="0" w:right="0"/>
        <w:jc w:val="left"/>
        <w:rPr>
          <w:sz w:val="27"/>
        </w:rPr>
      </w:pPr>
    </w:p>
    <w:p w14:paraId="7EEBAA65" w14:textId="77777777" w:rsidR="00AA78F6" w:rsidRDefault="00000000">
      <w:pPr>
        <w:pStyle w:val="1"/>
        <w:jc w:val="left"/>
      </w:pPr>
      <w:r>
        <w:rPr>
          <w:spacing w:val="-2"/>
        </w:rPr>
        <w:t>References</w:t>
      </w:r>
    </w:p>
    <w:p w14:paraId="31F4D981" w14:textId="77777777" w:rsidR="00AA78F6" w:rsidRDefault="00AA78F6">
      <w:pPr>
        <w:sectPr w:rsidR="00AA78F6">
          <w:pgSz w:w="11910" w:h="16840"/>
          <w:pgMar w:top="1380" w:right="1680" w:bottom="280" w:left="1680" w:header="720" w:footer="720" w:gutter="0"/>
          <w:cols w:space="720"/>
        </w:sectPr>
      </w:pPr>
    </w:p>
    <w:p w14:paraId="19490A99" w14:textId="77777777" w:rsidR="00AA78F6" w:rsidRDefault="00000000">
      <w:pPr>
        <w:pStyle w:val="a4"/>
        <w:numPr>
          <w:ilvl w:val="0"/>
          <w:numId w:val="1"/>
        </w:numPr>
        <w:tabs>
          <w:tab w:val="left" w:pos="423"/>
        </w:tabs>
        <w:spacing w:before="77" w:line="309" w:lineRule="auto"/>
        <w:ind w:right="117" w:firstLine="0"/>
        <w:jc w:val="both"/>
        <w:rPr>
          <w:sz w:val="21"/>
        </w:rPr>
      </w:pPr>
      <w:r>
        <w:rPr>
          <w:sz w:val="21"/>
        </w:rPr>
        <w:lastRenderedPageBreak/>
        <w:t>Gurdeep</w:t>
      </w:r>
      <w:r>
        <w:rPr>
          <w:spacing w:val="-6"/>
          <w:sz w:val="21"/>
        </w:rPr>
        <w:t xml:space="preserve"> </w:t>
      </w:r>
      <w:r>
        <w:rPr>
          <w:sz w:val="21"/>
        </w:rPr>
        <w:t>Singh</w:t>
      </w:r>
      <w:r>
        <w:rPr>
          <w:spacing w:val="-1"/>
          <w:sz w:val="21"/>
        </w:rPr>
        <w:t xml:space="preserve"> </w:t>
      </w:r>
      <w:r>
        <w:rPr>
          <w:sz w:val="21"/>
        </w:rPr>
        <w:t>R,</w:t>
      </w:r>
      <w:r>
        <w:rPr>
          <w:spacing w:val="-8"/>
          <w:sz w:val="21"/>
        </w:rPr>
        <w:t xml:space="preserve"> </w:t>
      </w:r>
      <w:proofErr w:type="spellStart"/>
      <w:r>
        <w:rPr>
          <w:sz w:val="21"/>
        </w:rPr>
        <w:t>Tanca</w:t>
      </w:r>
      <w:proofErr w:type="spellEnd"/>
      <w:r>
        <w:rPr>
          <w:spacing w:val="-14"/>
          <w:sz w:val="21"/>
        </w:rPr>
        <w:t xml:space="preserve"> </w:t>
      </w:r>
      <w:r>
        <w:rPr>
          <w:sz w:val="21"/>
        </w:rPr>
        <w:t>A,</w:t>
      </w:r>
      <w:r>
        <w:rPr>
          <w:spacing w:val="-3"/>
          <w:sz w:val="21"/>
        </w:rPr>
        <w:t xml:space="preserve"> </w:t>
      </w:r>
      <w:r>
        <w:rPr>
          <w:sz w:val="21"/>
        </w:rPr>
        <w:t>Palomba</w:t>
      </w:r>
      <w:r>
        <w:rPr>
          <w:spacing w:val="-14"/>
          <w:sz w:val="21"/>
        </w:rPr>
        <w:t xml:space="preserve"> </w:t>
      </w:r>
      <w:r>
        <w:rPr>
          <w:sz w:val="21"/>
        </w:rPr>
        <w:t>A,</w:t>
      </w:r>
      <w:r>
        <w:rPr>
          <w:spacing w:val="-4"/>
          <w:sz w:val="21"/>
        </w:rPr>
        <w:t xml:space="preserve"> </w:t>
      </w:r>
      <w:r>
        <w:rPr>
          <w:sz w:val="21"/>
        </w:rPr>
        <w:t>Van</w:t>
      </w:r>
      <w:r>
        <w:rPr>
          <w:spacing w:val="-7"/>
          <w:sz w:val="21"/>
        </w:rPr>
        <w:t xml:space="preserve"> </w:t>
      </w:r>
      <w:r>
        <w:rPr>
          <w:sz w:val="21"/>
        </w:rPr>
        <w:t>der</w:t>
      </w:r>
      <w:r>
        <w:rPr>
          <w:spacing w:val="-4"/>
          <w:sz w:val="21"/>
        </w:rPr>
        <w:t xml:space="preserve"> </w:t>
      </w:r>
      <w:proofErr w:type="spellStart"/>
      <w:r>
        <w:rPr>
          <w:sz w:val="21"/>
        </w:rPr>
        <w:t>Jeugt</w:t>
      </w:r>
      <w:proofErr w:type="spellEnd"/>
      <w:r>
        <w:rPr>
          <w:spacing w:val="-4"/>
          <w:sz w:val="21"/>
        </w:rPr>
        <w:t xml:space="preserve"> </w:t>
      </w:r>
      <w:r>
        <w:rPr>
          <w:sz w:val="21"/>
        </w:rPr>
        <w:t>F,</w:t>
      </w:r>
      <w:r>
        <w:rPr>
          <w:spacing w:val="-10"/>
          <w:sz w:val="21"/>
        </w:rPr>
        <w:t xml:space="preserve"> </w:t>
      </w:r>
      <w:proofErr w:type="spellStart"/>
      <w:r>
        <w:rPr>
          <w:sz w:val="21"/>
        </w:rPr>
        <w:t>Verschafelt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P,</w:t>
      </w:r>
      <w:r>
        <w:rPr>
          <w:spacing w:val="-8"/>
          <w:sz w:val="21"/>
        </w:rPr>
        <w:t xml:space="preserve"> </w:t>
      </w:r>
      <w:proofErr w:type="spellStart"/>
      <w:r>
        <w:rPr>
          <w:sz w:val="21"/>
        </w:rPr>
        <w:t>Uzzau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>S,</w:t>
      </w:r>
      <w:r>
        <w:rPr>
          <w:spacing w:val="-4"/>
          <w:sz w:val="21"/>
        </w:rPr>
        <w:t xml:space="preserve"> </w:t>
      </w:r>
      <w:r>
        <w:rPr>
          <w:sz w:val="21"/>
        </w:rPr>
        <w:t>et</w:t>
      </w:r>
      <w:r>
        <w:rPr>
          <w:spacing w:val="-4"/>
          <w:sz w:val="21"/>
        </w:rPr>
        <w:t xml:space="preserve"> </w:t>
      </w:r>
      <w:r>
        <w:rPr>
          <w:sz w:val="21"/>
        </w:rPr>
        <w:t>al.</w:t>
      </w:r>
      <w:r>
        <w:rPr>
          <w:spacing w:val="-4"/>
          <w:sz w:val="21"/>
        </w:rPr>
        <w:t xml:space="preserve"> </w:t>
      </w:r>
      <w:proofErr w:type="spellStart"/>
      <w:r>
        <w:rPr>
          <w:sz w:val="21"/>
        </w:rPr>
        <w:t>Unipept</w:t>
      </w:r>
      <w:proofErr w:type="spellEnd"/>
      <w:r>
        <w:rPr>
          <w:sz w:val="21"/>
        </w:rPr>
        <w:t xml:space="preserve"> 4.0: functional analysis of metaproteome data. J. Proteome Res. 2019;18(2):606–15. https://doi.org/10.1021/acs.jproteome. 8b00716.</w:t>
      </w:r>
    </w:p>
    <w:p w14:paraId="2228562B" w14:textId="77777777" w:rsidR="00AA78F6" w:rsidRDefault="00000000">
      <w:pPr>
        <w:pStyle w:val="a4"/>
        <w:numPr>
          <w:ilvl w:val="0"/>
          <w:numId w:val="1"/>
        </w:numPr>
        <w:tabs>
          <w:tab w:val="left" w:pos="418"/>
        </w:tabs>
        <w:spacing w:before="2" w:line="309" w:lineRule="auto"/>
        <w:ind w:firstLine="0"/>
        <w:jc w:val="both"/>
        <w:rPr>
          <w:sz w:val="21"/>
        </w:rPr>
      </w:pPr>
      <w:proofErr w:type="spellStart"/>
      <w:r>
        <w:rPr>
          <w:sz w:val="21"/>
        </w:rPr>
        <w:t>Cantalapiedra</w:t>
      </w:r>
      <w:proofErr w:type="spellEnd"/>
      <w:r>
        <w:rPr>
          <w:spacing w:val="-9"/>
          <w:sz w:val="21"/>
        </w:rPr>
        <w:t xml:space="preserve"> </w:t>
      </w:r>
      <w:r>
        <w:rPr>
          <w:sz w:val="21"/>
        </w:rPr>
        <w:t>CP,</w:t>
      </w:r>
      <w:r>
        <w:rPr>
          <w:spacing w:val="-11"/>
          <w:sz w:val="21"/>
        </w:rPr>
        <w:t xml:space="preserve"> </w:t>
      </w:r>
      <w:r>
        <w:rPr>
          <w:sz w:val="21"/>
        </w:rPr>
        <w:t>Hernandez-Plaza</w:t>
      </w:r>
      <w:r>
        <w:rPr>
          <w:spacing w:val="-14"/>
          <w:sz w:val="21"/>
        </w:rPr>
        <w:t xml:space="preserve"> </w:t>
      </w:r>
      <w:r>
        <w:rPr>
          <w:sz w:val="21"/>
        </w:rPr>
        <w:t>A,</w:t>
      </w:r>
      <w:r>
        <w:rPr>
          <w:spacing w:val="-7"/>
          <w:sz w:val="21"/>
        </w:rPr>
        <w:t xml:space="preserve"> </w:t>
      </w:r>
      <w:proofErr w:type="spellStart"/>
      <w:r>
        <w:rPr>
          <w:sz w:val="21"/>
        </w:rPr>
        <w:t>Letunic</w:t>
      </w:r>
      <w:proofErr w:type="spellEnd"/>
      <w:r>
        <w:rPr>
          <w:spacing w:val="-5"/>
          <w:sz w:val="21"/>
        </w:rPr>
        <w:t xml:space="preserve"> </w:t>
      </w:r>
      <w:r>
        <w:rPr>
          <w:sz w:val="21"/>
        </w:rPr>
        <w:t>I,</w:t>
      </w:r>
      <w:r>
        <w:rPr>
          <w:spacing w:val="-8"/>
          <w:sz w:val="21"/>
        </w:rPr>
        <w:t xml:space="preserve"> </w:t>
      </w:r>
      <w:r>
        <w:rPr>
          <w:sz w:val="21"/>
        </w:rPr>
        <w:t>Bork</w:t>
      </w:r>
      <w:r>
        <w:rPr>
          <w:spacing w:val="-7"/>
          <w:sz w:val="21"/>
        </w:rPr>
        <w:t xml:space="preserve"> </w:t>
      </w:r>
      <w:r>
        <w:rPr>
          <w:sz w:val="21"/>
        </w:rPr>
        <w:t>P,</w:t>
      </w:r>
      <w:r>
        <w:rPr>
          <w:spacing w:val="-9"/>
          <w:sz w:val="21"/>
        </w:rPr>
        <w:t xml:space="preserve"> </w:t>
      </w:r>
      <w:r>
        <w:rPr>
          <w:sz w:val="21"/>
        </w:rPr>
        <w:t>Huerta-</w:t>
      </w:r>
      <w:proofErr w:type="spellStart"/>
      <w:r>
        <w:rPr>
          <w:sz w:val="21"/>
        </w:rPr>
        <w:t>Cepas</w:t>
      </w:r>
      <w:proofErr w:type="spellEnd"/>
      <w:r>
        <w:rPr>
          <w:spacing w:val="-8"/>
          <w:sz w:val="21"/>
        </w:rPr>
        <w:t xml:space="preserve"> </w:t>
      </w:r>
      <w:r>
        <w:rPr>
          <w:sz w:val="21"/>
        </w:rPr>
        <w:t>J.</w:t>
      </w:r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eggNOG</w:t>
      </w:r>
      <w:proofErr w:type="spellEnd"/>
      <w:r>
        <w:rPr>
          <w:sz w:val="21"/>
        </w:rPr>
        <w:t>-mapper</w:t>
      </w:r>
      <w:r>
        <w:rPr>
          <w:spacing w:val="-8"/>
          <w:sz w:val="21"/>
        </w:rPr>
        <w:t xml:space="preserve"> </w:t>
      </w:r>
      <w:r>
        <w:rPr>
          <w:sz w:val="21"/>
        </w:rPr>
        <w:t xml:space="preserve">v2: functional annotation, </w:t>
      </w:r>
      <w:proofErr w:type="spellStart"/>
      <w:r>
        <w:rPr>
          <w:sz w:val="21"/>
        </w:rPr>
        <w:t>orthology</w:t>
      </w:r>
      <w:proofErr w:type="spellEnd"/>
      <w:r>
        <w:rPr>
          <w:sz w:val="21"/>
        </w:rPr>
        <w:t xml:space="preserve"> assignments, and domain prediction at the metagenomic scale. Mol. Biol. </w:t>
      </w:r>
      <w:proofErr w:type="spellStart"/>
      <w:r>
        <w:rPr>
          <w:sz w:val="21"/>
        </w:rPr>
        <w:t>Evol</w:t>
      </w:r>
      <w:proofErr w:type="spellEnd"/>
      <w:r>
        <w:rPr>
          <w:sz w:val="21"/>
        </w:rPr>
        <w:t>. 2021;38(12):5825–9. https://doi.org/10.1093/molbev/msab293.</w:t>
      </w:r>
    </w:p>
    <w:p w14:paraId="007E6726" w14:textId="77777777" w:rsidR="00AA78F6" w:rsidRDefault="00000000">
      <w:pPr>
        <w:pStyle w:val="a4"/>
        <w:numPr>
          <w:ilvl w:val="0"/>
          <w:numId w:val="1"/>
        </w:numPr>
        <w:tabs>
          <w:tab w:val="left" w:pos="480"/>
        </w:tabs>
        <w:spacing w:line="309" w:lineRule="auto"/>
        <w:ind w:firstLine="0"/>
        <w:jc w:val="both"/>
        <w:rPr>
          <w:sz w:val="21"/>
        </w:rPr>
      </w:pPr>
      <w:proofErr w:type="spellStart"/>
      <w:r>
        <w:rPr>
          <w:sz w:val="21"/>
        </w:rPr>
        <w:t>Kanehisa</w:t>
      </w:r>
      <w:proofErr w:type="spellEnd"/>
      <w:r>
        <w:rPr>
          <w:sz w:val="21"/>
        </w:rPr>
        <w:t xml:space="preserve"> M, Sato Y, Morishima K. </w:t>
      </w:r>
      <w:proofErr w:type="spellStart"/>
      <w:r>
        <w:rPr>
          <w:sz w:val="21"/>
        </w:rPr>
        <w:t>BlastKOALA</w:t>
      </w:r>
      <w:proofErr w:type="spellEnd"/>
      <w:r>
        <w:rPr>
          <w:sz w:val="21"/>
        </w:rPr>
        <w:t xml:space="preserve"> and </w:t>
      </w:r>
      <w:proofErr w:type="spellStart"/>
      <w:r>
        <w:rPr>
          <w:sz w:val="21"/>
        </w:rPr>
        <w:t>GhostKOALA</w:t>
      </w:r>
      <w:proofErr w:type="spellEnd"/>
      <w:r>
        <w:rPr>
          <w:sz w:val="21"/>
        </w:rPr>
        <w:t>: KEGG tools for functional</w:t>
      </w:r>
      <w:r>
        <w:rPr>
          <w:spacing w:val="-5"/>
          <w:sz w:val="21"/>
        </w:rPr>
        <w:t xml:space="preserve"> </w:t>
      </w:r>
      <w:r>
        <w:rPr>
          <w:sz w:val="21"/>
        </w:rPr>
        <w:t>characterization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genome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metagenome</w:t>
      </w:r>
      <w:r>
        <w:rPr>
          <w:spacing w:val="-3"/>
          <w:sz w:val="21"/>
        </w:rPr>
        <w:t xml:space="preserve"> </w:t>
      </w:r>
      <w:r>
        <w:rPr>
          <w:sz w:val="21"/>
        </w:rPr>
        <w:t>sequences.</w:t>
      </w:r>
      <w:r>
        <w:rPr>
          <w:spacing w:val="-4"/>
          <w:sz w:val="21"/>
        </w:rPr>
        <w:t xml:space="preserve"> </w:t>
      </w:r>
      <w:r>
        <w:rPr>
          <w:sz w:val="21"/>
        </w:rPr>
        <w:t>J.</w:t>
      </w:r>
      <w:r>
        <w:rPr>
          <w:spacing w:val="-4"/>
          <w:sz w:val="21"/>
        </w:rPr>
        <w:t xml:space="preserve"> </w:t>
      </w:r>
      <w:r>
        <w:rPr>
          <w:sz w:val="21"/>
        </w:rPr>
        <w:t>Mol.</w:t>
      </w:r>
      <w:r>
        <w:rPr>
          <w:spacing w:val="-4"/>
          <w:sz w:val="21"/>
        </w:rPr>
        <w:t xml:space="preserve"> </w:t>
      </w:r>
      <w:r>
        <w:rPr>
          <w:sz w:val="21"/>
        </w:rPr>
        <w:t>Biol.</w:t>
      </w:r>
      <w:r>
        <w:rPr>
          <w:spacing w:val="-1"/>
          <w:sz w:val="21"/>
        </w:rPr>
        <w:t xml:space="preserve"> </w:t>
      </w:r>
      <w:r>
        <w:rPr>
          <w:sz w:val="21"/>
        </w:rPr>
        <w:t>2016;428(4):726– 31. https://doi.org/10.1016/j.jmb. 2015.11.006.</w:t>
      </w:r>
    </w:p>
    <w:sectPr w:rsidR="00AA78F6">
      <w:pgSz w:w="11910" w:h="16840"/>
      <w:pgMar w:top="13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EEE8E" w14:textId="77777777" w:rsidR="0008619B" w:rsidRDefault="0008619B" w:rsidP="00C7792C">
      <w:r>
        <w:separator/>
      </w:r>
    </w:p>
  </w:endnote>
  <w:endnote w:type="continuationSeparator" w:id="0">
    <w:p w14:paraId="6BFDF7EC" w14:textId="77777777" w:rsidR="0008619B" w:rsidRDefault="0008619B" w:rsidP="00C7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41B71" w14:textId="77777777" w:rsidR="0008619B" w:rsidRDefault="0008619B" w:rsidP="00C7792C">
      <w:r>
        <w:separator/>
      </w:r>
    </w:p>
  </w:footnote>
  <w:footnote w:type="continuationSeparator" w:id="0">
    <w:p w14:paraId="64F36EC7" w14:textId="77777777" w:rsidR="0008619B" w:rsidRDefault="0008619B" w:rsidP="00C77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02C1D"/>
    <w:multiLevelType w:val="hybridMultilevel"/>
    <w:tmpl w:val="FAAEA80A"/>
    <w:lvl w:ilvl="0" w:tplc="07F6E872">
      <w:start w:val="1"/>
      <w:numFmt w:val="decimal"/>
      <w:lvlText w:val="[%1]"/>
      <w:lvlJc w:val="left"/>
      <w:pPr>
        <w:ind w:left="120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1"/>
        <w:szCs w:val="21"/>
        <w:lang w:val="en-US" w:eastAsia="en-US" w:bidi="ar-SA"/>
      </w:rPr>
    </w:lvl>
    <w:lvl w:ilvl="1" w:tplc="1B166362">
      <w:numFmt w:val="bullet"/>
      <w:lvlText w:val="•"/>
      <w:lvlJc w:val="left"/>
      <w:pPr>
        <w:ind w:left="962" w:hanging="303"/>
      </w:pPr>
      <w:rPr>
        <w:rFonts w:hint="default"/>
        <w:lang w:val="en-US" w:eastAsia="en-US" w:bidi="ar-SA"/>
      </w:rPr>
    </w:lvl>
    <w:lvl w:ilvl="2" w:tplc="3CFAAA2C">
      <w:numFmt w:val="bullet"/>
      <w:lvlText w:val="•"/>
      <w:lvlJc w:val="left"/>
      <w:pPr>
        <w:ind w:left="1805" w:hanging="303"/>
      </w:pPr>
      <w:rPr>
        <w:rFonts w:hint="default"/>
        <w:lang w:val="en-US" w:eastAsia="en-US" w:bidi="ar-SA"/>
      </w:rPr>
    </w:lvl>
    <w:lvl w:ilvl="3" w:tplc="FE84D9F6">
      <w:numFmt w:val="bullet"/>
      <w:lvlText w:val="•"/>
      <w:lvlJc w:val="left"/>
      <w:pPr>
        <w:ind w:left="2647" w:hanging="303"/>
      </w:pPr>
      <w:rPr>
        <w:rFonts w:hint="default"/>
        <w:lang w:val="en-US" w:eastAsia="en-US" w:bidi="ar-SA"/>
      </w:rPr>
    </w:lvl>
    <w:lvl w:ilvl="4" w:tplc="558A12D2">
      <w:numFmt w:val="bullet"/>
      <w:lvlText w:val="•"/>
      <w:lvlJc w:val="left"/>
      <w:pPr>
        <w:ind w:left="3490" w:hanging="303"/>
      </w:pPr>
      <w:rPr>
        <w:rFonts w:hint="default"/>
        <w:lang w:val="en-US" w:eastAsia="en-US" w:bidi="ar-SA"/>
      </w:rPr>
    </w:lvl>
    <w:lvl w:ilvl="5" w:tplc="84E26A98">
      <w:numFmt w:val="bullet"/>
      <w:lvlText w:val="•"/>
      <w:lvlJc w:val="left"/>
      <w:pPr>
        <w:ind w:left="4333" w:hanging="303"/>
      </w:pPr>
      <w:rPr>
        <w:rFonts w:hint="default"/>
        <w:lang w:val="en-US" w:eastAsia="en-US" w:bidi="ar-SA"/>
      </w:rPr>
    </w:lvl>
    <w:lvl w:ilvl="6" w:tplc="D032BFA8">
      <w:numFmt w:val="bullet"/>
      <w:lvlText w:val="•"/>
      <w:lvlJc w:val="left"/>
      <w:pPr>
        <w:ind w:left="5175" w:hanging="303"/>
      </w:pPr>
      <w:rPr>
        <w:rFonts w:hint="default"/>
        <w:lang w:val="en-US" w:eastAsia="en-US" w:bidi="ar-SA"/>
      </w:rPr>
    </w:lvl>
    <w:lvl w:ilvl="7" w:tplc="0FAC898E">
      <w:numFmt w:val="bullet"/>
      <w:lvlText w:val="•"/>
      <w:lvlJc w:val="left"/>
      <w:pPr>
        <w:ind w:left="6018" w:hanging="303"/>
      </w:pPr>
      <w:rPr>
        <w:rFonts w:hint="default"/>
        <w:lang w:val="en-US" w:eastAsia="en-US" w:bidi="ar-SA"/>
      </w:rPr>
    </w:lvl>
    <w:lvl w:ilvl="8" w:tplc="71763358">
      <w:numFmt w:val="bullet"/>
      <w:lvlText w:val="•"/>
      <w:lvlJc w:val="left"/>
      <w:pPr>
        <w:ind w:left="6860" w:hanging="303"/>
      </w:pPr>
      <w:rPr>
        <w:rFonts w:hint="default"/>
        <w:lang w:val="en-US" w:eastAsia="en-US" w:bidi="ar-SA"/>
      </w:rPr>
    </w:lvl>
  </w:abstractNum>
  <w:num w:numId="1" w16cid:durableId="214665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8F6"/>
    <w:rsid w:val="0008619B"/>
    <w:rsid w:val="00417640"/>
    <w:rsid w:val="00AA78F6"/>
    <w:rsid w:val="00C7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0ED29"/>
  <w15:docId w15:val="{0DFEF678-56CC-409B-B23D-CF202358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20"/>
      <w:jc w:val="both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0"/>
      <w:ind w:left="120" w:right="118"/>
      <w:jc w:val="both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1"/>
      <w:ind w:left="120" w:right="11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7792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7792C"/>
    <w:rPr>
      <w:rFonts w:ascii="Times New Roman" w:eastAsia="Times New Roman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7792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7792C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ipept.ugent.be/m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1151</Words>
  <Characters>6561</Characters>
  <Application>Microsoft Office Word</Application>
  <DocSecurity>0</DocSecurity>
  <Lines>54</Lines>
  <Paragraphs>15</Paragraphs>
  <ScaleCrop>false</ScaleCrop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 亚丹</dc:creator>
  <cp:lastModifiedBy>799540705@qq.com</cp:lastModifiedBy>
  <cp:revision>2</cp:revision>
  <dcterms:created xsi:type="dcterms:W3CDTF">2024-08-06T13:07:00Z</dcterms:created>
  <dcterms:modified xsi:type="dcterms:W3CDTF">2024-08-06T13:07:00Z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2024-08-06T00:00:00Z</vt:filetime>
  </property>
</Properties>
</file>