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EAA562">
      <w:pPr>
        <w:spacing w:line="360" w:lineRule="auto"/>
        <w:rPr>
          <w:rFonts w:hint="default" w:ascii="Times New Roman" w:hAnsi="Times New Roman" w:cs="Times New Roman" w:eastAsiaTheme="minorEastAsia"/>
          <w:b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Supplementa</w:t>
      </w:r>
      <w:r>
        <w:rPr>
          <w:rFonts w:hint="eastAsia" w:ascii="Times New Roman" w:hAnsi="Times New Roman" w:cs="Times New Roman"/>
          <w:b/>
          <w:sz w:val="24"/>
          <w:szCs w:val="24"/>
          <w:lang w:val="en-US" w:eastAsia="zh-CN"/>
        </w:rPr>
        <w:t>l</w:t>
      </w:r>
      <w:r>
        <w:rPr>
          <w:rFonts w:hint="default" w:ascii="Times New Roman" w:hAnsi="Times New Roman" w:cs="Times New Roman"/>
          <w:b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b/>
          <w:sz w:val="24"/>
          <w:szCs w:val="24"/>
          <w:lang w:val="en-US" w:eastAsia="zh-CN"/>
        </w:rPr>
        <w:t>figures</w:t>
      </w:r>
    </w:p>
    <w:p w14:paraId="67BB061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6191250"/>
            <wp:effectExtent l="0" t="0" r="4445" b="0"/>
            <wp:docPr id="1" name="图片 1" descr="S1_0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1_02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619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8D31A">
      <w:pPr>
        <w:spacing w:line="360" w:lineRule="auto"/>
        <w:rPr>
          <w:rFonts w:ascii="Times New Roman" w:hAnsi="Times New Roman"/>
          <w:sz w:val="18"/>
          <w:szCs w:val="21"/>
        </w:rPr>
      </w:pPr>
      <w:r>
        <w:rPr>
          <w:rFonts w:hint="eastAsia" w:ascii="Times New Roman" w:hAnsi="Times New Roman"/>
          <w:b/>
          <w:bCs/>
          <w:sz w:val="18"/>
          <w:szCs w:val="21"/>
          <w:lang w:eastAsia="zh-CN"/>
        </w:rPr>
        <w:t>Supplemental Figure</w:t>
      </w:r>
      <w:r>
        <w:rPr>
          <w:rFonts w:hint="eastAsia" w:ascii="Times New Roman" w:hAnsi="Times New Roman"/>
          <w:b/>
          <w:bCs/>
          <w:sz w:val="18"/>
          <w:szCs w:val="21"/>
          <w:lang w:val="en-US" w:eastAsia="zh-CN"/>
        </w:rPr>
        <w:t xml:space="preserve"> </w:t>
      </w:r>
      <w:r>
        <w:rPr>
          <w:rFonts w:ascii="Times New Roman" w:hAnsi="Times New Roman"/>
          <w:b/>
          <w:bCs/>
          <w:sz w:val="18"/>
          <w:szCs w:val="21"/>
        </w:rPr>
        <w:t xml:space="preserve">1. Consistency verification of LCOs. A. </w:t>
      </w:r>
      <w:r>
        <w:rPr>
          <w:rFonts w:ascii="Times New Roman" w:hAnsi="Times New Roman"/>
          <w:b w:val="0"/>
          <w:bCs w:val="0"/>
          <w:sz w:val="18"/>
          <w:szCs w:val="21"/>
        </w:rPr>
        <w:t>The frequency of point mutation types in the LCOs and paired tumor.</w:t>
      </w:r>
      <w:r>
        <w:rPr>
          <w:rFonts w:ascii="Times New Roman" w:hAnsi="Times New Roman"/>
          <w:sz w:val="18"/>
          <w:szCs w:val="21"/>
        </w:rPr>
        <w:t xml:space="preserve"> </w:t>
      </w:r>
      <w:r>
        <w:rPr>
          <w:rFonts w:ascii="Times New Roman" w:hAnsi="Times New Roman"/>
          <w:b/>
          <w:bCs/>
          <w:sz w:val="18"/>
          <w:szCs w:val="21"/>
        </w:rPr>
        <w:t>B.</w:t>
      </w:r>
      <w:r>
        <w:rPr>
          <w:rFonts w:ascii="Times New Roman" w:hAnsi="Times New Roman"/>
          <w:sz w:val="18"/>
          <w:szCs w:val="21"/>
        </w:rPr>
        <w:t xml:space="preserve"> Tumor mutation burden (TMB) was estimated in the LCOs and paired tumor. </w:t>
      </w:r>
      <w:r>
        <w:rPr>
          <w:rFonts w:ascii="Times New Roman" w:hAnsi="Times New Roman"/>
          <w:b/>
          <w:bCs/>
          <w:sz w:val="18"/>
          <w:szCs w:val="21"/>
        </w:rPr>
        <w:t>C.</w:t>
      </w:r>
      <w:r>
        <w:rPr>
          <w:rFonts w:ascii="Times New Roman" w:hAnsi="Times New Roman"/>
          <w:sz w:val="18"/>
          <w:szCs w:val="21"/>
        </w:rPr>
        <w:t xml:space="preserve"> The high-frequency mutations in organoid lines (O) and the corresponding tissues (T). </w:t>
      </w:r>
      <w:r>
        <w:rPr>
          <w:rFonts w:ascii="Times New Roman" w:hAnsi="Times New Roman"/>
          <w:b/>
          <w:bCs/>
          <w:sz w:val="18"/>
          <w:szCs w:val="21"/>
        </w:rPr>
        <w:t xml:space="preserve">D. </w:t>
      </w:r>
      <w:r>
        <w:rPr>
          <w:rFonts w:ascii="Times New Roman" w:hAnsi="Times New Roman"/>
          <w:sz w:val="18"/>
          <w:szCs w:val="21"/>
        </w:rPr>
        <w:t xml:space="preserve">Heatmap of CNVs in cancer driver genes. Gene copy numbers are transformed as log2 ratios per gene. </w:t>
      </w:r>
      <w:r>
        <w:rPr>
          <w:rFonts w:ascii="Times New Roman" w:hAnsi="Times New Roman"/>
          <w:b/>
          <w:bCs/>
          <w:sz w:val="18"/>
          <w:szCs w:val="21"/>
        </w:rPr>
        <w:t xml:space="preserve">E. </w:t>
      </w:r>
      <w:r>
        <w:rPr>
          <w:rFonts w:ascii="Times New Roman" w:hAnsi="Times New Roman"/>
          <w:sz w:val="18"/>
          <w:szCs w:val="21"/>
        </w:rPr>
        <w:t>HE staining analysis of</w:t>
      </w:r>
      <w:r>
        <w:rPr>
          <w:rFonts w:ascii="Times New Roman" w:hAnsi="Times New Roman"/>
          <w:b/>
          <w:bCs/>
          <w:sz w:val="18"/>
          <w:szCs w:val="21"/>
        </w:rPr>
        <w:t xml:space="preserve"> </w:t>
      </w:r>
      <w:r>
        <w:rPr>
          <w:rFonts w:ascii="Times New Roman" w:hAnsi="Times New Roman"/>
          <w:sz w:val="18"/>
          <w:szCs w:val="21"/>
        </w:rPr>
        <w:t xml:space="preserve">morphological consistency of LCOs and LCOs/OR. O, LCOs; T, patients’ primary specimens, Scale bar = 50 μm. </w:t>
      </w:r>
      <w:r>
        <w:rPr>
          <w:rFonts w:ascii="Times New Roman" w:hAnsi="Times New Roman"/>
          <w:b/>
          <w:bCs/>
          <w:sz w:val="18"/>
          <w:szCs w:val="21"/>
        </w:rPr>
        <w:t xml:space="preserve">F. </w:t>
      </w:r>
      <w:r>
        <w:rPr>
          <w:rFonts w:ascii="Times New Roman" w:hAnsi="Times New Roman"/>
          <w:sz w:val="18"/>
          <w:szCs w:val="21"/>
        </w:rPr>
        <w:t>The PCA analysis of LCOs and LCOs/OR.</w:t>
      </w:r>
    </w:p>
    <w:p w14:paraId="0D13F613">
      <w:pPr>
        <w:rPr>
          <w:rFonts w:hint="eastAsia" w:eastAsiaTheme="minorEastAsia"/>
          <w:lang w:eastAsia="zh-CN"/>
        </w:rPr>
      </w:pPr>
    </w:p>
    <w:p w14:paraId="0583ED43">
      <w:pPr>
        <w:rPr>
          <w:rFonts w:hint="eastAsia" w:eastAsiaTheme="minorEastAsia"/>
          <w:lang w:eastAsia="zh-CN"/>
        </w:rPr>
      </w:pPr>
    </w:p>
    <w:p w14:paraId="4D9141B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6236335"/>
            <wp:effectExtent l="0" t="0" r="6985" b="2540"/>
            <wp:docPr id="15" name="图片 15" descr="S2_0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S2_01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23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EF697">
      <w:pPr>
        <w:spacing w:line="360" w:lineRule="auto"/>
        <w:rPr>
          <w:rFonts w:ascii="Times New Roman" w:hAnsi="Times New Roman"/>
          <w:sz w:val="18"/>
          <w:szCs w:val="21"/>
        </w:rPr>
      </w:pPr>
      <w:r>
        <w:rPr>
          <w:rFonts w:hint="eastAsia" w:ascii="Times New Roman" w:hAnsi="Times New Roman"/>
          <w:b/>
          <w:bCs/>
          <w:sz w:val="18"/>
          <w:szCs w:val="21"/>
          <w:lang w:eastAsia="zh-CN"/>
        </w:rPr>
        <w:t>Supplemental Figure</w:t>
      </w:r>
      <w:r>
        <w:rPr>
          <w:rFonts w:hint="eastAsia" w:ascii="Times New Roman" w:hAnsi="Times New Roman"/>
          <w:b/>
          <w:bCs/>
          <w:sz w:val="18"/>
          <w:szCs w:val="21"/>
          <w:lang w:val="en-US" w:eastAsia="zh-CN"/>
        </w:rPr>
        <w:t xml:space="preserve"> </w:t>
      </w:r>
      <w:r>
        <w:rPr>
          <w:rFonts w:ascii="Times New Roman" w:hAnsi="Times New Roman"/>
          <w:b/>
          <w:bCs/>
          <w:sz w:val="18"/>
          <w:szCs w:val="21"/>
        </w:rPr>
        <w:t>2. LCO models predict clinical outcomes of three patients to targeted therapy</w:t>
      </w:r>
      <w:r>
        <w:rPr>
          <w:rFonts w:ascii="Times New Roman" w:hAnsi="Times New Roman"/>
          <w:sz w:val="18"/>
          <w:szCs w:val="21"/>
        </w:rPr>
        <w:t>. Patient #1 was diagnosed with stage IB lung cancer harboring an EGFR exon 19 deletion, and exhibited a notable reduction in tumor size following treatment with Osi. Consequently, drug sensitivity testing with LCO1 exhibited a sensitive response to Osi. Patients #2 and #3 were diagnosed with an EGFR exon 19 deletion, and also had significant lesion reduction after Osi treatment. Drug sensitivity tests displayed a robust positive response to Osi. The areas enclosed by the red circles represent the tumors before and after chemotherapy, as indicated by enhanced CT scans.</w:t>
      </w:r>
    </w:p>
    <w:p w14:paraId="38090C93">
      <w:pPr>
        <w:rPr>
          <w:rFonts w:hint="eastAsia" w:eastAsiaTheme="minorEastAsia"/>
          <w:lang w:eastAsia="zh-CN"/>
        </w:rPr>
      </w:pPr>
    </w:p>
    <w:p w14:paraId="7C392302">
      <w:pPr>
        <w:rPr>
          <w:rFonts w:hint="eastAsia" w:eastAsiaTheme="minorEastAsia"/>
          <w:lang w:eastAsia="zh-CN"/>
        </w:rPr>
      </w:pPr>
    </w:p>
    <w:p w14:paraId="4B5732D9">
      <w:pPr>
        <w:rPr>
          <w:rFonts w:hint="eastAsia" w:eastAsiaTheme="minorEastAsia"/>
          <w:lang w:eastAsia="zh-CN"/>
        </w:rPr>
      </w:pPr>
    </w:p>
    <w:p w14:paraId="50E306E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6855460"/>
            <wp:effectExtent l="0" t="0" r="3810" b="2540"/>
            <wp:docPr id="3" name="图片 3" descr="S3_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3_03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85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39B72">
      <w:pPr>
        <w:spacing w:line="360" w:lineRule="auto"/>
        <w:rPr>
          <w:rFonts w:ascii="Times New Roman" w:hAnsi="Times New Roman"/>
          <w:sz w:val="18"/>
          <w:szCs w:val="21"/>
        </w:rPr>
      </w:pPr>
      <w:r>
        <w:rPr>
          <w:rFonts w:hint="eastAsia" w:ascii="Times New Roman" w:hAnsi="Times New Roman"/>
          <w:b/>
          <w:bCs/>
          <w:sz w:val="18"/>
          <w:szCs w:val="21"/>
          <w:lang w:eastAsia="zh-CN"/>
        </w:rPr>
        <w:t>Supplemental Figure</w:t>
      </w:r>
      <w:r>
        <w:rPr>
          <w:rFonts w:hint="eastAsia" w:ascii="Times New Roman" w:hAnsi="Times New Roman"/>
          <w:b/>
          <w:bCs/>
          <w:sz w:val="18"/>
          <w:szCs w:val="21"/>
          <w:lang w:val="en-US" w:eastAsia="zh-CN"/>
        </w:rPr>
        <w:t xml:space="preserve"> </w:t>
      </w:r>
      <w:r>
        <w:rPr>
          <w:rFonts w:ascii="Times New Roman" w:hAnsi="Times New Roman"/>
          <w:b/>
          <w:bCs/>
          <w:sz w:val="18"/>
          <w:szCs w:val="21"/>
        </w:rPr>
        <w:t xml:space="preserve">3. </w:t>
      </w:r>
      <w:r>
        <w:rPr>
          <w:rFonts w:ascii="Times New Roman" w:hAnsi="Times New Roman"/>
          <w:sz w:val="18"/>
          <w:szCs w:val="21"/>
        </w:rPr>
        <w:t xml:space="preserve">Immunohistochemistry analysis of the expression of MDR1 (A), and immunofluorescence analysis of KI67 (B) and </w:t>
      </w:r>
      <w:r>
        <w:rPr>
          <w:rFonts w:ascii="Times New Roman" w:hAnsi="Times New Roman"/>
          <w:color w:val="auto"/>
          <w:sz w:val="18"/>
          <w:szCs w:val="21"/>
        </w:rPr>
        <w:t>RELA</w:t>
      </w:r>
      <w:r>
        <w:rPr>
          <w:rFonts w:ascii="Times New Roman" w:hAnsi="Times New Roman"/>
          <w:sz w:val="18"/>
          <w:szCs w:val="21"/>
        </w:rPr>
        <w:t xml:space="preserve"> (C) expression in LCO1-3 and LCO/OR1-3 (magnification x200).</w:t>
      </w:r>
    </w:p>
    <w:p w14:paraId="5E31A81C">
      <w:pPr>
        <w:rPr>
          <w:rFonts w:hint="eastAsia" w:eastAsiaTheme="minorEastAsia"/>
          <w:lang w:eastAsia="zh-CN"/>
        </w:rPr>
      </w:pPr>
    </w:p>
    <w:p w14:paraId="664499FA">
      <w:pPr>
        <w:rPr>
          <w:rFonts w:hint="eastAsia" w:eastAsiaTheme="minorEastAsia"/>
          <w:lang w:eastAsia="zh-CN"/>
        </w:rPr>
      </w:pPr>
    </w:p>
    <w:p w14:paraId="2775BA3B">
      <w:pPr>
        <w:rPr>
          <w:rFonts w:hint="eastAsia" w:eastAsiaTheme="minorEastAsia"/>
          <w:lang w:eastAsia="zh-CN"/>
        </w:rPr>
      </w:pPr>
    </w:p>
    <w:p w14:paraId="0CE43594">
      <w:pPr>
        <w:rPr>
          <w:rFonts w:hint="eastAsia" w:eastAsiaTheme="minorEastAsia"/>
          <w:lang w:eastAsia="zh-CN"/>
        </w:rPr>
      </w:pPr>
    </w:p>
    <w:p w14:paraId="7D98295F">
      <w:pPr>
        <w:rPr>
          <w:rFonts w:hint="eastAsia" w:eastAsiaTheme="minorEastAsia"/>
          <w:lang w:eastAsia="zh-CN"/>
        </w:rPr>
      </w:pPr>
    </w:p>
    <w:p w14:paraId="4E15EB51">
      <w:pPr>
        <w:rPr>
          <w:rFonts w:hint="eastAsia" w:eastAsiaTheme="minorEastAsia"/>
          <w:lang w:eastAsia="zh-CN"/>
        </w:rPr>
      </w:pPr>
    </w:p>
    <w:p w14:paraId="232DAB6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5567045"/>
            <wp:effectExtent l="0" t="0" r="635" b="5080"/>
            <wp:docPr id="4" name="图片 4" descr="S4_02(1)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4_02(1)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56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73D2B">
      <w:pPr>
        <w:spacing w:line="360" w:lineRule="auto"/>
        <w:rPr>
          <w:rFonts w:ascii="Times New Roman" w:hAnsi="Times New Roman"/>
          <w:sz w:val="18"/>
          <w:szCs w:val="21"/>
        </w:rPr>
      </w:pPr>
      <w:r>
        <w:rPr>
          <w:rFonts w:hint="eastAsia" w:ascii="Times New Roman" w:hAnsi="Times New Roman"/>
          <w:b/>
          <w:bCs/>
          <w:sz w:val="18"/>
          <w:szCs w:val="21"/>
          <w:lang w:eastAsia="zh-CN"/>
        </w:rPr>
        <w:t>Supplemental Figure</w:t>
      </w:r>
      <w:r>
        <w:rPr>
          <w:rFonts w:hint="eastAsia" w:ascii="Times New Roman" w:hAnsi="Times New Roman"/>
          <w:b/>
          <w:bCs/>
          <w:sz w:val="18"/>
          <w:szCs w:val="21"/>
          <w:lang w:val="en-US" w:eastAsia="zh-CN"/>
        </w:rPr>
        <w:t xml:space="preserve"> </w:t>
      </w:r>
      <w:r>
        <w:rPr>
          <w:rFonts w:ascii="Times New Roman" w:hAnsi="Times New Roman"/>
          <w:b/>
          <w:bCs/>
          <w:sz w:val="18"/>
          <w:szCs w:val="21"/>
        </w:rPr>
        <w:t>4.</w:t>
      </w:r>
      <w:r>
        <w:rPr>
          <w:rFonts w:ascii="Times New Roman" w:hAnsi="Times New Roman"/>
          <w:sz w:val="18"/>
          <w:szCs w:val="21"/>
        </w:rPr>
        <w:t xml:space="preserve"> </w:t>
      </w:r>
      <w:r>
        <w:rPr>
          <w:rFonts w:ascii="Times New Roman" w:hAnsi="Times New Roman"/>
          <w:b/>
          <w:bCs/>
          <w:sz w:val="18"/>
          <w:szCs w:val="21"/>
        </w:rPr>
        <w:t>Establishment of EGFR-TKI resistant R-PC9 cells</w:t>
      </w:r>
      <w:r>
        <w:rPr>
          <w:rFonts w:ascii="Times New Roman" w:hAnsi="Times New Roman"/>
          <w:b/>
          <w:bCs/>
          <w:i w:val="0"/>
          <w:iCs w:val="0"/>
          <w:sz w:val="18"/>
          <w:szCs w:val="21"/>
        </w:rPr>
        <w:t xml:space="preserve"> in vitro</w:t>
      </w:r>
      <w:r>
        <w:rPr>
          <w:rFonts w:ascii="Times New Roman" w:hAnsi="Times New Roman"/>
          <w:b/>
          <w:bCs/>
          <w:sz w:val="18"/>
          <w:szCs w:val="21"/>
        </w:rPr>
        <w:t>.</w:t>
      </w:r>
      <w:r>
        <w:rPr>
          <w:rFonts w:ascii="Times New Roman" w:hAnsi="Times New Roman"/>
          <w:sz w:val="18"/>
          <w:szCs w:val="21"/>
        </w:rPr>
        <w:t xml:space="preserve"> </w:t>
      </w:r>
      <w:r>
        <w:rPr>
          <w:rFonts w:ascii="Times New Roman" w:hAnsi="Times New Roman"/>
          <w:b/>
          <w:bCs/>
          <w:sz w:val="18"/>
          <w:szCs w:val="21"/>
        </w:rPr>
        <w:t>A.</w:t>
      </w:r>
      <w:r>
        <w:rPr>
          <w:rFonts w:ascii="Times New Roman" w:hAnsi="Times New Roman"/>
          <w:sz w:val="18"/>
          <w:szCs w:val="21"/>
        </w:rPr>
        <w:t xml:space="preserve"> A schematic diagram illustrated the establishment of EGFR-TKI resistant R-PC9 cells. </w:t>
      </w:r>
      <w:r>
        <w:rPr>
          <w:rFonts w:ascii="Times New Roman" w:hAnsi="Times New Roman"/>
          <w:b/>
          <w:bCs/>
          <w:sz w:val="18"/>
          <w:szCs w:val="21"/>
        </w:rPr>
        <w:t>B.</w:t>
      </w:r>
      <w:r>
        <w:rPr>
          <w:rFonts w:ascii="Times New Roman" w:hAnsi="Times New Roman"/>
          <w:sz w:val="18"/>
          <w:szCs w:val="21"/>
        </w:rPr>
        <w:t xml:space="preserve"> CCK8 assay analysis of the effect of TKI treatment for 72h on the viability of indicated cell lines. Each value is expressed as the mean ± SD (n=3). </w:t>
      </w:r>
      <w:r>
        <w:rPr>
          <w:rFonts w:ascii="Times New Roman" w:hAnsi="Times New Roman"/>
          <w:b/>
          <w:bCs/>
          <w:sz w:val="18"/>
          <w:szCs w:val="21"/>
        </w:rPr>
        <w:t xml:space="preserve">C. </w:t>
      </w:r>
      <w:r>
        <w:rPr>
          <w:rFonts w:ascii="Times New Roman" w:hAnsi="Times New Roman"/>
          <w:sz w:val="18"/>
          <w:szCs w:val="21"/>
        </w:rPr>
        <w:t>The IC</w:t>
      </w:r>
      <w:r>
        <w:rPr>
          <w:rFonts w:ascii="Times New Roman" w:hAnsi="Times New Roman"/>
          <w:sz w:val="18"/>
          <w:szCs w:val="21"/>
          <w:vertAlign w:val="subscript"/>
        </w:rPr>
        <w:t>50</w:t>
      </w:r>
      <w:r>
        <w:rPr>
          <w:rFonts w:ascii="Times New Roman" w:hAnsi="Times New Roman"/>
          <w:sz w:val="18"/>
          <w:szCs w:val="21"/>
        </w:rPr>
        <w:t xml:space="preserve"> values of EGFR-TKIs in PC9, PC9/ER, PC9/AR and PC9/OR cells. </w:t>
      </w:r>
      <w:r>
        <w:rPr>
          <w:rFonts w:ascii="Times New Roman" w:hAnsi="Times New Roman"/>
          <w:b/>
          <w:bCs/>
          <w:sz w:val="18"/>
          <w:szCs w:val="21"/>
        </w:rPr>
        <w:t>D.</w:t>
      </w:r>
      <w:r>
        <w:rPr>
          <w:rFonts w:ascii="Times New Roman" w:hAnsi="Times New Roman"/>
          <w:sz w:val="18"/>
          <w:szCs w:val="21"/>
        </w:rPr>
        <w:t xml:space="preserve"> The representative photographs of cells in the EDU assay, Scale bar = 100 μm.</w:t>
      </w:r>
    </w:p>
    <w:p w14:paraId="6641F7A8">
      <w:pPr>
        <w:spacing w:line="360" w:lineRule="auto"/>
        <w:rPr>
          <w:rFonts w:ascii="Times New Roman" w:hAnsi="Times New Roman"/>
          <w:sz w:val="18"/>
          <w:szCs w:val="21"/>
        </w:rPr>
      </w:pPr>
    </w:p>
    <w:p w14:paraId="1407E12D">
      <w:pPr>
        <w:spacing w:line="360" w:lineRule="auto"/>
        <w:rPr>
          <w:rFonts w:ascii="Times New Roman" w:hAnsi="Times New Roman"/>
          <w:sz w:val="18"/>
          <w:szCs w:val="21"/>
        </w:rPr>
      </w:pPr>
    </w:p>
    <w:p w14:paraId="5D3322CC">
      <w:pPr>
        <w:spacing w:line="360" w:lineRule="auto"/>
        <w:rPr>
          <w:rFonts w:ascii="Times New Roman" w:hAnsi="Times New Roman"/>
          <w:sz w:val="18"/>
          <w:szCs w:val="21"/>
        </w:rPr>
      </w:pPr>
    </w:p>
    <w:p w14:paraId="3B8373F9">
      <w:pPr>
        <w:spacing w:line="360" w:lineRule="auto"/>
        <w:rPr>
          <w:rFonts w:ascii="Times New Roman" w:hAnsi="Times New Roman"/>
          <w:sz w:val="18"/>
          <w:szCs w:val="21"/>
        </w:rPr>
      </w:pPr>
    </w:p>
    <w:p w14:paraId="30338CC5">
      <w:pPr>
        <w:spacing w:line="360" w:lineRule="auto"/>
        <w:rPr>
          <w:rFonts w:ascii="Times New Roman" w:hAnsi="Times New Roman"/>
          <w:sz w:val="18"/>
          <w:szCs w:val="21"/>
        </w:rPr>
      </w:pPr>
      <w:r>
        <w:rPr>
          <w:rFonts w:hint="eastAsia" w:ascii="Times New Roman" w:hAnsi="Times New Roman" w:eastAsiaTheme="minorEastAsia"/>
          <w:sz w:val="18"/>
          <w:szCs w:val="21"/>
          <w:lang w:eastAsia="zh-CN"/>
        </w:rPr>
        <w:drawing>
          <wp:inline distT="0" distB="0" distL="114300" distR="114300">
            <wp:extent cx="5266055" cy="2201545"/>
            <wp:effectExtent l="0" t="0" r="1270" b="8255"/>
            <wp:docPr id="5" name="图片 5" descr="S5_0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5_01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0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b/>
          <w:bCs/>
          <w:sz w:val="18"/>
          <w:szCs w:val="21"/>
          <w:lang w:eastAsia="zh-CN"/>
        </w:rPr>
        <w:t>Supplemental Figure</w:t>
      </w:r>
      <w:r>
        <w:rPr>
          <w:rFonts w:hint="eastAsia" w:ascii="Times New Roman" w:hAnsi="Times New Roman"/>
          <w:b/>
          <w:bCs/>
          <w:sz w:val="18"/>
          <w:szCs w:val="21"/>
          <w:lang w:val="en-US" w:eastAsia="zh-CN"/>
        </w:rPr>
        <w:t xml:space="preserve"> </w:t>
      </w:r>
      <w:r>
        <w:rPr>
          <w:rFonts w:ascii="Times New Roman" w:hAnsi="Times New Roman"/>
          <w:b/>
          <w:bCs/>
          <w:sz w:val="18"/>
          <w:szCs w:val="21"/>
        </w:rPr>
        <w:t xml:space="preserve">5. </w:t>
      </w:r>
      <w:r>
        <w:rPr>
          <w:rFonts w:ascii="Times New Roman" w:hAnsi="Times New Roman"/>
          <w:sz w:val="18"/>
          <w:szCs w:val="21"/>
        </w:rPr>
        <w:t xml:space="preserve">Two-dimensional density plot of single-nucleotide variant allelic frequencies from WES of PC9/ER (A), PC9/AR (B) and PC9/OR (C) versus treatment-naive PC9 cells. </w:t>
      </w:r>
    </w:p>
    <w:p w14:paraId="3400E29F">
      <w:pPr>
        <w:spacing w:line="360" w:lineRule="auto"/>
        <w:rPr>
          <w:rFonts w:hint="eastAsia" w:ascii="Times New Roman" w:hAnsi="Times New Roman" w:eastAsiaTheme="minorEastAsia"/>
          <w:sz w:val="18"/>
          <w:szCs w:val="21"/>
          <w:lang w:eastAsia="zh-CN"/>
        </w:rPr>
      </w:pPr>
      <w:r>
        <w:rPr>
          <w:rFonts w:hint="eastAsia" w:ascii="Times New Roman" w:hAnsi="Times New Roman" w:eastAsiaTheme="minorEastAsia"/>
          <w:sz w:val="18"/>
          <w:szCs w:val="21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15875</wp:posOffset>
            </wp:positionV>
            <wp:extent cx="7049770" cy="3524885"/>
            <wp:effectExtent l="0" t="0" r="8255" b="8890"/>
            <wp:wrapSquare wrapText="bothSides"/>
            <wp:docPr id="16" name="图片 16" descr="S6_0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S6_01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49770" cy="3524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/>
          <w:b/>
          <w:bCs/>
          <w:sz w:val="18"/>
          <w:szCs w:val="21"/>
          <w:lang w:eastAsia="zh-CN"/>
        </w:rPr>
        <w:t>Supplemental Figure</w:t>
      </w:r>
      <w:r>
        <w:rPr>
          <w:rFonts w:hint="eastAsia" w:ascii="Times New Roman" w:hAnsi="Times New Roman"/>
          <w:b/>
          <w:bCs/>
          <w:sz w:val="18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eastAsiaTheme="minorEastAsia"/>
          <w:b/>
          <w:bCs/>
          <w:sz w:val="18"/>
          <w:szCs w:val="21"/>
          <w:lang w:eastAsia="zh-CN"/>
        </w:rPr>
        <w:t>6.</w:t>
      </w:r>
      <w:r>
        <w:rPr>
          <w:rFonts w:hint="eastAsia" w:ascii="Times New Roman" w:hAnsi="Times New Roman" w:eastAsiaTheme="minorEastAsia"/>
          <w:sz w:val="18"/>
          <w:szCs w:val="21"/>
          <w:lang w:eastAsia="zh-CN"/>
        </w:rPr>
        <w:t xml:space="preserve"> KEGG analysis of the enriched pathways by the DEGs between cells after RNA-seq analysis. Enriched KEGG pathways, enrichment analysis of upregulated genes in PC9/AR, PC9/ER and PC9/OR.</w:t>
      </w:r>
    </w:p>
    <w:p w14:paraId="63BDC3FF">
      <w:pPr>
        <w:spacing w:line="360" w:lineRule="auto"/>
        <w:rPr>
          <w:rFonts w:hint="eastAsia" w:ascii="Times New Roman" w:hAnsi="Times New Roman" w:eastAsiaTheme="minorEastAsia"/>
          <w:sz w:val="18"/>
          <w:szCs w:val="21"/>
          <w:lang w:eastAsia="zh-CN"/>
        </w:rPr>
      </w:pPr>
      <w:r>
        <w:rPr>
          <w:rFonts w:hint="eastAsia" w:ascii="Times New Roman" w:hAnsi="Times New Roman" w:eastAsiaTheme="minorEastAsia"/>
          <w:sz w:val="18"/>
          <w:szCs w:val="21"/>
          <w:lang w:eastAsia="zh-CN"/>
        </w:rPr>
        <w:drawing>
          <wp:inline distT="0" distB="0" distL="114300" distR="114300">
            <wp:extent cx="5264785" cy="5749925"/>
            <wp:effectExtent l="0" t="0" r="2540" b="3175"/>
            <wp:docPr id="2" name="图片 2" descr="Supplemental fig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upplemental figure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574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D6E67">
      <w:pPr>
        <w:widowControl/>
        <w:spacing w:line="360" w:lineRule="auto"/>
        <w:rPr>
          <w:rFonts w:ascii="Times New Roman" w:hAnsi="Times New Roman"/>
          <w:sz w:val="18"/>
          <w:szCs w:val="21"/>
        </w:rPr>
      </w:pPr>
      <w:r>
        <w:rPr>
          <w:rFonts w:hint="eastAsia" w:ascii="Times New Roman" w:hAnsi="Times New Roman"/>
          <w:b/>
          <w:bCs/>
          <w:sz w:val="18"/>
          <w:szCs w:val="21"/>
          <w:lang w:eastAsia="zh-CN"/>
        </w:rPr>
        <w:t>Supplemental Figure</w:t>
      </w:r>
      <w:r>
        <w:rPr>
          <w:rFonts w:hint="eastAsia" w:ascii="Times New Roman" w:hAnsi="Times New Roman"/>
          <w:b/>
          <w:bCs/>
          <w:sz w:val="18"/>
          <w:szCs w:val="21"/>
          <w:lang w:val="en-US" w:eastAsia="zh-CN"/>
        </w:rPr>
        <w:t xml:space="preserve"> </w:t>
      </w:r>
      <w:r>
        <w:rPr>
          <w:rFonts w:ascii="Times New Roman" w:hAnsi="Times New Roman"/>
          <w:b/>
          <w:bCs/>
          <w:sz w:val="18"/>
          <w:szCs w:val="21"/>
        </w:rPr>
        <w:t>7</w:t>
      </w:r>
      <w:r>
        <w:rPr>
          <w:rFonts w:hint="eastAsia" w:ascii="Times New Roman" w:hAnsi="Times New Roman"/>
          <w:b/>
          <w:bCs/>
          <w:sz w:val="18"/>
          <w:szCs w:val="21"/>
          <w:lang w:val="en-US" w:eastAsia="zh-CN"/>
        </w:rPr>
        <w:t>.</w:t>
      </w:r>
      <w:r>
        <w:rPr>
          <w:rFonts w:ascii="Times New Roman" w:hAnsi="Times New Roman"/>
          <w:b/>
          <w:bCs/>
          <w:sz w:val="18"/>
          <w:szCs w:val="21"/>
        </w:rPr>
        <w:t xml:space="preserve"> Altered ALDH1A1 expression modulates the sphere formation of tumor cells.</w:t>
      </w:r>
      <w:r>
        <w:rPr>
          <w:rFonts w:ascii="Times New Roman" w:hAnsi="Times New Roman"/>
          <w:sz w:val="18"/>
          <w:szCs w:val="21"/>
        </w:rPr>
        <w:t xml:space="preserve"> </w:t>
      </w:r>
      <w:r>
        <w:rPr>
          <w:rFonts w:ascii="Times New Roman" w:hAnsi="Times New Roman"/>
          <w:b/>
          <w:bCs/>
          <w:sz w:val="18"/>
          <w:szCs w:val="21"/>
        </w:rPr>
        <w:t>A.</w:t>
      </w:r>
      <w:r>
        <w:rPr>
          <w:rFonts w:ascii="Times New Roman" w:hAnsi="Times New Roman"/>
          <w:sz w:val="18"/>
          <w:szCs w:val="21"/>
        </w:rPr>
        <w:t xml:space="preserve"> Western blot analysis of the efficacy of ALDH1A1 over-expressing or silencing cells. </w:t>
      </w:r>
      <w:r>
        <w:rPr>
          <w:rFonts w:ascii="Times New Roman" w:hAnsi="Times New Roman"/>
          <w:b/>
          <w:bCs/>
          <w:sz w:val="18"/>
          <w:szCs w:val="21"/>
        </w:rPr>
        <w:t xml:space="preserve">B. </w:t>
      </w:r>
      <w:r>
        <w:rPr>
          <w:rFonts w:ascii="Times New Roman" w:hAnsi="Times New Roman"/>
          <w:color w:val="auto"/>
          <w:sz w:val="18"/>
          <w:szCs w:val="21"/>
        </w:rPr>
        <w:t>ALDH1A1</w:t>
      </w:r>
      <w:r>
        <w:rPr>
          <w:rFonts w:ascii="Times New Roman" w:hAnsi="Times New Roman"/>
          <w:sz w:val="18"/>
          <w:szCs w:val="21"/>
        </w:rPr>
        <w:t xml:space="preserve"> over-expression increased the proportion of ALDH1</w:t>
      </w:r>
      <w:r>
        <w:rPr>
          <w:rFonts w:ascii="Times New Roman" w:hAnsi="Times New Roman"/>
          <w:sz w:val="18"/>
          <w:szCs w:val="21"/>
          <w:vertAlign w:val="superscript"/>
        </w:rPr>
        <w:t>+</w:t>
      </w:r>
      <w:r>
        <w:rPr>
          <w:rFonts w:ascii="Times New Roman" w:hAnsi="Times New Roman"/>
          <w:sz w:val="18"/>
          <w:szCs w:val="21"/>
        </w:rPr>
        <w:t xml:space="preserve"> cells in PC9 cells. </w:t>
      </w:r>
      <w:r>
        <w:rPr>
          <w:rFonts w:ascii="Times New Roman" w:hAnsi="Times New Roman"/>
          <w:b/>
          <w:bCs/>
          <w:sz w:val="18"/>
          <w:szCs w:val="21"/>
        </w:rPr>
        <w:t>C-E.</w:t>
      </w:r>
      <w:r>
        <w:rPr>
          <w:rFonts w:ascii="Times New Roman" w:hAnsi="Times New Roman"/>
          <w:sz w:val="18"/>
          <w:szCs w:val="21"/>
        </w:rPr>
        <w:t xml:space="preserve"> ALDH1A1 silencing decreased the proportion of ALDH1</w:t>
      </w:r>
      <w:r>
        <w:rPr>
          <w:rFonts w:ascii="Times New Roman" w:hAnsi="Times New Roman"/>
          <w:sz w:val="18"/>
          <w:szCs w:val="21"/>
          <w:vertAlign w:val="superscript"/>
        </w:rPr>
        <w:t>+</w:t>
      </w:r>
      <w:r>
        <w:rPr>
          <w:rFonts w:ascii="Times New Roman" w:hAnsi="Times New Roman"/>
          <w:sz w:val="18"/>
          <w:szCs w:val="21"/>
        </w:rPr>
        <w:t xml:space="preserve"> cells in PC9/ER (C), PC9/AR (D) and PC9/OR (E). </w:t>
      </w:r>
      <w:r>
        <w:rPr>
          <w:rFonts w:ascii="Times New Roman" w:hAnsi="Times New Roman"/>
          <w:b/>
          <w:bCs/>
          <w:sz w:val="18"/>
          <w:szCs w:val="21"/>
        </w:rPr>
        <w:t>F-G.</w:t>
      </w:r>
      <w:r>
        <w:rPr>
          <w:rFonts w:ascii="Times New Roman" w:hAnsi="Times New Roman"/>
          <w:sz w:val="18"/>
          <w:szCs w:val="21"/>
        </w:rPr>
        <w:t xml:space="preserve"> </w:t>
      </w:r>
      <w:r>
        <w:rPr>
          <w:rFonts w:ascii="Times New Roman" w:hAnsi="Times New Roman"/>
          <w:color w:val="auto"/>
          <w:sz w:val="18"/>
          <w:szCs w:val="21"/>
        </w:rPr>
        <w:t>ALDH1A1</w:t>
      </w:r>
      <w:r>
        <w:rPr>
          <w:rFonts w:ascii="Times New Roman" w:hAnsi="Times New Roman"/>
          <w:sz w:val="18"/>
          <w:szCs w:val="21"/>
        </w:rPr>
        <w:t xml:space="preserve"> silencing dramatically mitigated the sphere formation of R-PC9 cells. </w:t>
      </w:r>
      <w:bookmarkStart w:id="0" w:name="OLE_LINK1"/>
      <w:r>
        <w:rPr>
          <w:rFonts w:ascii="Times New Roman" w:hAnsi="Times New Roman"/>
          <w:sz w:val="18"/>
          <w:szCs w:val="21"/>
        </w:rPr>
        <w:t>*</w:t>
      </w:r>
      <w:r>
        <w:rPr>
          <w:rFonts w:ascii="Times New Roman" w:hAnsi="Times New Roman"/>
          <w:i/>
          <w:sz w:val="18"/>
          <w:szCs w:val="21"/>
        </w:rPr>
        <w:t>P</w:t>
      </w:r>
      <w:r>
        <w:rPr>
          <w:rFonts w:ascii="Times New Roman" w:hAnsi="Times New Roman"/>
          <w:sz w:val="18"/>
          <w:szCs w:val="21"/>
        </w:rPr>
        <w:t>&lt;0.05; **</w:t>
      </w:r>
      <w:r>
        <w:rPr>
          <w:rFonts w:ascii="Times New Roman" w:hAnsi="Times New Roman"/>
          <w:i/>
          <w:sz w:val="18"/>
          <w:szCs w:val="21"/>
        </w:rPr>
        <w:t>P</w:t>
      </w:r>
      <w:r>
        <w:rPr>
          <w:rFonts w:ascii="Times New Roman" w:hAnsi="Times New Roman"/>
          <w:sz w:val="18"/>
          <w:szCs w:val="21"/>
        </w:rPr>
        <w:t>&lt;0.01; ***</w:t>
      </w:r>
      <w:r>
        <w:rPr>
          <w:rFonts w:ascii="Times New Roman" w:hAnsi="Times New Roman"/>
          <w:i/>
          <w:sz w:val="18"/>
          <w:szCs w:val="21"/>
        </w:rPr>
        <w:t>P</w:t>
      </w:r>
      <w:r>
        <w:rPr>
          <w:rFonts w:ascii="Times New Roman" w:hAnsi="Times New Roman"/>
          <w:sz w:val="18"/>
          <w:szCs w:val="21"/>
        </w:rPr>
        <w:t>&lt;0.001; ****</w:t>
      </w:r>
      <w:r>
        <w:rPr>
          <w:rFonts w:ascii="Times New Roman" w:hAnsi="Times New Roman"/>
          <w:i/>
          <w:sz w:val="18"/>
          <w:szCs w:val="21"/>
        </w:rPr>
        <w:t>P</w:t>
      </w:r>
      <w:r>
        <w:rPr>
          <w:rFonts w:ascii="Times New Roman" w:hAnsi="Times New Roman"/>
          <w:sz w:val="18"/>
          <w:szCs w:val="21"/>
        </w:rPr>
        <w:t>&lt;0.0001</w:t>
      </w:r>
      <w:bookmarkEnd w:id="0"/>
      <w:r>
        <w:rPr>
          <w:rFonts w:ascii="Times New Roman" w:hAnsi="Times New Roman"/>
          <w:sz w:val="18"/>
          <w:szCs w:val="21"/>
        </w:rPr>
        <w:t>; ns, no significant.</w:t>
      </w:r>
    </w:p>
    <w:p w14:paraId="3C9083E6">
      <w:pPr>
        <w:rPr>
          <w:rFonts w:hint="eastAsia" w:eastAsiaTheme="minorEastAsia"/>
          <w:lang w:eastAsia="zh-CN"/>
        </w:rPr>
      </w:pPr>
    </w:p>
    <w:p w14:paraId="7D30AA9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8910" cy="5831205"/>
            <wp:effectExtent l="0" t="0" r="8890" b="7620"/>
            <wp:docPr id="6" name="图片 6" descr="Supplemental fig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upplemental figure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583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10B51">
      <w:pPr>
        <w:spacing w:line="360" w:lineRule="auto"/>
        <w:rPr>
          <w:rFonts w:ascii="Times New Roman" w:hAnsi="Times New Roman"/>
          <w:sz w:val="18"/>
          <w:szCs w:val="21"/>
        </w:rPr>
      </w:pPr>
      <w:r>
        <w:rPr>
          <w:rFonts w:hint="eastAsia" w:ascii="Times New Roman" w:hAnsi="Times New Roman"/>
          <w:b/>
          <w:bCs/>
          <w:sz w:val="18"/>
          <w:szCs w:val="21"/>
          <w:lang w:eastAsia="zh-CN"/>
        </w:rPr>
        <w:t>Supplemental Figure</w:t>
      </w:r>
      <w:r>
        <w:rPr>
          <w:rFonts w:hint="eastAsia" w:ascii="Times New Roman" w:hAnsi="Times New Roman"/>
          <w:b/>
          <w:bCs/>
          <w:sz w:val="18"/>
          <w:szCs w:val="21"/>
          <w:lang w:val="en-US" w:eastAsia="zh-CN"/>
        </w:rPr>
        <w:t xml:space="preserve"> </w:t>
      </w:r>
      <w:r>
        <w:rPr>
          <w:rFonts w:ascii="Times New Roman" w:hAnsi="Times New Roman"/>
          <w:b/>
          <w:bCs/>
          <w:sz w:val="18"/>
          <w:szCs w:val="21"/>
        </w:rPr>
        <w:t>8. Treatment with DSF partially restores the sensitivity to EGFR-TKI in R-PC9 cells. A.</w:t>
      </w:r>
      <w:r>
        <w:rPr>
          <w:rFonts w:ascii="Times New Roman" w:hAnsi="Times New Roman"/>
          <w:sz w:val="18"/>
          <w:szCs w:val="21"/>
        </w:rPr>
        <w:t xml:space="preserve"> Treatment with different concentrations of DSF inhibited the proliferation of PC9 and</w:t>
      </w:r>
      <w:r>
        <w:rPr>
          <w:rFonts w:ascii="Times New Roman" w:hAnsi="Times New Roman"/>
          <w:color w:val="FF0000"/>
          <w:sz w:val="18"/>
          <w:szCs w:val="21"/>
        </w:rPr>
        <w:t xml:space="preserve"> </w:t>
      </w:r>
      <w:r>
        <w:rPr>
          <w:rFonts w:hint="eastAsia" w:ascii="Times New Roman" w:hAnsi="Times New Roman"/>
          <w:color w:val="auto"/>
          <w:sz w:val="18"/>
          <w:szCs w:val="21"/>
        </w:rPr>
        <w:t>R-</w:t>
      </w:r>
      <w:r>
        <w:rPr>
          <w:rFonts w:ascii="Times New Roman" w:hAnsi="Times New Roman"/>
          <w:color w:val="auto"/>
          <w:sz w:val="18"/>
          <w:szCs w:val="21"/>
        </w:rPr>
        <w:t>PC9</w:t>
      </w:r>
      <w:r>
        <w:rPr>
          <w:rFonts w:ascii="Times New Roman" w:hAnsi="Times New Roman"/>
          <w:sz w:val="18"/>
          <w:szCs w:val="21"/>
        </w:rPr>
        <w:t xml:space="preserve"> cells. </w:t>
      </w:r>
      <w:r>
        <w:rPr>
          <w:rFonts w:ascii="Times New Roman" w:hAnsi="Times New Roman"/>
          <w:b/>
          <w:bCs/>
          <w:sz w:val="18"/>
          <w:szCs w:val="21"/>
        </w:rPr>
        <w:t xml:space="preserve">B-D. </w:t>
      </w:r>
      <w:r>
        <w:rPr>
          <w:rFonts w:ascii="Times New Roman" w:hAnsi="Times New Roman"/>
          <w:bCs/>
          <w:sz w:val="18"/>
          <w:szCs w:val="21"/>
        </w:rPr>
        <w:t xml:space="preserve">Treatment with DSF synergistically enhanced the antitumor effect of TKIs in </w:t>
      </w:r>
      <w:r>
        <w:rPr>
          <w:rFonts w:hint="eastAsia" w:ascii="Times New Roman" w:hAnsi="Times New Roman"/>
          <w:bCs/>
          <w:color w:val="auto"/>
          <w:sz w:val="18"/>
          <w:szCs w:val="21"/>
        </w:rPr>
        <w:t>R-</w:t>
      </w:r>
      <w:r>
        <w:rPr>
          <w:rFonts w:ascii="Times New Roman" w:hAnsi="Times New Roman"/>
          <w:color w:val="auto"/>
          <w:sz w:val="18"/>
          <w:szCs w:val="21"/>
        </w:rPr>
        <w:t>PC9</w:t>
      </w:r>
      <w:r>
        <w:rPr>
          <w:rFonts w:ascii="Times New Roman" w:hAnsi="Times New Roman"/>
          <w:sz w:val="18"/>
          <w:szCs w:val="21"/>
        </w:rPr>
        <w:t xml:space="preserve"> cells. </w:t>
      </w:r>
      <w:r>
        <w:rPr>
          <w:rFonts w:ascii="Times New Roman" w:hAnsi="Times New Roman"/>
          <w:b/>
          <w:sz w:val="18"/>
          <w:szCs w:val="21"/>
        </w:rPr>
        <w:t xml:space="preserve">E-F. </w:t>
      </w:r>
      <w:r>
        <w:rPr>
          <w:rFonts w:ascii="Times New Roman" w:hAnsi="Times New Roman"/>
          <w:bCs/>
          <w:sz w:val="18"/>
          <w:szCs w:val="21"/>
        </w:rPr>
        <w:t>Clonal formation and quantitative analysis of the effect of DSF on the inhibition of TKIs on clonal formation in</w:t>
      </w:r>
      <w:r>
        <w:rPr>
          <w:rFonts w:ascii="Times New Roman" w:hAnsi="Times New Roman"/>
          <w:b/>
          <w:bCs/>
          <w:sz w:val="18"/>
          <w:szCs w:val="21"/>
        </w:rPr>
        <w:t xml:space="preserve"> </w:t>
      </w:r>
      <w:r>
        <w:rPr>
          <w:rFonts w:ascii="Times New Roman" w:hAnsi="Times New Roman"/>
          <w:color w:val="auto"/>
          <w:sz w:val="18"/>
          <w:szCs w:val="21"/>
        </w:rPr>
        <w:t>R</w:t>
      </w:r>
      <w:r>
        <w:rPr>
          <w:rFonts w:hint="eastAsia" w:ascii="Times New Roman" w:hAnsi="Times New Roman"/>
          <w:color w:val="auto"/>
          <w:sz w:val="18"/>
          <w:szCs w:val="21"/>
        </w:rPr>
        <w:t>-</w:t>
      </w:r>
      <w:r>
        <w:rPr>
          <w:rFonts w:ascii="Times New Roman" w:hAnsi="Times New Roman"/>
          <w:color w:val="auto"/>
          <w:sz w:val="18"/>
          <w:szCs w:val="21"/>
        </w:rPr>
        <w:t>PC9</w:t>
      </w:r>
      <w:r>
        <w:rPr>
          <w:rFonts w:ascii="Times New Roman" w:hAnsi="Times New Roman"/>
          <w:sz w:val="18"/>
          <w:szCs w:val="21"/>
        </w:rPr>
        <w:t xml:space="preserve"> cells. *</w:t>
      </w:r>
      <w:r>
        <w:rPr>
          <w:rFonts w:ascii="Times New Roman" w:hAnsi="Times New Roman"/>
          <w:i/>
          <w:sz w:val="18"/>
          <w:szCs w:val="21"/>
        </w:rPr>
        <w:t>P</w:t>
      </w:r>
      <w:r>
        <w:rPr>
          <w:rFonts w:ascii="Times New Roman" w:hAnsi="Times New Roman"/>
          <w:sz w:val="18"/>
          <w:szCs w:val="21"/>
        </w:rPr>
        <w:t>&lt;0.05; **</w:t>
      </w:r>
      <w:r>
        <w:rPr>
          <w:rFonts w:ascii="Times New Roman" w:hAnsi="Times New Roman"/>
          <w:i/>
          <w:sz w:val="18"/>
          <w:szCs w:val="21"/>
        </w:rPr>
        <w:t>P</w:t>
      </w:r>
      <w:r>
        <w:rPr>
          <w:rFonts w:ascii="Times New Roman" w:hAnsi="Times New Roman"/>
          <w:sz w:val="18"/>
          <w:szCs w:val="21"/>
        </w:rPr>
        <w:t>&lt;0.01; ***</w:t>
      </w:r>
      <w:r>
        <w:rPr>
          <w:rFonts w:ascii="Times New Roman" w:hAnsi="Times New Roman"/>
          <w:i/>
          <w:sz w:val="18"/>
          <w:szCs w:val="21"/>
        </w:rPr>
        <w:t>P</w:t>
      </w:r>
      <w:r>
        <w:rPr>
          <w:rFonts w:ascii="Times New Roman" w:hAnsi="Times New Roman"/>
          <w:sz w:val="18"/>
          <w:szCs w:val="21"/>
        </w:rPr>
        <w:t>&lt;0.001; ****</w:t>
      </w:r>
      <w:r>
        <w:rPr>
          <w:rFonts w:ascii="Times New Roman" w:hAnsi="Times New Roman"/>
          <w:i/>
          <w:sz w:val="18"/>
          <w:szCs w:val="21"/>
        </w:rPr>
        <w:t>P</w:t>
      </w:r>
      <w:r>
        <w:rPr>
          <w:rFonts w:ascii="Times New Roman" w:hAnsi="Times New Roman"/>
          <w:sz w:val="18"/>
          <w:szCs w:val="21"/>
        </w:rPr>
        <w:t>&lt;0.0001.</w:t>
      </w:r>
    </w:p>
    <w:p w14:paraId="248B85B8">
      <w:pPr>
        <w:rPr>
          <w:rFonts w:hint="eastAsia" w:eastAsiaTheme="minorEastAsia"/>
          <w:lang w:eastAsia="zh-CN"/>
        </w:rPr>
      </w:pPr>
    </w:p>
    <w:p w14:paraId="3264231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5474970"/>
            <wp:effectExtent l="0" t="0" r="2540" b="1905"/>
            <wp:docPr id="7" name="图片 7" descr="Supplemental fig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upplemental figure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547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FC616">
      <w:pPr>
        <w:spacing w:line="360" w:lineRule="auto"/>
        <w:rPr>
          <w:rFonts w:ascii="Times New Roman" w:hAnsi="Times New Roman"/>
          <w:sz w:val="18"/>
          <w:szCs w:val="21"/>
        </w:rPr>
      </w:pPr>
      <w:r>
        <w:rPr>
          <w:rFonts w:hint="eastAsia" w:ascii="Times New Roman" w:hAnsi="Times New Roman"/>
          <w:b/>
          <w:bCs/>
          <w:sz w:val="18"/>
          <w:szCs w:val="21"/>
          <w:lang w:eastAsia="zh-CN"/>
        </w:rPr>
        <w:t>Supplemental Figure</w:t>
      </w:r>
      <w:r>
        <w:rPr>
          <w:rFonts w:hint="eastAsia" w:ascii="Times New Roman" w:hAnsi="Times New Roman"/>
          <w:b/>
          <w:bCs/>
          <w:sz w:val="18"/>
          <w:szCs w:val="21"/>
          <w:lang w:val="en-US" w:eastAsia="zh-CN"/>
        </w:rPr>
        <w:t xml:space="preserve"> </w:t>
      </w:r>
      <w:r>
        <w:rPr>
          <w:rFonts w:ascii="Times New Roman" w:hAnsi="Times New Roman"/>
          <w:b/>
          <w:bCs/>
          <w:sz w:val="18"/>
          <w:szCs w:val="21"/>
        </w:rPr>
        <w:t>9. Inhibition of ALDH1A1 enhances the sensitivity to EGFR-TKIs in LCOs/OR. A</w:t>
      </w:r>
      <w:r>
        <w:rPr>
          <w:rFonts w:hint="eastAsia" w:ascii="Times New Roman" w:hAnsi="Times New Roman"/>
          <w:b/>
          <w:bCs/>
          <w:sz w:val="18"/>
          <w:szCs w:val="21"/>
        </w:rPr>
        <w:t>.</w:t>
      </w:r>
      <w:r>
        <w:rPr>
          <w:rFonts w:ascii="Times New Roman" w:hAnsi="Times New Roman"/>
          <w:b/>
          <w:bCs/>
          <w:sz w:val="18"/>
          <w:szCs w:val="21"/>
        </w:rPr>
        <w:t xml:space="preserve"> </w:t>
      </w:r>
      <w:r>
        <w:rPr>
          <w:rFonts w:ascii="Times New Roman" w:hAnsi="Times New Roman"/>
          <w:sz w:val="18"/>
          <w:szCs w:val="21"/>
        </w:rPr>
        <w:t xml:space="preserve">RT-qPCR analysis of the relative levels of ALDH1A1 mRNA transcripts in LCO/OR. </w:t>
      </w:r>
      <w:r>
        <w:rPr>
          <w:rFonts w:ascii="Times New Roman" w:hAnsi="Times New Roman"/>
          <w:b/>
          <w:bCs/>
          <w:sz w:val="18"/>
          <w:szCs w:val="21"/>
        </w:rPr>
        <w:t xml:space="preserve">B. </w:t>
      </w:r>
      <w:r>
        <w:rPr>
          <w:rFonts w:ascii="Times New Roman" w:hAnsi="Times New Roman"/>
          <w:color w:val="auto"/>
          <w:sz w:val="18"/>
          <w:szCs w:val="21"/>
        </w:rPr>
        <w:t>ALDH1A</w:t>
      </w:r>
      <w:r>
        <w:rPr>
          <w:rFonts w:hint="eastAsia" w:ascii="Times New Roman" w:hAnsi="Times New Roman"/>
          <w:color w:val="auto"/>
          <w:sz w:val="18"/>
          <w:szCs w:val="21"/>
        </w:rPr>
        <w:t>1</w:t>
      </w:r>
      <w:r>
        <w:rPr>
          <w:rFonts w:ascii="Times New Roman" w:hAnsi="Times New Roman"/>
          <w:sz w:val="18"/>
          <w:szCs w:val="21"/>
        </w:rPr>
        <w:t xml:space="preserve"> silencing enhanced the sensitivity to Osi in LCO2/OR and LCO3/OR. </w:t>
      </w:r>
      <w:r>
        <w:rPr>
          <w:rFonts w:ascii="Times New Roman" w:hAnsi="Times New Roman"/>
          <w:b/>
          <w:bCs/>
          <w:sz w:val="18"/>
          <w:szCs w:val="21"/>
        </w:rPr>
        <w:t xml:space="preserve">C. </w:t>
      </w:r>
      <w:r>
        <w:rPr>
          <w:rFonts w:ascii="Times New Roman" w:hAnsi="Times New Roman"/>
          <w:sz w:val="18"/>
          <w:szCs w:val="21"/>
        </w:rPr>
        <w:t xml:space="preserve">The inhibitory effect of different concentrations of DSF on LCOs and LCOs/OR cells. </w:t>
      </w:r>
      <w:r>
        <w:rPr>
          <w:rFonts w:ascii="Times New Roman" w:hAnsi="Times New Roman"/>
          <w:b/>
          <w:bCs/>
          <w:sz w:val="18"/>
          <w:szCs w:val="21"/>
        </w:rPr>
        <w:t>D</w:t>
      </w:r>
      <w:r>
        <w:rPr>
          <w:rFonts w:hint="eastAsia" w:ascii="Times New Roman" w:hAnsi="Times New Roman"/>
          <w:b/>
          <w:bCs/>
          <w:sz w:val="18"/>
          <w:szCs w:val="21"/>
        </w:rPr>
        <w:t>.</w:t>
      </w:r>
      <w:r>
        <w:rPr>
          <w:rFonts w:ascii="Times New Roman" w:hAnsi="Times New Roman"/>
          <w:b/>
          <w:bCs/>
          <w:sz w:val="18"/>
          <w:szCs w:val="21"/>
        </w:rPr>
        <w:t xml:space="preserve"> </w:t>
      </w:r>
      <w:r>
        <w:rPr>
          <w:rFonts w:ascii="Times New Roman" w:hAnsi="Times New Roman"/>
          <w:sz w:val="18"/>
          <w:szCs w:val="21"/>
        </w:rPr>
        <w:t xml:space="preserve">LCO2-3/OR were treated with different concentrations of Osi and/or DSF for 72h and cell viability was assessed by ATP assay; CI values were analyzed using CompuSyn software for non-constant drug ratio, CI &lt;1 indicates synergism, CI &gt; 1 indicates antagonism. </w:t>
      </w:r>
      <w:r>
        <w:rPr>
          <w:rFonts w:ascii="Times New Roman" w:hAnsi="Times New Roman"/>
          <w:b/>
          <w:bCs/>
          <w:sz w:val="18"/>
          <w:szCs w:val="21"/>
        </w:rPr>
        <w:t xml:space="preserve">E. </w:t>
      </w:r>
      <w:r>
        <w:rPr>
          <w:rFonts w:ascii="Times New Roman" w:hAnsi="Times New Roman"/>
          <w:bCs/>
          <w:sz w:val="18"/>
          <w:szCs w:val="21"/>
        </w:rPr>
        <w:t>Treatment with DSF enhanced the antitumor effect of Osi in</w:t>
      </w:r>
      <w:r>
        <w:rPr>
          <w:rFonts w:ascii="Times New Roman" w:hAnsi="Times New Roman"/>
          <w:b/>
          <w:bCs/>
          <w:sz w:val="18"/>
          <w:szCs w:val="21"/>
        </w:rPr>
        <w:t xml:space="preserve"> </w:t>
      </w:r>
      <w:r>
        <w:rPr>
          <w:rFonts w:ascii="Times New Roman" w:hAnsi="Times New Roman"/>
          <w:sz w:val="18"/>
          <w:szCs w:val="21"/>
        </w:rPr>
        <w:t xml:space="preserve">LCO2-3 /OR. </w:t>
      </w:r>
      <w:r>
        <w:rPr>
          <w:rFonts w:ascii="Times New Roman" w:hAnsi="Times New Roman"/>
          <w:b/>
          <w:bCs/>
          <w:sz w:val="18"/>
          <w:szCs w:val="21"/>
        </w:rPr>
        <w:t>F-G.</w:t>
      </w:r>
      <w:r>
        <w:rPr>
          <w:rFonts w:ascii="Times New Roman" w:hAnsi="Times New Roman"/>
          <w:sz w:val="18"/>
          <w:szCs w:val="21"/>
        </w:rPr>
        <w:t xml:space="preserve"> </w:t>
      </w:r>
      <w:r>
        <w:rPr>
          <w:rFonts w:ascii="Times New Roman" w:hAnsi="Times New Roman"/>
          <w:bCs/>
          <w:sz w:val="18"/>
          <w:szCs w:val="21"/>
        </w:rPr>
        <w:t xml:space="preserve">Treatment with DSF increased the Osi-up-regulated caspase3 expression </w:t>
      </w:r>
      <w:r>
        <w:rPr>
          <w:rFonts w:ascii="Times New Roman" w:hAnsi="Times New Roman"/>
          <w:sz w:val="18"/>
          <w:szCs w:val="21"/>
        </w:rPr>
        <w:t>in the LCO2-3/OR. *</w:t>
      </w:r>
      <w:r>
        <w:rPr>
          <w:rFonts w:ascii="Times New Roman" w:hAnsi="Times New Roman"/>
          <w:i/>
          <w:sz w:val="18"/>
          <w:szCs w:val="21"/>
        </w:rPr>
        <w:t>P</w:t>
      </w:r>
      <w:r>
        <w:rPr>
          <w:rFonts w:ascii="Times New Roman" w:hAnsi="Times New Roman"/>
          <w:sz w:val="18"/>
          <w:szCs w:val="21"/>
        </w:rPr>
        <w:t>&lt;0.05; **</w:t>
      </w:r>
      <w:r>
        <w:rPr>
          <w:rFonts w:ascii="Times New Roman" w:hAnsi="Times New Roman"/>
          <w:i/>
          <w:sz w:val="18"/>
          <w:szCs w:val="21"/>
        </w:rPr>
        <w:t>P</w:t>
      </w:r>
      <w:r>
        <w:rPr>
          <w:rFonts w:ascii="Times New Roman" w:hAnsi="Times New Roman"/>
          <w:sz w:val="18"/>
          <w:szCs w:val="21"/>
        </w:rPr>
        <w:t>&lt;0.01; ***</w:t>
      </w:r>
      <w:r>
        <w:rPr>
          <w:rFonts w:ascii="Times New Roman" w:hAnsi="Times New Roman"/>
          <w:i/>
          <w:sz w:val="18"/>
          <w:szCs w:val="21"/>
        </w:rPr>
        <w:t>P</w:t>
      </w:r>
      <w:r>
        <w:rPr>
          <w:rFonts w:ascii="Times New Roman" w:hAnsi="Times New Roman"/>
          <w:sz w:val="18"/>
          <w:szCs w:val="21"/>
        </w:rPr>
        <w:t>&lt;0.001; ****</w:t>
      </w:r>
      <w:r>
        <w:rPr>
          <w:rFonts w:ascii="Times New Roman" w:hAnsi="Times New Roman"/>
          <w:i/>
          <w:sz w:val="18"/>
          <w:szCs w:val="21"/>
        </w:rPr>
        <w:t>P</w:t>
      </w:r>
      <w:r>
        <w:rPr>
          <w:rFonts w:ascii="Times New Roman" w:hAnsi="Times New Roman"/>
          <w:sz w:val="18"/>
          <w:szCs w:val="21"/>
        </w:rPr>
        <w:t>&lt;0.0001.</w:t>
      </w:r>
    </w:p>
    <w:p w14:paraId="251EE157">
      <w:pPr>
        <w:rPr>
          <w:rFonts w:hint="eastAsia" w:eastAsiaTheme="minorEastAsia"/>
          <w:lang w:eastAsia="zh-CN"/>
        </w:rPr>
      </w:pPr>
    </w:p>
    <w:p w14:paraId="0946FF4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910830"/>
            <wp:effectExtent l="0" t="0" r="3810" b="4445"/>
            <wp:docPr id="10" name="图片 10" descr="S10_01(3)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10_01(3)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91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25023">
      <w:pPr>
        <w:spacing w:line="360" w:lineRule="auto"/>
        <w:rPr>
          <w:rFonts w:ascii="Times New Roman" w:hAnsi="Times New Roman"/>
          <w:sz w:val="18"/>
          <w:szCs w:val="21"/>
        </w:rPr>
      </w:pPr>
      <w:r>
        <w:rPr>
          <w:rFonts w:hint="eastAsia" w:ascii="Times New Roman" w:hAnsi="Times New Roman"/>
          <w:b/>
          <w:bCs/>
          <w:sz w:val="18"/>
          <w:szCs w:val="21"/>
          <w:lang w:eastAsia="zh-CN"/>
        </w:rPr>
        <w:t>Supplemental Figure</w:t>
      </w:r>
      <w:r>
        <w:rPr>
          <w:rFonts w:hint="eastAsia" w:ascii="Times New Roman" w:hAnsi="Times New Roman"/>
          <w:b/>
          <w:bCs/>
          <w:sz w:val="18"/>
          <w:szCs w:val="21"/>
          <w:lang w:val="en-US" w:eastAsia="zh-CN"/>
        </w:rPr>
        <w:t xml:space="preserve"> </w:t>
      </w:r>
      <w:r>
        <w:rPr>
          <w:rFonts w:ascii="Times New Roman" w:hAnsi="Times New Roman"/>
          <w:b/>
          <w:bCs/>
          <w:sz w:val="18"/>
          <w:szCs w:val="21"/>
        </w:rPr>
        <w:t>10. UP-regulated RELA is correlated the frequency of ALDH1</w:t>
      </w:r>
      <w:r>
        <w:rPr>
          <w:rFonts w:ascii="Times New Roman" w:hAnsi="Times New Roman"/>
          <w:b/>
          <w:bCs/>
          <w:sz w:val="18"/>
          <w:szCs w:val="21"/>
          <w:vertAlign w:val="superscript"/>
        </w:rPr>
        <w:t>+</w:t>
      </w:r>
      <w:r>
        <w:rPr>
          <w:rFonts w:ascii="Times New Roman" w:hAnsi="Times New Roman"/>
          <w:b/>
          <w:bCs/>
          <w:sz w:val="18"/>
          <w:szCs w:val="21"/>
        </w:rPr>
        <w:t xml:space="preserve"> stem-like cells in human NSCLC tissues. A-B. </w:t>
      </w:r>
      <w:r>
        <w:rPr>
          <w:rFonts w:ascii="Times New Roman" w:hAnsi="Times New Roman"/>
          <w:sz w:val="18"/>
          <w:szCs w:val="21"/>
        </w:rPr>
        <w:t xml:space="preserve">Immunofluorescent analysis of ALDH1A1 and RELA expression in human TKI-sensitive or resistant NSCLC tissues (magnification x 40). The white box indicates the enlarged areas. S, sensitive; R, Resistant. </w:t>
      </w:r>
      <w:r>
        <w:rPr>
          <w:rFonts w:ascii="Times New Roman" w:hAnsi="Times New Roman"/>
          <w:b/>
          <w:bCs/>
          <w:sz w:val="18"/>
          <w:szCs w:val="21"/>
        </w:rPr>
        <w:t xml:space="preserve">C. </w:t>
      </w:r>
      <w:r>
        <w:rPr>
          <w:rFonts w:ascii="Times New Roman" w:hAnsi="Times New Roman"/>
          <w:sz w:val="18"/>
          <w:szCs w:val="21"/>
        </w:rPr>
        <w:t>The correlation between the percentages of RELA</w:t>
      </w:r>
      <w:r>
        <w:rPr>
          <w:rFonts w:ascii="Times New Roman" w:hAnsi="Times New Roman"/>
          <w:sz w:val="18"/>
          <w:szCs w:val="21"/>
          <w:vertAlign w:val="superscript"/>
        </w:rPr>
        <w:t>+</w:t>
      </w:r>
      <w:r>
        <w:rPr>
          <w:rFonts w:ascii="Times New Roman" w:hAnsi="Times New Roman"/>
          <w:sz w:val="18"/>
          <w:szCs w:val="21"/>
        </w:rPr>
        <w:t xml:space="preserve"> and ALDH1</w:t>
      </w:r>
      <w:r>
        <w:rPr>
          <w:rFonts w:ascii="Times New Roman" w:hAnsi="Times New Roman"/>
          <w:sz w:val="18"/>
          <w:szCs w:val="21"/>
          <w:vertAlign w:val="superscript"/>
        </w:rPr>
        <w:t>+</w:t>
      </w:r>
      <w:r>
        <w:rPr>
          <w:rFonts w:ascii="Times New Roman" w:hAnsi="Times New Roman"/>
          <w:sz w:val="18"/>
          <w:szCs w:val="21"/>
        </w:rPr>
        <w:t xml:space="preserve"> tumor cells in NSCLC samples (n=30).</w:t>
      </w:r>
    </w:p>
    <w:p w14:paraId="499D22FE">
      <w:pPr>
        <w:spacing w:line="360" w:lineRule="auto"/>
        <w:rPr>
          <w:rFonts w:ascii="Times New Roman" w:hAnsi="Times New Roman"/>
          <w:sz w:val="18"/>
          <w:szCs w:val="21"/>
        </w:rPr>
      </w:pPr>
    </w:p>
    <w:p w14:paraId="6593A9E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635" b="8890"/>
            <wp:docPr id="8" name="图片 8" descr="Supplemental fig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upplemental figure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2E3C4">
      <w:pPr>
        <w:spacing w:line="360" w:lineRule="auto"/>
        <w:rPr>
          <w:rFonts w:ascii="Times New Roman" w:hAnsi="Times New Roman"/>
          <w:sz w:val="18"/>
          <w:szCs w:val="21"/>
        </w:rPr>
      </w:pPr>
      <w:r>
        <w:rPr>
          <w:rFonts w:hint="eastAsia" w:ascii="Times New Roman" w:hAnsi="Times New Roman"/>
          <w:b/>
          <w:bCs/>
          <w:sz w:val="18"/>
          <w:szCs w:val="21"/>
          <w:lang w:eastAsia="zh-CN"/>
        </w:rPr>
        <w:t>Supplemental Figure</w:t>
      </w:r>
      <w:r>
        <w:rPr>
          <w:rFonts w:hint="eastAsia" w:ascii="Times New Roman" w:hAnsi="Times New Roman"/>
          <w:b/>
          <w:bCs/>
          <w:sz w:val="18"/>
          <w:szCs w:val="21"/>
          <w:lang w:val="en-US" w:eastAsia="zh-CN"/>
        </w:rPr>
        <w:t xml:space="preserve"> </w:t>
      </w:r>
      <w:r>
        <w:rPr>
          <w:rFonts w:ascii="Times New Roman" w:hAnsi="Times New Roman"/>
          <w:b/>
          <w:bCs/>
          <w:sz w:val="18"/>
          <w:szCs w:val="21"/>
        </w:rPr>
        <w:t>11.</w:t>
      </w:r>
      <w:r>
        <w:rPr>
          <w:rFonts w:hint="eastAsia" w:ascii="Times New Roman" w:hAnsi="Times New Roman"/>
          <w:b/>
          <w:bCs/>
          <w:sz w:val="18"/>
          <w:szCs w:val="21"/>
          <w:lang w:val="en-US" w:eastAsia="zh-CN"/>
        </w:rPr>
        <w:t xml:space="preserve"> </w:t>
      </w:r>
      <w:r>
        <w:rPr>
          <w:rFonts w:hint="eastAsia" w:ascii="Times New Roman" w:hAnsi="Times New Roman"/>
          <w:b/>
          <w:bCs/>
          <w:sz w:val="18"/>
          <w:szCs w:val="21"/>
        </w:rPr>
        <w:t>Analyzing the correlation between RELA protein expression, ALDH1A1 enzyme activity, and the IC50 values of EGCG.</w:t>
      </w:r>
      <w:r>
        <w:rPr>
          <w:rFonts w:ascii="Times New Roman" w:hAnsi="Times New Roman"/>
          <w:b/>
          <w:bCs/>
          <w:sz w:val="18"/>
          <w:szCs w:val="21"/>
        </w:rPr>
        <w:t xml:space="preserve"> A. </w:t>
      </w:r>
      <w:r>
        <w:rPr>
          <w:rFonts w:ascii="Times New Roman" w:hAnsi="Times New Roman"/>
          <w:sz w:val="18"/>
          <w:szCs w:val="21"/>
        </w:rPr>
        <w:t>Western blot analysis of the relative levels of</w:t>
      </w:r>
      <w:r>
        <w:rPr>
          <w:rFonts w:ascii="Times New Roman" w:hAnsi="Times New Roman"/>
          <w:b/>
          <w:bCs/>
          <w:sz w:val="18"/>
          <w:szCs w:val="21"/>
        </w:rPr>
        <w:t xml:space="preserve"> </w:t>
      </w:r>
      <w:r>
        <w:rPr>
          <w:rFonts w:ascii="Times New Roman" w:hAnsi="Times New Roman"/>
          <w:sz w:val="18"/>
          <w:szCs w:val="21"/>
        </w:rPr>
        <w:t xml:space="preserve">RELA expression and phosphorylation in PC9, H1650, and H1975 cells. </w:t>
      </w:r>
      <w:r>
        <w:rPr>
          <w:rFonts w:ascii="Times New Roman" w:hAnsi="Times New Roman"/>
          <w:b/>
          <w:bCs/>
          <w:sz w:val="18"/>
          <w:szCs w:val="21"/>
        </w:rPr>
        <w:t>B</w:t>
      </w:r>
      <w:r>
        <w:rPr>
          <w:rFonts w:ascii="Times New Roman" w:hAnsi="Times New Roman"/>
          <w:sz w:val="18"/>
          <w:szCs w:val="21"/>
        </w:rPr>
        <w:t xml:space="preserve">. Western blot analysis of the relative levels of RELA phosphorylation in the indicated cells. </w:t>
      </w:r>
      <w:r>
        <w:rPr>
          <w:rFonts w:ascii="Times New Roman" w:hAnsi="Times New Roman"/>
          <w:b/>
          <w:bCs/>
          <w:sz w:val="18"/>
          <w:szCs w:val="21"/>
        </w:rPr>
        <w:t>C.</w:t>
      </w:r>
      <w:r>
        <w:rPr>
          <w:rFonts w:ascii="Times New Roman" w:hAnsi="Times New Roman"/>
          <w:sz w:val="18"/>
          <w:szCs w:val="21"/>
        </w:rPr>
        <w:t xml:space="preserve"> </w:t>
      </w:r>
      <w:r>
        <w:rPr>
          <w:rFonts w:hint="eastAsia" w:ascii="Times New Roman" w:hAnsi="Times New Roman"/>
          <w:sz w:val="18"/>
          <w:szCs w:val="21"/>
        </w:rPr>
        <w:t>Flow cytometry was used to detect the proportion of ALDH1</w:t>
      </w:r>
      <w:r>
        <w:rPr>
          <w:rFonts w:hint="eastAsia" w:ascii="Times New Roman" w:hAnsi="Times New Roman"/>
          <w:sz w:val="18"/>
          <w:szCs w:val="21"/>
          <w:vertAlign w:val="superscript"/>
        </w:rPr>
        <w:t>+</w:t>
      </w:r>
      <w:r>
        <w:rPr>
          <w:rFonts w:hint="eastAsia" w:ascii="Times New Roman" w:hAnsi="Times New Roman"/>
          <w:sz w:val="18"/>
          <w:szCs w:val="21"/>
        </w:rPr>
        <w:t xml:space="preserve"> cells </w:t>
      </w:r>
      <w:r>
        <w:rPr>
          <w:rFonts w:ascii="Times New Roman" w:hAnsi="Times New Roman"/>
          <w:sz w:val="18"/>
          <w:szCs w:val="21"/>
        </w:rPr>
        <w:t xml:space="preserve">among PC9/OR, PC9/AR, PC9/ER, H1650, and H1975 cells. </w:t>
      </w:r>
      <w:r>
        <w:rPr>
          <w:rFonts w:ascii="Times New Roman" w:hAnsi="Times New Roman"/>
          <w:b/>
          <w:bCs/>
          <w:sz w:val="18"/>
          <w:szCs w:val="21"/>
        </w:rPr>
        <w:t xml:space="preserve">D. </w:t>
      </w:r>
      <w:r>
        <w:rPr>
          <w:rFonts w:ascii="Times New Roman" w:hAnsi="Times New Roman"/>
          <w:sz w:val="18"/>
          <w:szCs w:val="21"/>
        </w:rPr>
        <w:t>The correlation between the percentages of ALDH1</w:t>
      </w:r>
      <w:r>
        <w:rPr>
          <w:rFonts w:ascii="Times New Roman" w:hAnsi="Times New Roman"/>
          <w:sz w:val="18"/>
          <w:szCs w:val="21"/>
          <w:vertAlign w:val="superscript"/>
        </w:rPr>
        <w:t>+</w:t>
      </w:r>
      <w:r>
        <w:rPr>
          <w:rFonts w:ascii="Times New Roman" w:hAnsi="Times New Roman"/>
          <w:sz w:val="18"/>
          <w:szCs w:val="21"/>
        </w:rPr>
        <w:t xml:space="preserve"> cells and the IC</w:t>
      </w:r>
      <w:r>
        <w:rPr>
          <w:rFonts w:ascii="Times New Roman" w:hAnsi="Times New Roman"/>
          <w:sz w:val="18"/>
          <w:szCs w:val="21"/>
          <w:vertAlign w:val="subscript"/>
        </w:rPr>
        <w:t>50</w:t>
      </w:r>
      <w:r>
        <w:rPr>
          <w:rFonts w:ascii="Times New Roman" w:hAnsi="Times New Roman"/>
          <w:sz w:val="18"/>
          <w:szCs w:val="21"/>
        </w:rPr>
        <w:t xml:space="preserve"> values. </w:t>
      </w:r>
      <w:r>
        <w:rPr>
          <w:rFonts w:ascii="Times New Roman" w:hAnsi="Times New Roman"/>
          <w:b/>
          <w:bCs/>
          <w:sz w:val="18"/>
          <w:szCs w:val="21"/>
        </w:rPr>
        <w:t>E</w:t>
      </w:r>
      <w:r>
        <w:rPr>
          <w:rFonts w:ascii="Times New Roman" w:hAnsi="Times New Roman"/>
          <w:sz w:val="18"/>
          <w:szCs w:val="21"/>
        </w:rPr>
        <w:t>. The correlation between the levels of RELA phosphorylation and the IC</w:t>
      </w:r>
      <w:r>
        <w:rPr>
          <w:rFonts w:ascii="Times New Roman" w:hAnsi="Times New Roman"/>
          <w:sz w:val="18"/>
          <w:szCs w:val="21"/>
          <w:vertAlign w:val="subscript"/>
        </w:rPr>
        <w:t>50</w:t>
      </w:r>
      <w:r>
        <w:rPr>
          <w:rFonts w:ascii="Times New Roman" w:hAnsi="Times New Roman"/>
          <w:sz w:val="18"/>
          <w:szCs w:val="21"/>
        </w:rPr>
        <w:t xml:space="preserve"> values. </w:t>
      </w:r>
      <w:r>
        <w:rPr>
          <w:rFonts w:ascii="Times New Roman" w:hAnsi="Times New Roman"/>
          <w:b/>
          <w:bCs/>
          <w:sz w:val="18"/>
          <w:szCs w:val="21"/>
        </w:rPr>
        <w:t>F</w:t>
      </w:r>
      <w:r>
        <w:rPr>
          <w:rFonts w:ascii="Times New Roman" w:hAnsi="Times New Roman"/>
          <w:sz w:val="18"/>
          <w:szCs w:val="21"/>
        </w:rPr>
        <w:t>. The inhibitory effects of different concentrations of EGCG on LCOs and LCOs/OR. *</w:t>
      </w:r>
      <w:r>
        <w:rPr>
          <w:rFonts w:ascii="Times New Roman" w:hAnsi="Times New Roman"/>
          <w:i/>
          <w:sz w:val="18"/>
          <w:szCs w:val="21"/>
        </w:rPr>
        <w:t>P</w:t>
      </w:r>
      <w:r>
        <w:rPr>
          <w:rFonts w:ascii="Times New Roman" w:hAnsi="Times New Roman"/>
          <w:sz w:val="18"/>
          <w:szCs w:val="21"/>
        </w:rPr>
        <w:t>&lt;0.05.</w:t>
      </w:r>
    </w:p>
    <w:p w14:paraId="35440B65">
      <w:pPr>
        <w:rPr>
          <w:rFonts w:hint="eastAsia" w:eastAsiaTheme="minorEastAsia"/>
          <w:lang w:eastAsia="zh-CN"/>
        </w:rPr>
      </w:pPr>
    </w:p>
    <w:p w14:paraId="33A735FB">
      <w:pPr>
        <w:rPr>
          <w:rFonts w:hint="eastAsia" w:eastAsiaTheme="minorEastAsia"/>
          <w:lang w:eastAsia="zh-CN"/>
        </w:rPr>
      </w:pPr>
    </w:p>
    <w:p w14:paraId="367BD84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4829810"/>
            <wp:effectExtent l="0" t="0" r="4445" b="8890"/>
            <wp:docPr id="9" name="图片 9" descr="Supplemental fig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upplemental figure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482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4BA07">
      <w:pPr>
        <w:spacing w:line="360" w:lineRule="auto"/>
        <w:rPr>
          <w:rFonts w:ascii="Times New Roman" w:hAnsi="Times New Roman"/>
          <w:sz w:val="18"/>
          <w:szCs w:val="21"/>
        </w:rPr>
      </w:pPr>
      <w:r>
        <w:rPr>
          <w:rFonts w:hint="eastAsia" w:ascii="Times New Roman" w:hAnsi="Times New Roman"/>
          <w:b/>
          <w:bCs/>
          <w:sz w:val="18"/>
          <w:szCs w:val="21"/>
          <w:lang w:eastAsia="zh-CN"/>
        </w:rPr>
        <w:t>Supplemental Figure</w:t>
      </w:r>
      <w:r>
        <w:rPr>
          <w:rFonts w:hint="eastAsia" w:ascii="Times New Roman" w:hAnsi="Times New Roman"/>
          <w:b/>
          <w:bCs/>
          <w:sz w:val="18"/>
          <w:szCs w:val="21"/>
          <w:lang w:val="en-US" w:eastAsia="zh-CN"/>
        </w:rPr>
        <w:t xml:space="preserve"> </w:t>
      </w:r>
      <w:r>
        <w:rPr>
          <w:rFonts w:ascii="Times New Roman" w:hAnsi="Times New Roman"/>
          <w:b/>
          <w:bCs/>
          <w:sz w:val="18"/>
          <w:szCs w:val="21"/>
        </w:rPr>
        <w:t>12. Treatment with EGCG enhances the antitumor effect of TKIs on</w:t>
      </w:r>
      <w:r>
        <w:rPr>
          <w:rFonts w:hint="eastAsia" w:ascii="Times New Roman" w:hAnsi="Times New Roman"/>
          <w:b/>
          <w:bCs/>
          <w:sz w:val="18"/>
          <w:szCs w:val="21"/>
        </w:rPr>
        <w:t xml:space="preserve"> </w:t>
      </w:r>
      <w:r>
        <w:rPr>
          <w:rFonts w:ascii="Times New Roman" w:hAnsi="Times New Roman"/>
          <w:b/>
          <w:bCs/>
          <w:sz w:val="18"/>
          <w:szCs w:val="21"/>
        </w:rPr>
        <w:t xml:space="preserve">the growth of </w:t>
      </w:r>
      <w:r>
        <w:rPr>
          <w:rFonts w:hint="eastAsia" w:ascii="Times New Roman" w:hAnsi="Times New Roman"/>
          <w:b/>
          <w:bCs/>
          <w:color w:val="auto"/>
          <w:sz w:val="18"/>
          <w:szCs w:val="21"/>
        </w:rPr>
        <w:t>R-</w:t>
      </w:r>
      <w:r>
        <w:rPr>
          <w:rFonts w:ascii="Times New Roman" w:hAnsi="Times New Roman"/>
          <w:b/>
          <w:bCs/>
          <w:color w:val="auto"/>
          <w:sz w:val="18"/>
          <w:szCs w:val="21"/>
        </w:rPr>
        <w:t>PC9</w:t>
      </w:r>
      <w:r>
        <w:rPr>
          <w:rFonts w:ascii="Times New Roman" w:hAnsi="Times New Roman"/>
          <w:b/>
          <w:bCs/>
          <w:sz w:val="18"/>
          <w:szCs w:val="21"/>
        </w:rPr>
        <w:t xml:space="preserve"> and LCOs/OR. A.</w:t>
      </w:r>
      <w:r>
        <w:rPr>
          <w:rFonts w:ascii="Times New Roman" w:hAnsi="Times New Roman"/>
          <w:sz w:val="18"/>
          <w:szCs w:val="21"/>
        </w:rPr>
        <w:t xml:space="preserve"> Treatment with EGCG enhanced the inhibition of TKIs on the growth of R-PC9 cells. </w:t>
      </w:r>
      <w:r>
        <w:rPr>
          <w:rFonts w:ascii="Times New Roman" w:hAnsi="Times New Roman"/>
          <w:b/>
          <w:bCs/>
          <w:sz w:val="18"/>
          <w:szCs w:val="21"/>
        </w:rPr>
        <w:t xml:space="preserve">B. </w:t>
      </w:r>
      <w:r>
        <w:rPr>
          <w:rFonts w:ascii="Times New Roman" w:hAnsi="Times New Roman"/>
          <w:sz w:val="18"/>
          <w:szCs w:val="21"/>
        </w:rPr>
        <w:t xml:space="preserve">LCOs/OR cells were treated with different concentrations of Osi and/or EGCG for 72-h. The cells' viability was determined by ATP assay. CI &lt;1 indicates synergism, CI =1 indicates additivity, CI &gt; 1 indicates antagonism. </w:t>
      </w:r>
      <w:r>
        <w:rPr>
          <w:rFonts w:ascii="Times New Roman" w:hAnsi="Times New Roman"/>
          <w:b/>
          <w:bCs/>
          <w:sz w:val="18"/>
          <w:szCs w:val="21"/>
        </w:rPr>
        <w:t xml:space="preserve">C. </w:t>
      </w:r>
      <w:r>
        <w:rPr>
          <w:rFonts w:ascii="Times New Roman" w:hAnsi="Times New Roman"/>
          <w:sz w:val="18"/>
          <w:szCs w:val="21"/>
        </w:rPr>
        <w:t xml:space="preserve">Treatment with EGCG enhanced the inhibition of TKIs on the growth of LCOs. </w:t>
      </w:r>
      <w:r>
        <w:rPr>
          <w:rFonts w:ascii="Times New Roman" w:hAnsi="Times New Roman"/>
          <w:b/>
          <w:bCs/>
          <w:sz w:val="18"/>
          <w:szCs w:val="21"/>
        </w:rPr>
        <w:t>D-E.</w:t>
      </w:r>
      <w:r>
        <w:rPr>
          <w:rFonts w:ascii="Times New Roman" w:hAnsi="Times New Roman"/>
          <w:sz w:val="18"/>
          <w:szCs w:val="21"/>
        </w:rPr>
        <w:t xml:space="preserve"> Immunofluorescence revealed that treatment with EGCG enhanced the Osi-up-regulated caspase3 expression in LCOs. **</w:t>
      </w:r>
      <w:r>
        <w:rPr>
          <w:rFonts w:ascii="Times New Roman" w:hAnsi="Times New Roman"/>
          <w:i/>
          <w:sz w:val="18"/>
          <w:szCs w:val="21"/>
        </w:rPr>
        <w:t>P</w:t>
      </w:r>
      <w:r>
        <w:rPr>
          <w:rFonts w:ascii="Times New Roman" w:hAnsi="Times New Roman"/>
          <w:sz w:val="18"/>
          <w:szCs w:val="21"/>
        </w:rPr>
        <w:t>&lt;0.01; ***</w:t>
      </w:r>
      <w:r>
        <w:rPr>
          <w:rFonts w:ascii="Times New Roman" w:hAnsi="Times New Roman"/>
          <w:i/>
          <w:sz w:val="18"/>
          <w:szCs w:val="21"/>
        </w:rPr>
        <w:t>P</w:t>
      </w:r>
      <w:r>
        <w:rPr>
          <w:rFonts w:ascii="Times New Roman" w:hAnsi="Times New Roman"/>
          <w:sz w:val="18"/>
          <w:szCs w:val="21"/>
        </w:rPr>
        <w:t>&lt;0.001; ****</w:t>
      </w:r>
      <w:r>
        <w:rPr>
          <w:rFonts w:ascii="Times New Roman" w:hAnsi="Times New Roman"/>
          <w:i/>
          <w:sz w:val="18"/>
          <w:szCs w:val="21"/>
        </w:rPr>
        <w:t>P</w:t>
      </w:r>
      <w:r>
        <w:rPr>
          <w:rFonts w:ascii="Times New Roman" w:hAnsi="Times New Roman"/>
          <w:sz w:val="18"/>
          <w:szCs w:val="21"/>
        </w:rPr>
        <w:t>&lt;0.0001.</w:t>
      </w:r>
    </w:p>
    <w:p w14:paraId="5B436CD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4745990"/>
            <wp:effectExtent l="0" t="0" r="3810" b="6985"/>
            <wp:docPr id="11" name="图片 11" descr="Supplemental fig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Supplemental figure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74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D993C">
      <w:pPr>
        <w:spacing w:line="360" w:lineRule="auto"/>
        <w:rPr>
          <w:rFonts w:ascii="Times New Roman" w:hAnsi="Times New Roman"/>
          <w:sz w:val="18"/>
          <w:szCs w:val="21"/>
        </w:rPr>
      </w:pPr>
      <w:r>
        <w:rPr>
          <w:rFonts w:hint="eastAsia" w:ascii="Times New Roman" w:hAnsi="Times New Roman"/>
          <w:b/>
          <w:bCs/>
          <w:sz w:val="18"/>
          <w:szCs w:val="21"/>
          <w:lang w:eastAsia="zh-CN"/>
        </w:rPr>
        <w:t>Supplemental Figure</w:t>
      </w:r>
      <w:r>
        <w:rPr>
          <w:rFonts w:hint="eastAsia" w:ascii="Times New Roman" w:hAnsi="Times New Roman"/>
          <w:b/>
          <w:bCs/>
          <w:sz w:val="18"/>
          <w:szCs w:val="21"/>
          <w:lang w:val="en-US" w:eastAsia="zh-CN"/>
        </w:rPr>
        <w:t xml:space="preserve"> </w:t>
      </w:r>
      <w:r>
        <w:rPr>
          <w:rFonts w:ascii="Times New Roman" w:hAnsi="Times New Roman"/>
          <w:b/>
          <w:bCs/>
          <w:sz w:val="18"/>
          <w:szCs w:val="21"/>
        </w:rPr>
        <w:t xml:space="preserve">13. Treatment with EGCG fails to modulate the TKI-mediated inhibition on the growth of RELA-silencing R/PC9 cells and LCOs/OR. A-D. </w:t>
      </w:r>
      <w:r>
        <w:rPr>
          <w:rFonts w:ascii="Times New Roman" w:hAnsi="Times New Roman"/>
          <w:sz w:val="18"/>
          <w:szCs w:val="21"/>
        </w:rPr>
        <w:t>Treatment EGCG enhanced the sensitivity to TKIs in</w:t>
      </w:r>
      <w:r>
        <w:rPr>
          <w:rFonts w:ascii="Times New Roman" w:hAnsi="Times New Roman"/>
          <w:b/>
          <w:bCs/>
          <w:sz w:val="18"/>
          <w:szCs w:val="21"/>
        </w:rPr>
        <w:t xml:space="preserve"> 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b/>
          <w:bCs/>
          <w:sz w:val="15"/>
          <w:szCs w:val="18"/>
        </w:rPr>
        <w:t>-</w:t>
      </w:r>
      <w:r>
        <w:rPr>
          <w:rFonts w:ascii="Times New Roman" w:hAnsi="Times New Roman"/>
          <w:sz w:val="18"/>
          <w:szCs w:val="18"/>
        </w:rPr>
        <w:t>PC9 cells and LCO2-3/OR, but not in the RELA- or ALDH1A1-silencing R-PC9 cells and LCO2-3/OR</w:t>
      </w:r>
      <w:r>
        <w:rPr>
          <w:rFonts w:ascii="Times New Roman" w:hAnsi="Times New Roman"/>
          <w:sz w:val="18"/>
          <w:szCs w:val="21"/>
        </w:rPr>
        <w:t>. ns, no significant.</w:t>
      </w:r>
    </w:p>
    <w:p w14:paraId="56092D4D">
      <w:pPr>
        <w:rPr>
          <w:rFonts w:hint="eastAsia" w:eastAsiaTheme="minorEastAsia"/>
          <w:lang w:eastAsia="zh-CN"/>
        </w:rPr>
      </w:pPr>
    </w:p>
    <w:p w14:paraId="1458D7D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4512945"/>
            <wp:effectExtent l="0" t="0" r="1905" b="1905"/>
            <wp:docPr id="14" name="图片 14" descr="S14_0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S14_01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51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26C43">
      <w:pPr>
        <w:spacing w:line="360" w:lineRule="auto"/>
        <w:rPr>
          <w:rFonts w:ascii="Times New Roman" w:hAnsi="Times New Roman"/>
          <w:b/>
          <w:bCs/>
          <w:sz w:val="24"/>
          <w:szCs w:val="32"/>
        </w:rPr>
      </w:pPr>
      <w:r>
        <w:rPr>
          <w:rFonts w:hint="eastAsia" w:ascii="Times New Roman" w:hAnsi="Times New Roman"/>
          <w:b/>
          <w:bCs/>
          <w:color w:val="000000"/>
          <w:sz w:val="18"/>
          <w:szCs w:val="21"/>
          <w:lang w:eastAsia="zh-CN"/>
        </w:rPr>
        <w:t>Supplemental Figure</w:t>
      </w:r>
      <w:r>
        <w:rPr>
          <w:rFonts w:hint="eastAsia" w:ascii="Times New Roman" w:hAnsi="Times New Roman"/>
          <w:b/>
          <w:bCs/>
          <w:color w:val="000000"/>
          <w:sz w:val="18"/>
          <w:szCs w:val="21"/>
          <w:lang w:val="en-US" w:eastAsia="zh-CN"/>
        </w:rPr>
        <w:t xml:space="preserve"> </w:t>
      </w:r>
      <w:r>
        <w:rPr>
          <w:rFonts w:ascii="Times New Roman" w:hAnsi="Times New Roman"/>
          <w:b/>
          <w:bCs/>
          <w:color w:val="000000"/>
          <w:sz w:val="18"/>
          <w:szCs w:val="21"/>
        </w:rPr>
        <w:t>14. TUNEL analysis of apoptotic cells in xenograft tumors (A,</w:t>
      </w:r>
      <w:r>
        <w:rPr>
          <w:rFonts w:hint="eastAsia" w:ascii="Times New Roman" w:hAnsi="Times New Roman"/>
          <w:b/>
          <w:bCs/>
          <w:color w:val="000000"/>
          <w:sz w:val="18"/>
          <w:szCs w:val="21"/>
        </w:rPr>
        <w:t xml:space="preserve"> </w:t>
      </w:r>
      <w:r>
        <w:rPr>
          <w:rFonts w:ascii="Times New Roman" w:hAnsi="Times New Roman"/>
          <w:b/>
          <w:bCs/>
          <w:color w:val="000000"/>
          <w:sz w:val="18"/>
          <w:szCs w:val="21"/>
        </w:rPr>
        <w:t>C) and PDOX tumors (B, D) (Magnification x 200).</w:t>
      </w:r>
    </w:p>
    <w:p w14:paraId="3AF1515D">
      <w:pPr>
        <w:rPr>
          <w:rFonts w:hint="eastAsia" w:eastAsiaTheme="minorEastAsia"/>
          <w:lang w:eastAsia="zh-CN"/>
        </w:rPr>
      </w:pPr>
    </w:p>
    <w:p w14:paraId="50E5A059">
      <w:pPr>
        <w:rPr>
          <w:rFonts w:hint="eastAsia" w:eastAsiaTheme="minorEastAsia"/>
          <w:lang w:eastAsia="zh-CN"/>
        </w:rPr>
      </w:pPr>
    </w:p>
    <w:p w14:paraId="07ACC898">
      <w:pPr>
        <w:rPr>
          <w:rFonts w:hint="default" w:ascii="Times New Roman" w:hAnsi="Times New Roman" w:cs="Times New Roman" w:eastAsiaTheme="minorEastAsia"/>
          <w:lang w:eastAsia="zh-CN"/>
        </w:rPr>
      </w:pPr>
      <w:bookmarkStart w:id="1" w:name="_GoBack"/>
      <w:r>
        <w:rPr>
          <w:rFonts w:hint="default" w:ascii="Times New Roman" w:hAnsi="Times New Roman" w:cs="Times New Roman"/>
          <w:b/>
          <w:bCs/>
        </w:rPr>
        <w:t>Supplementa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l</w:t>
      </w:r>
      <w:r>
        <w:rPr>
          <w:rFonts w:hint="default" w:ascii="Times New Roman" w:hAnsi="Times New Roman" w:cs="Times New Roman"/>
          <w:b/>
          <w:bCs/>
        </w:rPr>
        <w:t xml:space="preserve"> Table 1. The clinicopathological characteristics of the cases and LCOs subtype </w:t>
      </w:r>
      <w:bookmarkEnd w:id="1"/>
    </w:p>
    <w:tbl>
      <w:tblPr>
        <w:tblStyle w:val="2"/>
        <w:tblW w:w="9980" w:type="dxa"/>
        <w:jc w:val="center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0"/>
        <w:gridCol w:w="946"/>
        <w:gridCol w:w="946"/>
        <w:gridCol w:w="948"/>
        <w:gridCol w:w="949"/>
        <w:gridCol w:w="947"/>
        <w:gridCol w:w="945"/>
        <w:gridCol w:w="946"/>
        <w:gridCol w:w="738"/>
        <w:gridCol w:w="1555"/>
      </w:tblGrid>
      <w:tr w14:paraId="28CFF33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2" w:hRule="atLeast"/>
          <w:jc w:val="center"/>
        </w:trPr>
        <w:tc>
          <w:tcPr>
            <w:tcW w:w="1060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 w14:paraId="3DA31B0C">
            <w:pPr>
              <w:widowControl/>
              <w:autoSpaceDE/>
              <w:autoSpaceDN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2B2A2B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Oranoid 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line</w:t>
            </w:r>
          </w:p>
        </w:tc>
        <w:tc>
          <w:tcPr>
            <w:tcW w:w="946" w:type="dxa"/>
            <w:tcBorders>
              <w:top w:val="single" w:color="auto" w:sz="12" w:space="0"/>
              <w:bottom w:val="single" w:color="auto" w:sz="12" w:space="0"/>
            </w:tcBorders>
            <w:shd w:val="clear" w:color="auto" w:fill="auto"/>
            <w:vAlign w:val="center"/>
          </w:tcPr>
          <w:p w14:paraId="3DCBE329">
            <w:pPr>
              <w:widowControl/>
              <w:autoSpaceDE/>
              <w:autoSpaceDN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SEX</w:t>
            </w:r>
          </w:p>
        </w:tc>
        <w:tc>
          <w:tcPr>
            <w:tcW w:w="946" w:type="dxa"/>
            <w:tcBorders>
              <w:top w:val="single" w:color="auto" w:sz="12" w:space="0"/>
              <w:bottom w:val="single" w:color="auto" w:sz="12" w:space="0"/>
            </w:tcBorders>
            <w:shd w:val="clear" w:color="auto" w:fill="auto"/>
            <w:vAlign w:val="center"/>
          </w:tcPr>
          <w:p w14:paraId="51D66DA4">
            <w:pPr>
              <w:widowControl/>
              <w:autoSpaceDE/>
              <w:autoSpaceDN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Age</w:t>
            </w:r>
          </w:p>
        </w:tc>
        <w:tc>
          <w:tcPr>
            <w:tcW w:w="948" w:type="dxa"/>
            <w:tcBorders>
              <w:top w:val="single" w:color="auto" w:sz="12" w:space="0"/>
              <w:bottom w:val="single" w:color="auto" w:sz="12" w:space="0"/>
            </w:tcBorders>
            <w:shd w:val="clear" w:color="auto" w:fill="auto"/>
            <w:vAlign w:val="center"/>
          </w:tcPr>
          <w:p w14:paraId="2A390CF0">
            <w:pPr>
              <w:widowControl/>
              <w:autoSpaceDE/>
              <w:autoSpaceDN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Tumor type</w:t>
            </w:r>
          </w:p>
        </w:tc>
        <w:tc>
          <w:tcPr>
            <w:tcW w:w="949" w:type="dxa"/>
            <w:tcBorders>
              <w:top w:val="single" w:color="auto" w:sz="12" w:space="0"/>
              <w:bottom w:val="single" w:color="auto" w:sz="12" w:space="0"/>
            </w:tcBorders>
            <w:shd w:val="clear" w:color="auto" w:fill="auto"/>
            <w:vAlign w:val="center"/>
          </w:tcPr>
          <w:p w14:paraId="711A925F">
            <w:pPr>
              <w:widowControl/>
              <w:autoSpaceDE/>
              <w:autoSpaceDN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Tumor location</w:t>
            </w:r>
          </w:p>
        </w:tc>
        <w:tc>
          <w:tcPr>
            <w:tcW w:w="947" w:type="dxa"/>
            <w:tcBorders>
              <w:top w:val="single" w:color="auto" w:sz="12" w:space="0"/>
              <w:bottom w:val="single" w:color="auto" w:sz="12" w:space="0"/>
            </w:tcBorders>
            <w:shd w:val="clear" w:color="auto" w:fill="auto"/>
            <w:vAlign w:val="center"/>
          </w:tcPr>
          <w:p w14:paraId="236E3555">
            <w:pPr>
              <w:widowControl/>
              <w:autoSpaceDE/>
              <w:autoSpaceDN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pT</w:t>
            </w:r>
          </w:p>
        </w:tc>
        <w:tc>
          <w:tcPr>
            <w:tcW w:w="945" w:type="dxa"/>
            <w:tcBorders>
              <w:top w:val="single" w:color="auto" w:sz="12" w:space="0"/>
              <w:bottom w:val="single" w:color="auto" w:sz="12" w:space="0"/>
            </w:tcBorders>
            <w:shd w:val="clear" w:color="auto" w:fill="auto"/>
            <w:vAlign w:val="center"/>
          </w:tcPr>
          <w:p w14:paraId="5600CA3B">
            <w:pPr>
              <w:widowControl/>
              <w:autoSpaceDE/>
              <w:autoSpaceDN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pN</w:t>
            </w:r>
          </w:p>
        </w:tc>
        <w:tc>
          <w:tcPr>
            <w:tcW w:w="946" w:type="dxa"/>
            <w:tcBorders>
              <w:top w:val="single" w:color="auto" w:sz="12" w:space="0"/>
              <w:bottom w:val="single" w:color="auto" w:sz="12" w:space="0"/>
            </w:tcBorders>
            <w:shd w:val="clear" w:color="auto" w:fill="auto"/>
            <w:vAlign w:val="center"/>
          </w:tcPr>
          <w:p w14:paraId="775B16CB">
            <w:pPr>
              <w:widowControl/>
              <w:autoSpaceDE/>
              <w:autoSpaceDN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cM</w:t>
            </w:r>
          </w:p>
        </w:tc>
        <w:tc>
          <w:tcPr>
            <w:tcW w:w="738" w:type="dxa"/>
            <w:tcBorders>
              <w:top w:val="single" w:color="auto" w:sz="12" w:space="0"/>
              <w:bottom w:val="single" w:color="auto" w:sz="12" w:space="0"/>
            </w:tcBorders>
            <w:shd w:val="clear" w:color="auto" w:fill="auto"/>
            <w:vAlign w:val="center"/>
          </w:tcPr>
          <w:p w14:paraId="7C865005">
            <w:pPr>
              <w:widowControl/>
              <w:autoSpaceDE/>
              <w:autoSpaceDN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stage</w:t>
            </w:r>
          </w:p>
        </w:tc>
        <w:tc>
          <w:tcPr>
            <w:tcW w:w="1555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 w14:paraId="4683554B">
            <w:pPr>
              <w:widowControl/>
              <w:autoSpaceDE/>
              <w:autoSpaceDN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val="en-US" w:eastAsia="zh-CN"/>
              </w:rPr>
              <w:t>Mutation</w:t>
            </w:r>
          </w:p>
        </w:tc>
      </w:tr>
      <w:tr w14:paraId="1CB1903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060" w:type="dxa"/>
            <w:tcBorders>
              <w:top w:val="single" w:color="auto" w:sz="12" w:space="0"/>
            </w:tcBorders>
          </w:tcPr>
          <w:p w14:paraId="0DA2FE63">
            <w:pPr>
              <w:widowControl/>
              <w:autoSpaceDE/>
              <w:autoSpaceDN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</w:p>
        </w:tc>
        <w:tc>
          <w:tcPr>
            <w:tcW w:w="946" w:type="dxa"/>
            <w:tcBorders>
              <w:top w:val="single" w:color="auto" w:sz="12" w:space="0"/>
            </w:tcBorders>
            <w:shd w:val="clear" w:color="auto" w:fill="auto"/>
            <w:noWrap/>
            <w:vAlign w:val="center"/>
          </w:tcPr>
          <w:p w14:paraId="105526DF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Female</w:t>
            </w:r>
          </w:p>
        </w:tc>
        <w:tc>
          <w:tcPr>
            <w:tcW w:w="946" w:type="dxa"/>
            <w:tcBorders>
              <w:top w:val="single" w:color="auto" w:sz="12" w:space="0"/>
            </w:tcBorders>
            <w:shd w:val="clear" w:color="auto" w:fill="auto"/>
            <w:noWrap/>
            <w:vAlign w:val="center"/>
          </w:tcPr>
          <w:p w14:paraId="2DC0E080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65</w:t>
            </w:r>
          </w:p>
        </w:tc>
        <w:tc>
          <w:tcPr>
            <w:tcW w:w="948" w:type="dxa"/>
            <w:tcBorders>
              <w:top w:val="single" w:color="auto" w:sz="12" w:space="0"/>
            </w:tcBorders>
            <w:shd w:val="clear" w:color="auto" w:fill="auto"/>
            <w:noWrap/>
            <w:vAlign w:val="center"/>
          </w:tcPr>
          <w:p w14:paraId="5B715DC6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LC</w:t>
            </w:r>
          </w:p>
        </w:tc>
        <w:tc>
          <w:tcPr>
            <w:tcW w:w="949" w:type="dxa"/>
            <w:tcBorders>
              <w:top w:val="single" w:color="auto" w:sz="12" w:space="0"/>
            </w:tcBorders>
            <w:shd w:val="clear" w:color="auto" w:fill="auto"/>
            <w:noWrap/>
            <w:vAlign w:val="center"/>
          </w:tcPr>
          <w:p w14:paraId="2B08619A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Lung</w:t>
            </w:r>
          </w:p>
        </w:tc>
        <w:tc>
          <w:tcPr>
            <w:tcW w:w="947" w:type="dxa"/>
            <w:tcBorders>
              <w:top w:val="single" w:color="auto" w:sz="12" w:space="0"/>
            </w:tcBorders>
            <w:shd w:val="clear" w:color="auto" w:fill="auto"/>
            <w:noWrap/>
            <w:vAlign w:val="center"/>
          </w:tcPr>
          <w:p w14:paraId="7B9510B5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cT2a</w:t>
            </w:r>
          </w:p>
        </w:tc>
        <w:tc>
          <w:tcPr>
            <w:tcW w:w="945" w:type="dxa"/>
            <w:tcBorders>
              <w:top w:val="single" w:color="auto" w:sz="12" w:space="0"/>
            </w:tcBorders>
            <w:shd w:val="clear" w:color="auto" w:fill="auto"/>
            <w:noWrap/>
            <w:vAlign w:val="center"/>
          </w:tcPr>
          <w:p w14:paraId="20AEDFB3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N2</w:t>
            </w:r>
          </w:p>
        </w:tc>
        <w:tc>
          <w:tcPr>
            <w:tcW w:w="946" w:type="dxa"/>
            <w:tcBorders>
              <w:top w:val="single" w:color="auto" w:sz="12" w:space="0"/>
            </w:tcBorders>
            <w:shd w:val="clear" w:color="auto" w:fill="auto"/>
            <w:noWrap/>
            <w:vAlign w:val="center"/>
          </w:tcPr>
          <w:p w14:paraId="6FC897E3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M1a</w:t>
            </w:r>
          </w:p>
        </w:tc>
        <w:tc>
          <w:tcPr>
            <w:tcW w:w="738" w:type="dxa"/>
            <w:tcBorders>
              <w:top w:val="single" w:color="auto" w:sz="12" w:space="0"/>
            </w:tcBorders>
            <w:shd w:val="clear" w:color="auto" w:fill="auto"/>
            <w:noWrap/>
            <w:vAlign w:val="center"/>
          </w:tcPr>
          <w:p w14:paraId="7D77D2B3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Ⅳa</w:t>
            </w:r>
          </w:p>
        </w:tc>
        <w:tc>
          <w:tcPr>
            <w:tcW w:w="1555" w:type="dxa"/>
            <w:tcBorders>
              <w:top w:val="single" w:color="auto" w:sz="12" w:space="0"/>
            </w:tcBorders>
            <w:vAlign w:val="center"/>
          </w:tcPr>
          <w:p w14:paraId="584B7AEC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val="en-US" w:eastAsia="zh-CN"/>
              </w:rPr>
              <w:t>EGFR L858R</w:t>
            </w:r>
          </w:p>
        </w:tc>
      </w:tr>
      <w:tr w14:paraId="4F5263C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060" w:type="dxa"/>
          </w:tcPr>
          <w:p w14:paraId="1A0A7029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</w:p>
        </w:tc>
        <w:tc>
          <w:tcPr>
            <w:tcW w:w="946" w:type="dxa"/>
            <w:shd w:val="clear" w:color="auto" w:fill="auto"/>
            <w:vAlign w:val="center"/>
          </w:tcPr>
          <w:p w14:paraId="108ACC7C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Female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37D3625A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60</w:t>
            </w:r>
          </w:p>
        </w:tc>
        <w:tc>
          <w:tcPr>
            <w:tcW w:w="948" w:type="dxa"/>
            <w:shd w:val="clear" w:color="auto" w:fill="auto"/>
            <w:noWrap/>
            <w:vAlign w:val="center"/>
          </w:tcPr>
          <w:p w14:paraId="4370DE1A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LC</w:t>
            </w:r>
          </w:p>
        </w:tc>
        <w:tc>
          <w:tcPr>
            <w:tcW w:w="949" w:type="dxa"/>
            <w:shd w:val="clear" w:color="auto" w:fill="auto"/>
            <w:vAlign w:val="center"/>
          </w:tcPr>
          <w:p w14:paraId="56A3CC56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Lung</w:t>
            </w:r>
          </w:p>
        </w:tc>
        <w:tc>
          <w:tcPr>
            <w:tcW w:w="947" w:type="dxa"/>
            <w:shd w:val="clear" w:color="auto" w:fill="auto"/>
            <w:noWrap/>
            <w:vAlign w:val="center"/>
          </w:tcPr>
          <w:p w14:paraId="64E2E465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cT1</w:t>
            </w:r>
          </w:p>
        </w:tc>
        <w:tc>
          <w:tcPr>
            <w:tcW w:w="945" w:type="dxa"/>
            <w:shd w:val="clear" w:color="auto" w:fill="auto"/>
            <w:vAlign w:val="center"/>
          </w:tcPr>
          <w:p w14:paraId="6F60D8C5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N0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7168F4D9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M1c</w:t>
            </w:r>
          </w:p>
        </w:tc>
        <w:tc>
          <w:tcPr>
            <w:tcW w:w="738" w:type="dxa"/>
            <w:shd w:val="clear" w:color="auto" w:fill="auto"/>
            <w:vAlign w:val="center"/>
          </w:tcPr>
          <w:p w14:paraId="62862FA0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Ⅳb</w:t>
            </w:r>
          </w:p>
        </w:tc>
        <w:tc>
          <w:tcPr>
            <w:tcW w:w="1555" w:type="dxa"/>
            <w:vAlign w:val="center"/>
          </w:tcPr>
          <w:p w14:paraId="5A0BF5E1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val="en-US" w:eastAsia="zh-CN"/>
              </w:rPr>
              <w:t>EGFR 19del</w:t>
            </w:r>
          </w:p>
        </w:tc>
      </w:tr>
      <w:tr w14:paraId="05FC7A6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060" w:type="dxa"/>
          </w:tcPr>
          <w:p w14:paraId="7677B891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</w:p>
        </w:tc>
        <w:tc>
          <w:tcPr>
            <w:tcW w:w="946" w:type="dxa"/>
            <w:shd w:val="clear" w:color="auto" w:fill="auto"/>
            <w:vAlign w:val="center"/>
          </w:tcPr>
          <w:p w14:paraId="309B4558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Male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4FC01483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52</w:t>
            </w:r>
          </w:p>
        </w:tc>
        <w:tc>
          <w:tcPr>
            <w:tcW w:w="948" w:type="dxa"/>
            <w:shd w:val="clear" w:color="auto" w:fill="auto"/>
            <w:noWrap/>
            <w:vAlign w:val="center"/>
          </w:tcPr>
          <w:p w14:paraId="16DFD3BD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LC</w:t>
            </w:r>
          </w:p>
        </w:tc>
        <w:tc>
          <w:tcPr>
            <w:tcW w:w="949" w:type="dxa"/>
            <w:shd w:val="clear" w:color="auto" w:fill="auto"/>
            <w:vAlign w:val="center"/>
          </w:tcPr>
          <w:p w14:paraId="3172289D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Lung</w:t>
            </w:r>
          </w:p>
        </w:tc>
        <w:tc>
          <w:tcPr>
            <w:tcW w:w="947" w:type="dxa"/>
            <w:shd w:val="clear" w:color="auto" w:fill="auto"/>
            <w:noWrap/>
            <w:vAlign w:val="center"/>
          </w:tcPr>
          <w:p w14:paraId="038CCFB4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T2a</w:t>
            </w:r>
          </w:p>
        </w:tc>
        <w:tc>
          <w:tcPr>
            <w:tcW w:w="945" w:type="dxa"/>
            <w:shd w:val="clear" w:color="auto" w:fill="auto"/>
            <w:vAlign w:val="center"/>
          </w:tcPr>
          <w:p w14:paraId="4C08D680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N3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0A19C97D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M1c</w:t>
            </w:r>
          </w:p>
        </w:tc>
        <w:tc>
          <w:tcPr>
            <w:tcW w:w="738" w:type="dxa"/>
            <w:shd w:val="clear" w:color="auto" w:fill="auto"/>
            <w:vAlign w:val="center"/>
          </w:tcPr>
          <w:p w14:paraId="1A5383D9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Ⅳb</w:t>
            </w:r>
          </w:p>
        </w:tc>
        <w:tc>
          <w:tcPr>
            <w:tcW w:w="1555" w:type="dxa"/>
            <w:vAlign w:val="center"/>
          </w:tcPr>
          <w:p w14:paraId="65AF3EA7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val="en-US" w:eastAsia="zh-CN"/>
              </w:rPr>
              <w:t>EGFR L858R</w:t>
            </w:r>
          </w:p>
        </w:tc>
      </w:tr>
      <w:tr w14:paraId="6BA2649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060" w:type="dxa"/>
          </w:tcPr>
          <w:p w14:paraId="49BBDC0A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</w:p>
        </w:tc>
        <w:tc>
          <w:tcPr>
            <w:tcW w:w="946" w:type="dxa"/>
            <w:shd w:val="clear" w:color="auto" w:fill="auto"/>
            <w:vAlign w:val="center"/>
          </w:tcPr>
          <w:p w14:paraId="2A189D3B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Female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0D54AA64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69</w:t>
            </w:r>
          </w:p>
        </w:tc>
        <w:tc>
          <w:tcPr>
            <w:tcW w:w="948" w:type="dxa"/>
            <w:shd w:val="clear" w:color="auto" w:fill="auto"/>
            <w:noWrap/>
            <w:vAlign w:val="center"/>
          </w:tcPr>
          <w:p w14:paraId="04197C86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LC</w:t>
            </w:r>
          </w:p>
        </w:tc>
        <w:tc>
          <w:tcPr>
            <w:tcW w:w="949" w:type="dxa"/>
            <w:shd w:val="clear" w:color="auto" w:fill="auto"/>
            <w:vAlign w:val="center"/>
          </w:tcPr>
          <w:p w14:paraId="5EDB23FB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Lung</w:t>
            </w:r>
          </w:p>
        </w:tc>
        <w:tc>
          <w:tcPr>
            <w:tcW w:w="947" w:type="dxa"/>
            <w:shd w:val="clear" w:color="auto" w:fill="auto"/>
            <w:noWrap/>
            <w:vAlign w:val="center"/>
          </w:tcPr>
          <w:p w14:paraId="1800319F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cT4</w:t>
            </w:r>
          </w:p>
        </w:tc>
        <w:tc>
          <w:tcPr>
            <w:tcW w:w="945" w:type="dxa"/>
            <w:shd w:val="clear" w:color="auto" w:fill="auto"/>
            <w:vAlign w:val="center"/>
          </w:tcPr>
          <w:p w14:paraId="5A7C67A5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N3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71A0F855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M1a</w:t>
            </w:r>
          </w:p>
        </w:tc>
        <w:tc>
          <w:tcPr>
            <w:tcW w:w="738" w:type="dxa"/>
            <w:shd w:val="clear" w:color="auto" w:fill="auto"/>
            <w:vAlign w:val="center"/>
          </w:tcPr>
          <w:p w14:paraId="4763DB73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Ⅳ</w:t>
            </w:r>
          </w:p>
        </w:tc>
        <w:tc>
          <w:tcPr>
            <w:tcW w:w="1555" w:type="dxa"/>
            <w:vAlign w:val="center"/>
          </w:tcPr>
          <w:p w14:paraId="6DDE0625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val="en-US" w:eastAsia="zh-CN"/>
              </w:rPr>
              <w:t>EGFR L858R</w:t>
            </w:r>
          </w:p>
        </w:tc>
      </w:tr>
      <w:tr w14:paraId="4CE0074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060" w:type="dxa"/>
          </w:tcPr>
          <w:p w14:paraId="4A51A64F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</w:p>
        </w:tc>
        <w:tc>
          <w:tcPr>
            <w:tcW w:w="946" w:type="dxa"/>
            <w:shd w:val="clear" w:color="auto" w:fill="auto"/>
            <w:vAlign w:val="center"/>
          </w:tcPr>
          <w:p w14:paraId="787DDC7E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Male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0F80B481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80</w:t>
            </w:r>
          </w:p>
        </w:tc>
        <w:tc>
          <w:tcPr>
            <w:tcW w:w="948" w:type="dxa"/>
            <w:shd w:val="clear" w:color="auto" w:fill="auto"/>
            <w:noWrap/>
            <w:vAlign w:val="center"/>
          </w:tcPr>
          <w:p w14:paraId="57996D89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LC</w:t>
            </w:r>
          </w:p>
        </w:tc>
        <w:tc>
          <w:tcPr>
            <w:tcW w:w="949" w:type="dxa"/>
            <w:shd w:val="clear" w:color="auto" w:fill="auto"/>
            <w:vAlign w:val="center"/>
          </w:tcPr>
          <w:p w14:paraId="4E96766F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Lung</w:t>
            </w:r>
          </w:p>
        </w:tc>
        <w:tc>
          <w:tcPr>
            <w:tcW w:w="947" w:type="dxa"/>
            <w:shd w:val="clear" w:color="auto" w:fill="auto"/>
            <w:noWrap/>
            <w:vAlign w:val="center"/>
          </w:tcPr>
          <w:p w14:paraId="7D4A548A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cT3</w:t>
            </w:r>
          </w:p>
        </w:tc>
        <w:tc>
          <w:tcPr>
            <w:tcW w:w="945" w:type="dxa"/>
            <w:shd w:val="clear" w:color="auto" w:fill="auto"/>
            <w:vAlign w:val="center"/>
          </w:tcPr>
          <w:p w14:paraId="279A38A2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N3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627B5420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M1a</w:t>
            </w:r>
          </w:p>
        </w:tc>
        <w:tc>
          <w:tcPr>
            <w:tcW w:w="738" w:type="dxa"/>
            <w:shd w:val="clear" w:color="auto" w:fill="auto"/>
            <w:noWrap/>
            <w:vAlign w:val="center"/>
          </w:tcPr>
          <w:p w14:paraId="30572F16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Ⅳa</w:t>
            </w:r>
          </w:p>
        </w:tc>
        <w:tc>
          <w:tcPr>
            <w:tcW w:w="1555" w:type="dxa"/>
            <w:vAlign w:val="center"/>
          </w:tcPr>
          <w:p w14:paraId="6D093F6C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val="en-US" w:eastAsia="zh-CN"/>
              </w:rPr>
              <w:t>EGFR L858R</w:t>
            </w:r>
          </w:p>
        </w:tc>
      </w:tr>
      <w:tr w14:paraId="661C6DB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060" w:type="dxa"/>
          </w:tcPr>
          <w:p w14:paraId="1B190C54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</w:p>
        </w:tc>
        <w:tc>
          <w:tcPr>
            <w:tcW w:w="946" w:type="dxa"/>
            <w:shd w:val="clear" w:color="auto" w:fill="auto"/>
            <w:vAlign w:val="center"/>
          </w:tcPr>
          <w:p w14:paraId="3C585628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Female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23EE1074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67</w:t>
            </w:r>
          </w:p>
        </w:tc>
        <w:tc>
          <w:tcPr>
            <w:tcW w:w="948" w:type="dxa"/>
            <w:shd w:val="clear" w:color="auto" w:fill="auto"/>
            <w:noWrap/>
            <w:vAlign w:val="center"/>
          </w:tcPr>
          <w:p w14:paraId="7EF9F666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LC</w:t>
            </w:r>
          </w:p>
        </w:tc>
        <w:tc>
          <w:tcPr>
            <w:tcW w:w="949" w:type="dxa"/>
            <w:shd w:val="clear" w:color="auto" w:fill="auto"/>
            <w:vAlign w:val="center"/>
          </w:tcPr>
          <w:p w14:paraId="6B0E2396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Lung</w:t>
            </w:r>
          </w:p>
        </w:tc>
        <w:tc>
          <w:tcPr>
            <w:tcW w:w="947" w:type="dxa"/>
            <w:shd w:val="clear" w:color="auto" w:fill="auto"/>
            <w:noWrap/>
            <w:vAlign w:val="center"/>
          </w:tcPr>
          <w:p w14:paraId="187814DA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cT2b</w:t>
            </w:r>
          </w:p>
        </w:tc>
        <w:tc>
          <w:tcPr>
            <w:tcW w:w="945" w:type="dxa"/>
            <w:shd w:val="clear" w:color="auto" w:fill="auto"/>
            <w:vAlign w:val="center"/>
          </w:tcPr>
          <w:p w14:paraId="51C49D47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N2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7ED27B77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M1b</w:t>
            </w:r>
          </w:p>
        </w:tc>
        <w:tc>
          <w:tcPr>
            <w:tcW w:w="738" w:type="dxa"/>
            <w:shd w:val="clear" w:color="auto" w:fill="auto"/>
            <w:vAlign w:val="center"/>
          </w:tcPr>
          <w:p w14:paraId="6BD779CA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Ⅳa</w:t>
            </w:r>
          </w:p>
        </w:tc>
        <w:tc>
          <w:tcPr>
            <w:tcW w:w="1555" w:type="dxa"/>
            <w:vAlign w:val="center"/>
          </w:tcPr>
          <w:p w14:paraId="72001785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val="en-US" w:eastAsia="zh-CN"/>
              </w:rPr>
              <w:t>EGFR 19del</w:t>
            </w:r>
          </w:p>
        </w:tc>
      </w:tr>
      <w:tr w14:paraId="694DE7B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060" w:type="dxa"/>
            <w:tcBorders>
              <w:top w:val="nil"/>
              <w:bottom w:val="nil"/>
            </w:tcBorders>
          </w:tcPr>
          <w:p w14:paraId="2741AF7D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</w:p>
        </w:tc>
        <w:tc>
          <w:tcPr>
            <w:tcW w:w="94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584872B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Female</w:t>
            </w:r>
          </w:p>
        </w:tc>
        <w:tc>
          <w:tcPr>
            <w:tcW w:w="94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84241EE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56</w:t>
            </w:r>
          </w:p>
        </w:tc>
        <w:tc>
          <w:tcPr>
            <w:tcW w:w="94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0E821FA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LC</w:t>
            </w:r>
          </w:p>
        </w:tc>
        <w:tc>
          <w:tcPr>
            <w:tcW w:w="94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6994459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Lung</w:t>
            </w:r>
          </w:p>
        </w:tc>
        <w:tc>
          <w:tcPr>
            <w:tcW w:w="94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0DFDBEE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pT1b</w:t>
            </w:r>
          </w:p>
        </w:tc>
        <w:tc>
          <w:tcPr>
            <w:tcW w:w="94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050BE2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N0</w:t>
            </w:r>
          </w:p>
        </w:tc>
        <w:tc>
          <w:tcPr>
            <w:tcW w:w="94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7A5AF72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M0</w:t>
            </w:r>
          </w:p>
        </w:tc>
        <w:tc>
          <w:tcPr>
            <w:tcW w:w="73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A489A29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ⅠA2</w:t>
            </w:r>
          </w:p>
        </w:tc>
        <w:tc>
          <w:tcPr>
            <w:tcW w:w="1555" w:type="dxa"/>
            <w:tcBorders>
              <w:top w:val="nil"/>
              <w:bottom w:val="nil"/>
            </w:tcBorders>
            <w:vAlign w:val="center"/>
          </w:tcPr>
          <w:p w14:paraId="5DC5AB6B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val="en-US" w:eastAsia="zh-CN"/>
              </w:rPr>
              <w:t>EGFR 19del</w:t>
            </w:r>
          </w:p>
        </w:tc>
      </w:tr>
      <w:tr w14:paraId="324F3A4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060" w:type="dxa"/>
            <w:tcBorders>
              <w:top w:val="nil"/>
              <w:bottom w:val="nil"/>
            </w:tcBorders>
          </w:tcPr>
          <w:p w14:paraId="74FB2B79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val="en-US" w:eastAsia="zh-CN"/>
              </w:rPr>
            </w:pPr>
          </w:p>
        </w:tc>
        <w:tc>
          <w:tcPr>
            <w:tcW w:w="94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D5D01F0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Female</w:t>
            </w:r>
          </w:p>
        </w:tc>
        <w:tc>
          <w:tcPr>
            <w:tcW w:w="94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4204615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40</w:t>
            </w:r>
          </w:p>
        </w:tc>
        <w:tc>
          <w:tcPr>
            <w:tcW w:w="94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52D4AB5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LC</w:t>
            </w:r>
          </w:p>
        </w:tc>
        <w:tc>
          <w:tcPr>
            <w:tcW w:w="94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5392AD4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Lung</w:t>
            </w:r>
          </w:p>
        </w:tc>
        <w:tc>
          <w:tcPr>
            <w:tcW w:w="94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D2CC0DC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pT1b</w:t>
            </w:r>
          </w:p>
        </w:tc>
        <w:tc>
          <w:tcPr>
            <w:tcW w:w="94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8EF9A74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N0</w:t>
            </w:r>
          </w:p>
        </w:tc>
        <w:tc>
          <w:tcPr>
            <w:tcW w:w="94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B052883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M0</w:t>
            </w:r>
          </w:p>
        </w:tc>
        <w:tc>
          <w:tcPr>
            <w:tcW w:w="73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FEFF14B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ⅠA2</w:t>
            </w:r>
          </w:p>
        </w:tc>
        <w:tc>
          <w:tcPr>
            <w:tcW w:w="1555" w:type="dxa"/>
            <w:tcBorders>
              <w:top w:val="nil"/>
              <w:bottom w:val="nil"/>
            </w:tcBorders>
            <w:vAlign w:val="center"/>
          </w:tcPr>
          <w:p w14:paraId="1A1BD264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val="en-US" w:eastAsia="zh-CN"/>
              </w:rPr>
              <w:t>EGFR L858R</w:t>
            </w:r>
          </w:p>
        </w:tc>
      </w:tr>
      <w:tr w14:paraId="67900FC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060" w:type="dxa"/>
          </w:tcPr>
          <w:p w14:paraId="00A60226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val="en-US" w:eastAsia="zh-CN"/>
              </w:rPr>
              <w:t>LCO1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3C8A33D6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Female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1CF378BA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56</w:t>
            </w:r>
          </w:p>
        </w:tc>
        <w:tc>
          <w:tcPr>
            <w:tcW w:w="948" w:type="dxa"/>
            <w:shd w:val="clear" w:color="auto" w:fill="auto"/>
            <w:noWrap/>
            <w:vAlign w:val="center"/>
          </w:tcPr>
          <w:p w14:paraId="436B4532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LC</w:t>
            </w:r>
          </w:p>
        </w:tc>
        <w:tc>
          <w:tcPr>
            <w:tcW w:w="949" w:type="dxa"/>
            <w:shd w:val="clear" w:color="auto" w:fill="auto"/>
            <w:vAlign w:val="center"/>
          </w:tcPr>
          <w:p w14:paraId="13B39124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Lung</w:t>
            </w:r>
          </w:p>
        </w:tc>
        <w:tc>
          <w:tcPr>
            <w:tcW w:w="947" w:type="dxa"/>
            <w:shd w:val="clear" w:color="auto" w:fill="auto"/>
            <w:noWrap/>
            <w:vAlign w:val="center"/>
          </w:tcPr>
          <w:p w14:paraId="6AD3C999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pT2a</w:t>
            </w:r>
          </w:p>
        </w:tc>
        <w:tc>
          <w:tcPr>
            <w:tcW w:w="945" w:type="dxa"/>
            <w:shd w:val="clear" w:color="auto" w:fill="auto"/>
            <w:vAlign w:val="center"/>
          </w:tcPr>
          <w:p w14:paraId="59E9E346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N0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7CC0D575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M0</w:t>
            </w:r>
          </w:p>
        </w:tc>
        <w:tc>
          <w:tcPr>
            <w:tcW w:w="738" w:type="dxa"/>
            <w:shd w:val="clear" w:color="auto" w:fill="auto"/>
            <w:vAlign w:val="center"/>
          </w:tcPr>
          <w:p w14:paraId="0CC9F254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ⅠB</w:t>
            </w:r>
          </w:p>
        </w:tc>
        <w:tc>
          <w:tcPr>
            <w:tcW w:w="1555" w:type="dxa"/>
            <w:vAlign w:val="center"/>
          </w:tcPr>
          <w:p w14:paraId="78845D23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val="en-US" w:eastAsia="zh-CN"/>
              </w:rPr>
              <w:t>EGFR 19del</w:t>
            </w:r>
          </w:p>
        </w:tc>
      </w:tr>
      <w:tr w14:paraId="24D4C88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060" w:type="dxa"/>
          </w:tcPr>
          <w:p w14:paraId="717EBC3D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val="en-US" w:eastAsia="zh-CN"/>
              </w:rPr>
              <w:t>LCO2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56C2E01E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val="en-US" w:eastAsia="zh-CN"/>
              </w:rPr>
              <w:t>Fem</w:t>
            </w: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ale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0D1CB837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7</w:t>
            </w: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val="en-US" w:eastAsia="zh-CN"/>
              </w:rPr>
              <w:t>8</w:t>
            </w:r>
          </w:p>
        </w:tc>
        <w:tc>
          <w:tcPr>
            <w:tcW w:w="948" w:type="dxa"/>
            <w:shd w:val="clear" w:color="auto" w:fill="auto"/>
            <w:noWrap/>
            <w:vAlign w:val="center"/>
          </w:tcPr>
          <w:p w14:paraId="21D3DD3D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LC</w:t>
            </w:r>
          </w:p>
        </w:tc>
        <w:tc>
          <w:tcPr>
            <w:tcW w:w="949" w:type="dxa"/>
            <w:shd w:val="clear" w:color="auto" w:fill="auto"/>
            <w:vAlign w:val="center"/>
          </w:tcPr>
          <w:p w14:paraId="10C14DE0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Lung</w:t>
            </w:r>
          </w:p>
        </w:tc>
        <w:tc>
          <w:tcPr>
            <w:tcW w:w="947" w:type="dxa"/>
            <w:shd w:val="clear" w:color="auto" w:fill="auto"/>
            <w:noWrap/>
            <w:vAlign w:val="center"/>
          </w:tcPr>
          <w:p w14:paraId="62D5486A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cT4</w:t>
            </w:r>
          </w:p>
        </w:tc>
        <w:tc>
          <w:tcPr>
            <w:tcW w:w="945" w:type="dxa"/>
            <w:shd w:val="clear" w:color="auto" w:fill="auto"/>
            <w:vAlign w:val="center"/>
          </w:tcPr>
          <w:p w14:paraId="2B47F3A2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N2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025A61A0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M1c</w:t>
            </w:r>
          </w:p>
        </w:tc>
        <w:tc>
          <w:tcPr>
            <w:tcW w:w="738" w:type="dxa"/>
            <w:shd w:val="clear" w:color="auto" w:fill="auto"/>
            <w:vAlign w:val="center"/>
          </w:tcPr>
          <w:p w14:paraId="605FED72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Ⅳb</w:t>
            </w:r>
          </w:p>
        </w:tc>
        <w:tc>
          <w:tcPr>
            <w:tcW w:w="1555" w:type="dxa"/>
            <w:vAlign w:val="center"/>
          </w:tcPr>
          <w:p w14:paraId="098A0013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val="en-US" w:eastAsia="zh-CN"/>
              </w:rPr>
              <w:t>EGFR 19del</w:t>
            </w:r>
          </w:p>
        </w:tc>
      </w:tr>
      <w:tr w14:paraId="168DD41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060" w:type="dxa"/>
          </w:tcPr>
          <w:p w14:paraId="2A336F55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val="en-US" w:eastAsia="zh-CN"/>
              </w:rPr>
              <w:t>LCO3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3097C0E2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val="en-US" w:eastAsia="zh-CN"/>
              </w:rPr>
              <w:t>M</w:t>
            </w: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ale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48CF5A45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7</w:t>
            </w: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val="en-US" w:eastAsia="zh-CN"/>
              </w:rPr>
              <w:t>6</w:t>
            </w:r>
          </w:p>
        </w:tc>
        <w:tc>
          <w:tcPr>
            <w:tcW w:w="948" w:type="dxa"/>
            <w:shd w:val="clear" w:color="auto" w:fill="auto"/>
            <w:noWrap/>
            <w:vAlign w:val="center"/>
          </w:tcPr>
          <w:p w14:paraId="55C6DD6F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LC</w:t>
            </w:r>
          </w:p>
        </w:tc>
        <w:tc>
          <w:tcPr>
            <w:tcW w:w="949" w:type="dxa"/>
            <w:shd w:val="clear" w:color="auto" w:fill="auto"/>
            <w:vAlign w:val="center"/>
          </w:tcPr>
          <w:p w14:paraId="6585CB02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Lung</w:t>
            </w:r>
          </w:p>
        </w:tc>
        <w:tc>
          <w:tcPr>
            <w:tcW w:w="947" w:type="dxa"/>
            <w:shd w:val="clear" w:color="auto" w:fill="auto"/>
            <w:noWrap/>
            <w:vAlign w:val="center"/>
          </w:tcPr>
          <w:p w14:paraId="58CA0B54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pT2a</w:t>
            </w:r>
          </w:p>
        </w:tc>
        <w:tc>
          <w:tcPr>
            <w:tcW w:w="945" w:type="dxa"/>
            <w:shd w:val="clear" w:color="auto" w:fill="auto"/>
            <w:vAlign w:val="center"/>
          </w:tcPr>
          <w:p w14:paraId="5A217C2B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N</w:t>
            </w: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val="en-US" w:eastAsia="zh-CN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51A5519D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M</w:t>
            </w: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val="en-US" w:eastAsia="zh-CN"/>
              </w:rPr>
              <w:t>0</w:t>
            </w:r>
          </w:p>
        </w:tc>
        <w:tc>
          <w:tcPr>
            <w:tcW w:w="738" w:type="dxa"/>
            <w:shd w:val="clear" w:color="auto" w:fill="auto"/>
            <w:vAlign w:val="center"/>
          </w:tcPr>
          <w:p w14:paraId="4E38E5A0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ⅠB</w:t>
            </w:r>
          </w:p>
        </w:tc>
        <w:tc>
          <w:tcPr>
            <w:tcW w:w="1555" w:type="dxa"/>
            <w:vAlign w:val="center"/>
          </w:tcPr>
          <w:p w14:paraId="745C620B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val="en-US" w:eastAsia="zh-CN"/>
              </w:rPr>
              <w:t>EGFR 19del</w:t>
            </w:r>
          </w:p>
        </w:tc>
      </w:tr>
      <w:tr w14:paraId="1F0A197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060" w:type="dxa"/>
          </w:tcPr>
          <w:p w14:paraId="2AEAB694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</w:p>
        </w:tc>
        <w:tc>
          <w:tcPr>
            <w:tcW w:w="946" w:type="dxa"/>
            <w:shd w:val="clear" w:color="auto" w:fill="auto"/>
            <w:vAlign w:val="center"/>
          </w:tcPr>
          <w:p w14:paraId="38B9F249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Female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5090BA81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74</w:t>
            </w:r>
          </w:p>
        </w:tc>
        <w:tc>
          <w:tcPr>
            <w:tcW w:w="948" w:type="dxa"/>
            <w:shd w:val="clear" w:color="auto" w:fill="auto"/>
            <w:noWrap/>
            <w:vAlign w:val="center"/>
          </w:tcPr>
          <w:p w14:paraId="5B4FCB7E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LC</w:t>
            </w:r>
          </w:p>
        </w:tc>
        <w:tc>
          <w:tcPr>
            <w:tcW w:w="949" w:type="dxa"/>
            <w:shd w:val="clear" w:color="auto" w:fill="auto"/>
            <w:vAlign w:val="center"/>
          </w:tcPr>
          <w:p w14:paraId="3A9F4E75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Lung</w:t>
            </w:r>
          </w:p>
        </w:tc>
        <w:tc>
          <w:tcPr>
            <w:tcW w:w="947" w:type="dxa"/>
            <w:shd w:val="clear" w:color="auto" w:fill="auto"/>
            <w:noWrap/>
            <w:vAlign w:val="center"/>
          </w:tcPr>
          <w:p w14:paraId="0C91BC51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pT2a</w:t>
            </w:r>
          </w:p>
        </w:tc>
        <w:tc>
          <w:tcPr>
            <w:tcW w:w="945" w:type="dxa"/>
            <w:shd w:val="clear" w:color="auto" w:fill="auto"/>
            <w:vAlign w:val="center"/>
          </w:tcPr>
          <w:p w14:paraId="4DF232C9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N2a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5F932E2C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M0</w:t>
            </w:r>
          </w:p>
        </w:tc>
        <w:tc>
          <w:tcPr>
            <w:tcW w:w="738" w:type="dxa"/>
            <w:shd w:val="clear" w:color="auto" w:fill="auto"/>
            <w:vAlign w:val="center"/>
          </w:tcPr>
          <w:p w14:paraId="2C5F3011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Ⅲa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11875F24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val="en-US" w:eastAsia="zh-CN"/>
              </w:rPr>
              <w:t>EGFR 19del</w:t>
            </w:r>
          </w:p>
        </w:tc>
      </w:tr>
      <w:tr w14:paraId="271EBEA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060" w:type="dxa"/>
          </w:tcPr>
          <w:p w14:paraId="6D9FE7B6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</w:p>
        </w:tc>
        <w:tc>
          <w:tcPr>
            <w:tcW w:w="946" w:type="dxa"/>
            <w:shd w:val="clear" w:color="auto" w:fill="auto"/>
            <w:vAlign w:val="center"/>
          </w:tcPr>
          <w:p w14:paraId="2806418D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Female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130D870E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61</w:t>
            </w:r>
          </w:p>
        </w:tc>
        <w:tc>
          <w:tcPr>
            <w:tcW w:w="948" w:type="dxa"/>
            <w:shd w:val="clear" w:color="auto" w:fill="auto"/>
            <w:noWrap/>
            <w:vAlign w:val="center"/>
          </w:tcPr>
          <w:p w14:paraId="0902ECD8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LC</w:t>
            </w:r>
          </w:p>
        </w:tc>
        <w:tc>
          <w:tcPr>
            <w:tcW w:w="949" w:type="dxa"/>
            <w:shd w:val="clear" w:color="auto" w:fill="auto"/>
            <w:vAlign w:val="center"/>
          </w:tcPr>
          <w:p w14:paraId="7CC295E2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Lung</w:t>
            </w:r>
          </w:p>
        </w:tc>
        <w:tc>
          <w:tcPr>
            <w:tcW w:w="947" w:type="dxa"/>
            <w:shd w:val="clear" w:color="auto" w:fill="auto"/>
            <w:noWrap/>
            <w:vAlign w:val="center"/>
          </w:tcPr>
          <w:p w14:paraId="4FFCEAFF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pT1b</w:t>
            </w:r>
          </w:p>
        </w:tc>
        <w:tc>
          <w:tcPr>
            <w:tcW w:w="945" w:type="dxa"/>
            <w:shd w:val="clear" w:color="auto" w:fill="auto"/>
            <w:vAlign w:val="center"/>
          </w:tcPr>
          <w:p w14:paraId="34D0280E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N0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309D7EBF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M0</w:t>
            </w:r>
          </w:p>
        </w:tc>
        <w:tc>
          <w:tcPr>
            <w:tcW w:w="738" w:type="dxa"/>
            <w:shd w:val="clear" w:color="auto" w:fill="auto"/>
            <w:vAlign w:val="center"/>
          </w:tcPr>
          <w:p w14:paraId="2514412D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ⅠA2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62439A29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val="en-US" w:eastAsia="zh-CN"/>
              </w:rPr>
              <w:t>EGFR 19del</w:t>
            </w:r>
          </w:p>
        </w:tc>
      </w:tr>
      <w:tr w14:paraId="72BB3FF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060" w:type="dxa"/>
            <w:tcBorders>
              <w:bottom w:val="nil"/>
            </w:tcBorders>
          </w:tcPr>
          <w:p w14:paraId="6BA90EF2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</w:p>
        </w:tc>
        <w:tc>
          <w:tcPr>
            <w:tcW w:w="946" w:type="dxa"/>
            <w:tcBorders>
              <w:bottom w:val="nil"/>
            </w:tcBorders>
            <w:shd w:val="clear" w:color="auto" w:fill="auto"/>
            <w:vAlign w:val="center"/>
          </w:tcPr>
          <w:p w14:paraId="2BE222A5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Female</w:t>
            </w:r>
          </w:p>
        </w:tc>
        <w:tc>
          <w:tcPr>
            <w:tcW w:w="946" w:type="dxa"/>
            <w:tcBorders>
              <w:bottom w:val="nil"/>
            </w:tcBorders>
            <w:shd w:val="clear" w:color="auto" w:fill="auto"/>
            <w:vAlign w:val="center"/>
          </w:tcPr>
          <w:p w14:paraId="1D57E145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75</w:t>
            </w:r>
          </w:p>
        </w:tc>
        <w:tc>
          <w:tcPr>
            <w:tcW w:w="948" w:type="dxa"/>
            <w:tcBorders>
              <w:bottom w:val="nil"/>
            </w:tcBorders>
            <w:shd w:val="clear" w:color="auto" w:fill="auto"/>
            <w:noWrap/>
            <w:vAlign w:val="center"/>
          </w:tcPr>
          <w:p w14:paraId="4F69D8ED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LC</w:t>
            </w:r>
          </w:p>
        </w:tc>
        <w:tc>
          <w:tcPr>
            <w:tcW w:w="949" w:type="dxa"/>
            <w:tcBorders>
              <w:bottom w:val="nil"/>
            </w:tcBorders>
            <w:shd w:val="clear" w:color="auto" w:fill="auto"/>
            <w:vAlign w:val="center"/>
          </w:tcPr>
          <w:p w14:paraId="4FB8CEA5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Lung</w:t>
            </w:r>
          </w:p>
        </w:tc>
        <w:tc>
          <w:tcPr>
            <w:tcW w:w="947" w:type="dxa"/>
            <w:tcBorders>
              <w:bottom w:val="nil"/>
            </w:tcBorders>
            <w:shd w:val="clear" w:color="auto" w:fill="auto"/>
            <w:noWrap/>
            <w:vAlign w:val="center"/>
          </w:tcPr>
          <w:p w14:paraId="7FDC685A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cT2b</w:t>
            </w:r>
          </w:p>
        </w:tc>
        <w:tc>
          <w:tcPr>
            <w:tcW w:w="945" w:type="dxa"/>
            <w:tcBorders>
              <w:bottom w:val="nil"/>
            </w:tcBorders>
            <w:shd w:val="clear" w:color="auto" w:fill="auto"/>
            <w:vAlign w:val="center"/>
          </w:tcPr>
          <w:p w14:paraId="459C51C9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N1</w:t>
            </w:r>
          </w:p>
        </w:tc>
        <w:tc>
          <w:tcPr>
            <w:tcW w:w="946" w:type="dxa"/>
            <w:tcBorders>
              <w:bottom w:val="nil"/>
            </w:tcBorders>
            <w:shd w:val="clear" w:color="auto" w:fill="auto"/>
            <w:vAlign w:val="center"/>
          </w:tcPr>
          <w:p w14:paraId="18FA670F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M1</w:t>
            </w:r>
          </w:p>
        </w:tc>
        <w:tc>
          <w:tcPr>
            <w:tcW w:w="738" w:type="dxa"/>
            <w:tcBorders>
              <w:bottom w:val="nil"/>
            </w:tcBorders>
            <w:shd w:val="clear" w:color="auto" w:fill="auto"/>
            <w:vAlign w:val="center"/>
          </w:tcPr>
          <w:p w14:paraId="59507886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ⅣA</w:t>
            </w:r>
          </w:p>
        </w:tc>
        <w:tc>
          <w:tcPr>
            <w:tcW w:w="1555" w:type="dxa"/>
            <w:tcBorders>
              <w:bottom w:val="nil"/>
            </w:tcBorders>
            <w:shd w:val="clear" w:color="auto" w:fill="auto"/>
            <w:vAlign w:val="center"/>
          </w:tcPr>
          <w:p w14:paraId="130799AC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val="en-US" w:eastAsia="zh-CN"/>
              </w:rPr>
              <w:t>EGFR 19del</w:t>
            </w:r>
          </w:p>
        </w:tc>
      </w:tr>
      <w:tr w14:paraId="3A83047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060" w:type="dxa"/>
            <w:tcBorders>
              <w:top w:val="nil"/>
              <w:bottom w:val="nil"/>
            </w:tcBorders>
          </w:tcPr>
          <w:p w14:paraId="12EABC33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</w:p>
        </w:tc>
        <w:tc>
          <w:tcPr>
            <w:tcW w:w="94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DE60040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Female</w:t>
            </w:r>
          </w:p>
        </w:tc>
        <w:tc>
          <w:tcPr>
            <w:tcW w:w="94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BA49D25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81</w:t>
            </w:r>
          </w:p>
        </w:tc>
        <w:tc>
          <w:tcPr>
            <w:tcW w:w="94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52D850E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LC</w:t>
            </w:r>
          </w:p>
        </w:tc>
        <w:tc>
          <w:tcPr>
            <w:tcW w:w="94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443EA1E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Lung</w:t>
            </w:r>
          </w:p>
        </w:tc>
        <w:tc>
          <w:tcPr>
            <w:tcW w:w="94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C792A7C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pT2a</w:t>
            </w:r>
          </w:p>
        </w:tc>
        <w:tc>
          <w:tcPr>
            <w:tcW w:w="94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F5FA99F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N0</w:t>
            </w:r>
          </w:p>
        </w:tc>
        <w:tc>
          <w:tcPr>
            <w:tcW w:w="94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3FAF2AE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M0</w:t>
            </w:r>
          </w:p>
        </w:tc>
        <w:tc>
          <w:tcPr>
            <w:tcW w:w="73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D3CE6B6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ⅠB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6EFCB56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val="en-US" w:eastAsia="zh-CN"/>
              </w:rPr>
              <w:t>EGFR 19del</w:t>
            </w:r>
          </w:p>
        </w:tc>
      </w:tr>
      <w:tr w14:paraId="34F5660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060" w:type="dxa"/>
            <w:tcBorders>
              <w:top w:val="nil"/>
              <w:bottom w:val="nil"/>
            </w:tcBorders>
            <w:shd w:val="clear" w:color="auto" w:fill="auto"/>
          </w:tcPr>
          <w:p w14:paraId="2DD6E519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</w:p>
        </w:tc>
        <w:tc>
          <w:tcPr>
            <w:tcW w:w="94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6D7314D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Female</w:t>
            </w:r>
          </w:p>
        </w:tc>
        <w:tc>
          <w:tcPr>
            <w:tcW w:w="94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88B408B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61</w:t>
            </w:r>
          </w:p>
        </w:tc>
        <w:tc>
          <w:tcPr>
            <w:tcW w:w="94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1381213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LC</w:t>
            </w:r>
          </w:p>
        </w:tc>
        <w:tc>
          <w:tcPr>
            <w:tcW w:w="94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F117A3E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Lung</w:t>
            </w:r>
          </w:p>
        </w:tc>
        <w:tc>
          <w:tcPr>
            <w:tcW w:w="94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C8B83FF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T4</w:t>
            </w:r>
          </w:p>
        </w:tc>
        <w:tc>
          <w:tcPr>
            <w:tcW w:w="94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F53C7EC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N0</w:t>
            </w:r>
          </w:p>
        </w:tc>
        <w:tc>
          <w:tcPr>
            <w:tcW w:w="94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C296CFF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M1</w:t>
            </w:r>
          </w:p>
        </w:tc>
        <w:tc>
          <w:tcPr>
            <w:tcW w:w="73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C473852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Ⅳ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52D2BFB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val="en-US" w:eastAsia="zh-CN"/>
              </w:rPr>
              <w:t>EGFR 19del</w:t>
            </w:r>
          </w:p>
        </w:tc>
      </w:tr>
      <w:tr w14:paraId="0F1493F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060" w:type="dxa"/>
            <w:tcBorders>
              <w:top w:val="nil"/>
              <w:bottom w:val="nil"/>
            </w:tcBorders>
            <w:shd w:val="clear" w:color="auto" w:fill="auto"/>
          </w:tcPr>
          <w:p w14:paraId="25332C41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</w:p>
        </w:tc>
        <w:tc>
          <w:tcPr>
            <w:tcW w:w="94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CB182F6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Male</w:t>
            </w:r>
          </w:p>
        </w:tc>
        <w:tc>
          <w:tcPr>
            <w:tcW w:w="94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0F9E7D7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66</w:t>
            </w:r>
          </w:p>
        </w:tc>
        <w:tc>
          <w:tcPr>
            <w:tcW w:w="94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E400017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LC</w:t>
            </w:r>
          </w:p>
        </w:tc>
        <w:tc>
          <w:tcPr>
            <w:tcW w:w="94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DEC304A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Lung</w:t>
            </w:r>
          </w:p>
        </w:tc>
        <w:tc>
          <w:tcPr>
            <w:tcW w:w="94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90564D7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pT1b</w:t>
            </w:r>
          </w:p>
        </w:tc>
        <w:tc>
          <w:tcPr>
            <w:tcW w:w="94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EFA83C4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N0</w:t>
            </w:r>
          </w:p>
        </w:tc>
        <w:tc>
          <w:tcPr>
            <w:tcW w:w="94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B9DD31E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M0</w:t>
            </w:r>
          </w:p>
        </w:tc>
        <w:tc>
          <w:tcPr>
            <w:tcW w:w="73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0B8E25D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ⅠA2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1F77302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val="en-US" w:eastAsia="zh-CN"/>
              </w:rPr>
              <w:t>EGFR 19del</w:t>
            </w:r>
          </w:p>
        </w:tc>
      </w:tr>
      <w:tr w14:paraId="6FE3789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060" w:type="dxa"/>
            <w:tcBorders>
              <w:top w:val="nil"/>
              <w:bottom w:val="single" w:color="auto" w:sz="12" w:space="0"/>
            </w:tcBorders>
            <w:shd w:val="clear" w:color="auto" w:fill="auto"/>
          </w:tcPr>
          <w:p w14:paraId="2FDAA3C8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</w:p>
        </w:tc>
        <w:tc>
          <w:tcPr>
            <w:tcW w:w="946" w:type="dxa"/>
            <w:tcBorders>
              <w:top w:val="nil"/>
              <w:bottom w:val="single" w:color="auto" w:sz="12" w:space="0"/>
            </w:tcBorders>
            <w:shd w:val="clear" w:color="auto" w:fill="auto"/>
            <w:vAlign w:val="center"/>
          </w:tcPr>
          <w:p w14:paraId="6CE9D52E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Male</w:t>
            </w:r>
          </w:p>
        </w:tc>
        <w:tc>
          <w:tcPr>
            <w:tcW w:w="946" w:type="dxa"/>
            <w:tcBorders>
              <w:top w:val="nil"/>
              <w:bottom w:val="single" w:color="auto" w:sz="12" w:space="0"/>
            </w:tcBorders>
            <w:shd w:val="clear" w:color="auto" w:fill="auto"/>
            <w:vAlign w:val="center"/>
          </w:tcPr>
          <w:p w14:paraId="61A43594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73</w:t>
            </w:r>
          </w:p>
        </w:tc>
        <w:tc>
          <w:tcPr>
            <w:tcW w:w="948" w:type="dxa"/>
            <w:tcBorders>
              <w:top w:val="nil"/>
              <w:bottom w:val="single" w:color="auto" w:sz="12" w:space="0"/>
            </w:tcBorders>
            <w:shd w:val="clear" w:color="auto" w:fill="auto"/>
            <w:noWrap/>
            <w:vAlign w:val="center"/>
          </w:tcPr>
          <w:p w14:paraId="73A84FF2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LC</w:t>
            </w:r>
          </w:p>
        </w:tc>
        <w:tc>
          <w:tcPr>
            <w:tcW w:w="949" w:type="dxa"/>
            <w:tcBorders>
              <w:top w:val="nil"/>
              <w:bottom w:val="single" w:color="auto" w:sz="12" w:space="0"/>
            </w:tcBorders>
            <w:shd w:val="clear" w:color="auto" w:fill="auto"/>
            <w:vAlign w:val="center"/>
          </w:tcPr>
          <w:p w14:paraId="4C2986DC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Lung</w:t>
            </w:r>
          </w:p>
        </w:tc>
        <w:tc>
          <w:tcPr>
            <w:tcW w:w="947" w:type="dxa"/>
            <w:tcBorders>
              <w:top w:val="nil"/>
              <w:bottom w:val="single" w:color="auto" w:sz="12" w:space="0"/>
            </w:tcBorders>
            <w:shd w:val="clear" w:color="auto" w:fill="auto"/>
            <w:noWrap/>
            <w:vAlign w:val="center"/>
          </w:tcPr>
          <w:p w14:paraId="7027727F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pT1b</w:t>
            </w:r>
          </w:p>
        </w:tc>
        <w:tc>
          <w:tcPr>
            <w:tcW w:w="945" w:type="dxa"/>
            <w:tcBorders>
              <w:top w:val="nil"/>
              <w:bottom w:val="single" w:color="auto" w:sz="12" w:space="0"/>
            </w:tcBorders>
            <w:shd w:val="clear" w:color="auto" w:fill="auto"/>
            <w:vAlign w:val="center"/>
          </w:tcPr>
          <w:p w14:paraId="34606467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N0</w:t>
            </w:r>
          </w:p>
        </w:tc>
        <w:tc>
          <w:tcPr>
            <w:tcW w:w="946" w:type="dxa"/>
            <w:tcBorders>
              <w:top w:val="nil"/>
              <w:bottom w:val="single" w:color="auto" w:sz="12" w:space="0"/>
            </w:tcBorders>
            <w:shd w:val="clear" w:color="auto" w:fill="auto"/>
            <w:vAlign w:val="center"/>
          </w:tcPr>
          <w:p w14:paraId="70F89D67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M0</w:t>
            </w:r>
          </w:p>
        </w:tc>
        <w:tc>
          <w:tcPr>
            <w:tcW w:w="738" w:type="dxa"/>
            <w:tcBorders>
              <w:top w:val="nil"/>
              <w:bottom w:val="single" w:color="auto" w:sz="12" w:space="0"/>
            </w:tcBorders>
            <w:shd w:val="clear" w:color="auto" w:fill="auto"/>
            <w:vAlign w:val="center"/>
          </w:tcPr>
          <w:p w14:paraId="0CBB7E65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  <w:t>ⅠA2</w:t>
            </w:r>
          </w:p>
        </w:tc>
        <w:tc>
          <w:tcPr>
            <w:tcW w:w="1555" w:type="dxa"/>
            <w:tcBorders>
              <w:top w:val="nil"/>
              <w:bottom w:val="single" w:color="auto" w:sz="12" w:space="0"/>
            </w:tcBorders>
            <w:shd w:val="clear" w:color="auto" w:fill="auto"/>
            <w:vAlign w:val="center"/>
          </w:tcPr>
          <w:p w14:paraId="107E752F">
            <w:pPr>
              <w:widowControl/>
              <w:autoSpaceDE/>
              <w:autoSpaceDN/>
              <w:spacing w:line="360" w:lineRule="auto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bCs w:val="0"/>
                <w:color w:val="000000"/>
                <w:lang w:val="en-US" w:eastAsia="zh-CN"/>
              </w:rPr>
              <w:t>EGFR 19del</w:t>
            </w:r>
          </w:p>
        </w:tc>
      </w:tr>
    </w:tbl>
    <w:p w14:paraId="47C985DB">
      <w:pPr>
        <w:spacing w:line="360" w:lineRule="auto"/>
        <w:jc w:val="left"/>
        <w:rPr>
          <w:rFonts w:hint="default" w:ascii="Times New Roman" w:hAnsi="Times New Roman" w:cs="Times New Roman"/>
          <w:b/>
          <w:bCs/>
          <w:sz w:val="24"/>
          <w:szCs w:val="32"/>
          <w:lang w:val="en-US" w:eastAsia="zh-CN"/>
        </w:rPr>
      </w:pPr>
    </w:p>
    <w:p w14:paraId="6BCFFC7E">
      <w:pPr>
        <w:spacing w:line="360" w:lineRule="auto"/>
        <w:jc w:val="left"/>
        <w:rPr>
          <w:rFonts w:hint="default" w:ascii="Times New Roman" w:hAnsi="Times New Roman" w:cs="Times New Roman"/>
          <w:b/>
          <w:bCs/>
          <w:sz w:val="21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1"/>
          <w:szCs w:val="24"/>
          <w:lang w:val="en-US" w:eastAsia="zh-CN"/>
        </w:rPr>
        <w:t>Supplementa</w:t>
      </w:r>
      <w:r>
        <w:rPr>
          <w:rFonts w:hint="eastAsia" w:ascii="Times New Roman" w:hAnsi="Times New Roman" w:cs="Times New Roman"/>
          <w:b/>
          <w:bCs/>
          <w:sz w:val="21"/>
          <w:szCs w:val="24"/>
          <w:lang w:val="en-US" w:eastAsia="zh-CN"/>
        </w:rPr>
        <w:t>l</w:t>
      </w:r>
      <w:r>
        <w:rPr>
          <w:rFonts w:hint="default" w:ascii="Times New Roman" w:hAnsi="Times New Roman" w:cs="Times New Roman"/>
          <w:b/>
          <w:bCs/>
          <w:sz w:val="21"/>
          <w:szCs w:val="24"/>
          <w:lang w:val="en-US" w:eastAsia="zh-CN"/>
        </w:rPr>
        <w:t xml:space="preserve"> Table 2. The detailed information on antibodies</w:t>
      </w:r>
    </w:p>
    <w:tbl>
      <w:tblPr>
        <w:tblStyle w:val="3"/>
        <w:tblW w:w="0" w:type="auto"/>
        <w:tblInd w:w="10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01"/>
        <w:gridCol w:w="3688"/>
        <w:gridCol w:w="1915"/>
      </w:tblGrid>
      <w:tr w14:paraId="3A5115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1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 w:val="0"/>
          </w:tcPr>
          <w:p w14:paraId="5A42720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1"/>
                <w:szCs w:val="21"/>
              </w:rPr>
              <w:t>Antibodies</w:t>
            </w:r>
          </w:p>
        </w:tc>
        <w:tc>
          <w:tcPr>
            <w:tcW w:w="3688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 w:val="0"/>
          </w:tcPr>
          <w:p w14:paraId="2E5119A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1"/>
                <w:szCs w:val="21"/>
              </w:rPr>
              <w:t>Source</w:t>
            </w:r>
          </w:p>
        </w:tc>
        <w:tc>
          <w:tcPr>
            <w:tcW w:w="191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 w:val="0"/>
          </w:tcPr>
          <w:p w14:paraId="13B9293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1"/>
                <w:szCs w:val="21"/>
              </w:rPr>
              <w:t>Application</w:t>
            </w:r>
          </w:p>
        </w:tc>
      </w:tr>
      <w:tr w14:paraId="3FB9D8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noWrap w:val="0"/>
          </w:tcPr>
          <w:p w14:paraId="14CAD7D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NF-κB</w:t>
            </w:r>
          </w:p>
        </w:tc>
        <w:tc>
          <w:tcPr>
            <w:tcW w:w="3688" w:type="dxa"/>
            <w:tcBorders>
              <w:top w:val="nil"/>
              <w:left w:val="nil"/>
              <w:bottom w:val="nil"/>
              <w:right w:val="nil"/>
            </w:tcBorders>
            <w:noWrap w:val="0"/>
          </w:tcPr>
          <w:p w14:paraId="4A958F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Cell Signaling Technology (Cat #8242)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noWrap w:val="0"/>
          </w:tcPr>
          <w:p w14:paraId="656EFF0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1:1000 for WB</w:t>
            </w:r>
          </w:p>
          <w:p w14:paraId="59B04CE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1:100 for IHC</w:t>
            </w:r>
          </w:p>
          <w:p w14:paraId="4FF98E8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1:100 for Chip</w:t>
            </w:r>
          </w:p>
        </w:tc>
      </w:tr>
      <w:tr w14:paraId="118790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4" w:hRule="atLeast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noWrap w:val="0"/>
          </w:tcPr>
          <w:p w14:paraId="0E3BB0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p-NF-κB</w:t>
            </w:r>
          </w:p>
        </w:tc>
        <w:tc>
          <w:tcPr>
            <w:tcW w:w="3688" w:type="dxa"/>
            <w:tcBorders>
              <w:top w:val="nil"/>
              <w:left w:val="nil"/>
              <w:bottom w:val="nil"/>
              <w:right w:val="nil"/>
            </w:tcBorders>
            <w:noWrap w:val="0"/>
          </w:tcPr>
          <w:p w14:paraId="7CADDA4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Cell Signaling Technology (Cat #3033)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noWrap w:val="0"/>
          </w:tcPr>
          <w:p w14:paraId="36BAE7E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1: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1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00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0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 xml:space="preserve"> for 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WB</w:t>
            </w:r>
          </w:p>
          <w:p w14:paraId="28AAE72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1: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1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 xml:space="preserve">000 for 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IF</w:t>
            </w:r>
          </w:p>
        </w:tc>
      </w:tr>
      <w:tr w14:paraId="20D162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noWrap w:val="0"/>
          </w:tcPr>
          <w:p w14:paraId="33FFED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KI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67</w:t>
            </w:r>
          </w:p>
        </w:tc>
        <w:tc>
          <w:tcPr>
            <w:tcW w:w="3688" w:type="dxa"/>
            <w:tcBorders>
              <w:top w:val="nil"/>
              <w:left w:val="nil"/>
              <w:bottom w:val="nil"/>
              <w:right w:val="nil"/>
            </w:tcBorders>
            <w:noWrap w:val="0"/>
          </w:tcPr>
          <w:p w14:paraId="65715D9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ABclonal (Cat #A20018)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noWrap w:val="0"/>
          </w:tcPr>
          <w:p w14:paraId="6581A4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1: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200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 xml:space="preserve"> for 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IF</w:t>
            </w:r>
          </w:p>
        </w:tc>
      </w:tr>
      <w:tr w14:paraId="7F410E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noWrap w:val="0"/>
          </w:tcPr>
          <w:p w14:paraId="74AA37A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MDR1</w:t>
            </w:r>
          </w:p>
        </w:tc>
        <w:tc>
          <w:tcPr>
            <w:tcW w:w="3688" w:type="dxa"/>
            <w:tcBorders>
              <w:top w:val="nil"/>
              <w:left w:val="nil"/>
              <w:bottom w:val="nil"/>
              <w:right w:val="nil"/>
            </w:tcBorders>
            <w:noWrap w:val="0"/>
          </w:tcPr>
          <w:p w14:paraId="5D23D6A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Abcam (Cat #Ab71916)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noWrap w:val="0"/>
          </w:tcPr>
          <w:p w14:paraId="13AEC27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 xml:space="preserve">1:1000 for 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IF</w:t>
            </w:r>
          </w:p>
        </w:tc>
      </w:tr>
      <w:tr w14:paraId="677EF0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noWrap w:val="0"/>
          </w:tcPr>
          <w:p w14:paraId="72B551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β-actin</w:t>
            </w:r>
          </w:p>
        </w:tc>
        <w:tc>
          <w:tcPr>
            <w:tcW w:w="3688" w:type="dxa"/>
            <w:tcBorders>
              <w:top w:val="nil"/>
              <w:left w:val="nil"/>
              <w:bottom w:val="nil"/>
              <w:right w:val="nil"/>
            </w:tcBorders>
            <w:noWrap w:val="0"/>
          </w:tcPr>
          <w:p w14:paraId="1229E28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Abcam (Cat #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Ab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8146)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noWrap w:val="0"/>
          </w:tcPr>
          <w:p w14:paraId="7604DCE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1: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5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000 for WB</w:t>
            </w:r>
          </w:p>
        </w:tc>
      </w:tr>
      <w:tr w14:paraId="115098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0983087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Lamin B</w:t>
            </w:r>
          </w:p>
        </w:tc>
        <w:tc>
          <w:tcPr>
            <w:tcW w:w="3688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3150482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Proteintech (Cat #12987-1-AP)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366688C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1:5000 for WB</w:t>
            </w:r>
          </w:p>
        </w:tc>
      </w:tr>
      <w:tr w14:paraId="4F5458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noWrap w:val="0"/>
          </w:tcPr>
          <w:p w14:paraId="4B42FC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CEA</w:t>
            </w:r>
          </w:p>
        </w:tc>
        <w:tc>
          <w:tcPr>
            <w:tcW w:w="3688" w:type="dxa"/>
            <w:tcBorders>
              <w:top w:val="nil"/>
              <w:left w:val="nil"/>
              <w:bottom w:val="nil"/>
              <w:right w:val="nil"/>
            </w:tcBorders>
            <w:noWrap w:val="0"/>
          </w:tcPr>
          <w:p w14:paraId="7B26FB9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Abcam (Cat #ab133633)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noWrap w:val="0"/>
          </w:tcPr>
          <w:p w14:paraId="468E07F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1: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5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 xml:space="preserve">00 for 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IF</w:t>
            </w:r>
          </w:p>
        </w:tc>
      </w:tr>
      <w:tr w14:paraId="184A52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noWrap w:val="0"/>
          </w:tcPr>
          <w:p w14:paraId="6B67334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CK20</w:t>
            </w:r>
          </w:p>
        </w:tc>
        <w:tc>
          <w:tcPr>
            <w:tcW w:w="3688" w:type="dxa"/>
            <w:tcBorders>
              <w:top w:val="nil"/>
              <w:left w:val="nil"/>
              <w:bottom w:val="nil"/>
              <w:right w:val="nil"/>
            </w:tcBorders>
            <w:noWrap w:val="0"/>
          </w:tcPr>
          <w:p w14:paraId="07A8495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ABclonal (Cat #A1629)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noWrap w:val="0"/>
          </w:tcPr>
          <w:p w14:paraId="2E6E83B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1:1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00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 xml:space="preserve"> for 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IHC</w:t>
            </w:r>
          </w:p>
        </w:tc>
      </w:tr>
      <w:tr w14:paraId="0DB7FF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noWrap w:val="0"/>
          </w:tcPr>
          <w:p w14:paraId="7DD15BB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lang w:val="en-US" w:eastAsia="zh-CN"/>
              </w:rPr>
              <w:t>TIFF1</w:t>
            </w:r>
          </w:p>
        </w:tc>
        <w:tc>
          <w:tcPr>
            <w:tcW w:w="3688" w:type="dxa"/>
            <w:tcBorders>
              <w:top w:val="nil"/>
              <w:left w:val="nil"/>
              <w:bottom w:val="nil"/>
              <w:right w:val="nil"/>
            </w:tcBorders>
            <w:noWrap w:val="0"/>
          </w:tcPr>
          <w:p w14:paraId="3EB4225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Abcam(Cat #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Ab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204411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)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noWrap w:val="0"/>
          </w:tcPr>
          <w:p w14:paraId="14D6D7D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1: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500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 xml:space="preserve"> for 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IHC</w:t>
            </w:r>
          </w:p>
        </w:tc>
      </w:tr>
      <w:tr w14:paraId="3885DF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noWrap w:val="0"/>
          </w:tcPr>
          <w:p w14:paraId="1BD8636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lang w:val="en-US" w:eastAsia="zh-CN"/>
              </w:rPr>
              <w:t>CK7</w:t>
            </w:r>
          </w:p>
        </w:tc>
        <w:tc>
          <w:tcPr>
            <w:tcW w:w="3688" w:type="dxa"/>
            <w:tcBorders>
              <w:top w:val="nil"/>
              <w:left w:val="nil"/>
              <w:bottom w:val="nil"/>
              <w:right w:val="nil"/>
            </w:tcBorders>
            <w:noWrap w:val="0"/>
          </w:tcPr>
          <w:p w14:paraId="6B2C2CB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Abcam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(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Cat #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A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b181598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)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noWrap w:val="0"/>
          </w:tcPr>
          <w:p w14:paraId="3472228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1: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8000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 xml:space="preserve"> for 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IHC</w:t>
            </w:r>
          </w:p>
        </w:tc>
      </w:tr>
      <w:tr w14:paraId="00A1AE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noWrap w:val="0"/>
          </w:tcPr>
          <w:p w14:paraId="2B94FD1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lang w:val="en-US" w:eastAsia="zh-CN"/>
              </w:rPr>
              <w:t>ALDH1A1</w:t>
            </w:r>
          </w:p>
        </w:tc>
        <w:tc>
          <w:tcPr>
            <w:tcW w:w="3688" w:type="dxa"/>
            <w:tcBorders>
              <w:top w:val="nil"/>
              <w:left w:val="nil"/>
              <w:bottom w:val="nil"/>
              <w:right w:val="nil"/>
            </w:tcBorders>
            <w:noWrap w:val="0"/>
          </w:tcPr>
          <w:p w14:paraId="1BE976D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ABclonal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(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Cat #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 xml:space="preserve">A1802) 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noWrap w:val="0"/>
          </w:tcPr>
          <w:p w14:paraId="2C5AADA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 xml:space="preserve">1:500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for WB</w:t>
            </w:r>
          </w:p>
          <w:p w14:paraId="36E158F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1:200 for IF</w:t>
            </w:r>
          </w:p>
        </w:tc>
      </w:tr>
      <w:tr w14:paraId="3D06BB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noWrap w:val="0"/>
          </w:tcPr>
          <w:p w14:paraId="0CB9AA1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lang w:val="en-US" w:eastAsia="zh-CN"/>
              </w:rPr>
              <w:t>Caspase 3</w:t>
            </w:r>
          </w:p>
        </w:tc>
        <w:tc>
          <w:tcPr>
            <w:tcW w:w="3688" w:type="dxa"/>
            <w:tcBorders>
              <w:top w:val="nil"/>
              <w:left w:val="nil"/>
              <w:bottom w:val="nil"/>
              <w:right w:val="nil"/>
            </w:tcBorders>
            <w:noWrap w:val="0"/>
          </w:tcPr>
          <w:p w14:paraId="3F11B0F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Cell Signaling Technology (Cat #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9662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noWrap w:val="0"/>
          </w:tcPr>
          <w:p w14:paraId="10EC56C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1: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1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000 for WB</w:t>
            </w:r>
          </w:p>
        </w:tc>
      </w:tr>
      <w:tr w14:paraId="3FF667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noWrap w:val="0"/>
          </w:tcPr>
          <w:p w14:paraId="558C193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lang w:val="en-US" w:eastAsia="zh-CN"/>
              </w:rPr>
              <w:t xml:space="preserve">Cleaved Caspase-3 </w:t>
            </w:r>
          </w:p>
        </w:tc>
        <w:tc>
          <w:tcPr>
            <w:tcW w:w="3688" w:type="dxa"/>
            <w:tcBorders>
              <w:top w:val="nil"/>
              <w:left w:val="nil"/>
              <w:bottom w:val="nil"/>
              <w:right w:val="nil"/>
            </w:tcBorders>
            <w:noWrap w:val="0"/>
          </w:tcPr>
          <w:p w14:paraId="4E3101D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Cell Signaling Technology (Cat #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9664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noWrap w:val="0"/>
          </w:tcPr>
          <w:p w14:paraId="6524629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1: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1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000 for WB</w:t>
            </w:r>
          </w:p>
        </w:tc>
      </w:tr>
      <w:tr w14:paraId="698026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noWrap w:val="0"/>
          </w:tcPr>
          <w:p w14:paraId="79E8136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lang w:val="en-US" w:eastAsia="zh-CN"/>
              </w:rPr>
              <w:t>PARP</w:t>
            </w:r>
          </w:p>
        </w:tc>
        <w:tc>
          <w:tcPr>
            <w:tcW w:w="3688" w:type="dxa"/>
            <w:tcBorders>
              <w:top w:val="nil"/>
              <w:left w:val="nil"/>
              <w:bottom w:val="nil"/>
              <w:right w:val="nil"/>
            </w:tcBorders>
            <w:noWrap w:val="0"/>
          </w:tcPr>
          <w:p w14:paraId="5CE3EE8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Cell Signaling Technology (Cat #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9542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noWrap w:val="0"/>
          </w:tcPr>
          <w:p w14:paraId="245E31D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1: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1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000 for WB</w:t>
            </w:r>
          </w:p>
        </w:tc>
      </w:tr>
      <w:tr w14:paraId="4AEB80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noWrap w:val="0"/>
          </w:tcPr>
          <w:p w14:paraId="3446C00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lang w:val="en-US" w:eastAsia="zh-CN"/>
              </w:rPr>
              <w:t>Cleaved PARP</w:t>
            </w:r>
          </w:p>
        </w:tc>
        <w:tc>
          <w:tcPr>
            <w:tcW w:w="3688" w:type="dxa"/>
            <w:tcBorders>
              <w:top w:val="nil"/>
              <w:left w:val="nil"/>
              <w:bottom w:val="nil"/>
              <w:right w:val="nil"/>
            </w:tcBorders>
            <w:noWrap w:val="0"/>
          </w:tcPr>
          <w:p w14:paraId="167E775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Cell Signaling Technology (Cat #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5625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noWrap w:val="0"/>
          </w:tcPr>
          <w:p w14:paraId="268236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1: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1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000 for WB</w:t>
            </w:r>
          </w:p>
        </w:tc>
      </w:tr>
      <w:tr w14:paraId="77CB79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901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</w:tcPr>
          <w:p w14:paraId="7793133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lang w:val="en-US" w:eastAsia="zh-CN"/>
              </w:rPr>
              <w:t>PARP</w:t>
            </w:r>
          </w:p>
        </w:tc>
        <w:tc>
          <w:tcPr>
            <w:tcW w:w="3688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</w:tcPr>
          <w:p w14:paraId="03A84F5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Cell Signaling Technology (Cat #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9532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1915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</w:tcPr>
          <w:p w14:paraId="504E7DD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1: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1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000 for WB</w:t>
            </w:r>
          </w:p>
        </w:tc>
      </w:tr>
    </w:tbl>
    <w:p w14:paraId="1F3A6122">
      <w:pPr>
        <w:ind w:left="-1680" w:leftChars="-800" w:firstLine="1680" w:firstLineChars="800"/>
        <w:rPr>
          <w:rFonts w:hint="default" w:ascii="Times New Roman" w:hAnsi="Times New Roman" w:cs="Times New Roman"/>
        </w:rPr>
      </w:pPr>
    </w:p>
    <w:p w14:paraId="117BF15A">
      <w:pPr>
        <w:spacing w:line="240" w:lineRule="auto"/>
        <w:ind w:firstLine="0" w:firstLineChars="0"/>
        <w:rPr>
          <w:rFonts w:hint="default" w:ascii="Times New Roman" w:hAnsi="Times New Roman" w:cs="Times New Roman"/>
          <w:b/>
          <w:bCs/>
          <w:sz w:val="21"/>
          <w:szCs w:val="24"/>
          <w:lang w:val="en-US" w:eastAsia="zh-CN"/>
        </w:rPr>
      </w:pPr>
    </w:p>
    <w:p w14:paraId="40326405">
      <w:pPr>
        <w:spacing w:line="240" w:lineRule="auto"/>
        <w:ind w:firstLine="0" w:firstLineChars="0"/>
        <w:rPr>
          <w:rFonts w:hint="default" w:ascii="Times New Roman" w:hAnsi="Times New Roman" w:cs="Times New Roman"/>
          <w:b/>
          <w:bCs/>
          <w:sz w:val="21"/>
          <w:szCs w:val="24"/>
          <w:lang w:val="en-US" w:eastAsia="zh-CN"/>
        </w:rPr>
      </w:pPr>
    </w:p>
    <w:p w14:paraId="5FE6228D">
      <w:pPr>
        <w:spacing w:line="240" w:lineRule="auto"/>
        <w:ind w:firstLine="0" w:firstLineChars="0"/>
        <w:rPr>
          <w:rFonts w:hint="default" w:ascii="Times New Roman" w:hAnsi="Times New Roman" w:cs="Times New Roman"/>
          <w:b/>
          <w:bCs/>
          <w:sz w:val="21"/>
          <w:szCs w:val="24"/>
          <w:lang w:val="en-US" w:eastAsia="zh-CN"/>
        </w:rPr>
      </w:pPr>
    </w:p>
    <w:p w14:paraId="5C5E8077">
      <w:pPr>
        <w:spacing w:line="240" w:lineRule="auto"/>
        <w:ind w:firstLine="0" w:firstLineChars="0"/>
        <w:rPr>
          <w:rFonts w:hint="default" w:ascii="Times New Roman" w:hAnsi="Times New Roman" w:cs="Times New Roman"/>
          <w:b/>
          <w:bCs/>
          <w:sz w:val="21"/>
          <w:szCs w:val="24"/>
          <w:lang w:val="en-US" w:eastAsia="zh-CN"/>
        </w:rPr>
      </w:pPr>
    </w:p>
    <w:p w14:paraId="721EA407">
      <w:pPr>
        <w:spacing w:line="240" w:lineRule="auto"/>
        <w:jc w:val="both"/>
        <w:rPr>
          <w:rFonts w:hint="default" w:ascii="Times New Roman" w:hAnsi="Times New Roman" w:cs="Times New Roman"/>
          <w:b/>
          <w:bCs/>
          <w:sz w:val="21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1"/>
          <w:szCs w:val="24"/>
          <w:lang w:val="en-US" w:eastAsia="zh-CN"/>
        </w:rPr>
        <w:t>Supplementa</w:t>
      </w:r>
      <w:r>
        <w:rPr>
          <w:rFonts w:hint="eastAsia" w:ascii="Times New Roman" w:hAnsi="Times New Roman" w:cs="Times New Roman"/>
          <w:b/>
          <w:bCs/>
          <w:sz w:val="21"/>
          <w:szCs w:val="24"/>
          <w:lang w:val="en-US" w:eastAsia="zh-CN"/>
        </w:rPr>
        <w:t>l</w:t>
      </w:r>
      <w:r>
        <w:rPr>
          <w:rFonts w:hint="default" w:ascii="Times New Roman" w:hAnsi="Times New Roman" w:cs="Times New Roman"/>
          <w:b/>
          <w:bCs/>
          <w:sz w:val="21"/>
          <w:szCs w:val="24"/>
          <w:lang w:val="en-US" w:eastAsia="zh-CN"/>
        </w:rPr>
        <w:t xml:space="preserve"> Table 3: Target Sequences of lentivirus</w:t>
      </w:r>
    </w:p>
    <w:tbl>
      <w:tblPr>
        <w:tblStyle w:val="2"/>
        <w:tblpPr w:leftFromText="180" w:rightFromText="180" w:vertAnchor="text" w:horzAnchor="page" w:tblpX="2834" w:tblpY="645"/>
        <w:tblOverlap w:val="never"/>
        <w:tblW w:w="7037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91"/>
        <w:gridCol w:w="3946"/>
      </w:tblGrid>
      <w:tr w14:paraId="0D72AD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89288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Name</w:t>
            </w:r>
          </w:p>
        </w:tc>
        <w:tc>
          <w:tcPr>
            <w:tcW w:w="3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AA942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Target sequences</w:t>
            </w:r>
          </w:p>
        </w:tc>
      </w:tr>
      <w:tr w14:paraId="3A9C83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76AF4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Negative Control Scramble </w:t>
            </w:r>
          </w:p>
        </w:tc>
        <w:tc>
          <w:tcPr>
            <w:tcW w:w="3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73C65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TTCTCCGAACGTGTCACGT</w:t>
            </w:r>
          </w:p>
        </w:tc>
      </w:tr>
      <w:tr w14:paraId="6D272D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26093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shRELA</w:t>
            </w:r>
          </w:p>
        </w:tc>
        <w:tc>
          <w:tcPr>
            <w:tcW w:w="3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FA539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GATTGAGGAGAAACGTAAA</w:t>
            </w:r>
          </w:p>
        </w:tc>
      </w:tr>
      <w:tr w14:paraId="69DC5E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8005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shALDH1A1#1</w:t>
            </w:r>
          </w:p>
        </w:tc>
        <w:tc>
          <w:tcPr>
            <w:tcW w:w="3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6DCA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GCACCGATTTGAAGATTCAATA</w:t>
            </w:r>
          </w:p>
        </w:tc>
      </w:tr>
      <w:tr w14:paraId="746869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6111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shALDH1A1#2</w:t>
            </w:r>
          </w:p>
        </w:tc>
        <w:tc>
          <w:tcPr>
            <w:tcW w:w="3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1110FB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GCTGATTTAATCGAAAGAGAT</w:t>
            </w:r>
          </w:p>
        </w:tc>
      </w:tr>
    </w:tbl>
    <w:p w14:paraId="7FD72E77">
      <w:pPr>
        <w:rPr>
          <w:rFonts w:hint="default" w:ascii="Times New Roman" w:hAnsi="Times New Roman" w:cs="Times New Roman"/>
          <w:sz w:val="21"/>
          <w:szCs w:val="21"/>
        </w:rPr>
      </w:pPr>
    </w:p>
    <w:p w14:paraId="225AD190">
      <w:pPr>
        <w:ind w:left="-1680" w:leftChars="-800" w:firstLine="1680" w:firstLineChars="800"/>
        <w:rPr>
          <w:rFonts w:hint="default" w:ascii="Times New Roman" w:hAnsi="Times New Roman" w:cs="Times New Roman"/>
          <w:sz w:val="21"/>
          <w:szCs w:val="21"/>
        </w:rPr>
      </w:pPr>
    </w:p>
    <w:p w14:paraId="5993C73C">
      <w:pPr>
        <w:ind w:left="-1680" w:leftChars="-800" w:firstLine="1680" w:firstLineChars="800"/>
        <w:rPr>
          <w:rFonts w:hint="default" w:ascii="Times New Roman" w:hAnsi="Times New Roman" w:cs="Times New Roman"/>
          <w:sz w:val="21"/>
          <w:szCs w:val="21"/>
        </w:rPr>
      </w:pPr>
    </w:p>
    <w:p w14:paraId="2F59BA44">
      <w:pPr>
        <w:rPr>
          <w:rFonts w:hint="default" w:ascii="Times New Roman" w:hAnsi="Times New Roman" w:cs="Times New Roman"/>
          <w:sz w:val="21"/>
          <w:szCs w:val="21"/>
        </w:rPr>
      </w:pPr>
    </w:p>
    <w:p w14:paraId="70891971">
      <w:pPr>
        <w:ind w:left="-1680" w:leftChars="-800" w:firstLine="1680" w:firstLineChars="800"/>
        <w:rPr>
          <w:rFonts w:hint="default" w:ascii="Times New Roman" w:hAnsi="Times New Roman" w:cs="Times New Roman"/>
          <w:sz w:val="21"/>
          <w:szCs w:val="21"/>
        </w:rPr>
      </w:pPr>
    </w:p>
    <w:p w14:paraId="6C8F8172">
      <w:pPr>
        <w:spacing w:line="360" w:lineRule="auto"/>
        <w:rPr>
          <w:rFonts w:hint="default" w:ascii="Times New Roman" w:hAnsi="Times New Roman" w:cs="Times New Roman"/>
          <w:b/>
          <w:bCs/>
          <w:sz w:val="21"/>
          <w:szCs w:val="24"/>
          <w:lang w:val="en-US" w:eastAsia="zh-CN"/>
        </w:rPr>
      </w:pPr>
    </w:p>
    <w:p w14:paraId="6FAB0E8B">
      <w:pPr>
        <w:spacing w:line="360" w:lineRule="auto"/>
        <w:ind w:firstLine="632" w:firstLineChars="300"/>
        <w:rPr>
          <w:rFonts w:hint="default" w:ascii="Times New Roman" w:hAnsi="Times New Roman" w:cs="Times New Roman"/>
          <w:b/>
          <w:bCs/>
          <w:sz w:val="21"/>
          <w:szCs w:val="24"/>
          <w:lang w:val="en-US" w:eastAsia="zh-CN"/>
        </w:rPr>
      </w:pPr>
    </w:p>
    <w:p w14:paraId="67EA0E5D">
      <w:pPr>
        <w:spacing w:line="360" w:lineRule="auto"/>
        <w:rPr>
          <w:rFonts w:hint="default" w:ascii="Times New Roman" w:hAnsi="Times New Roman" w:cs="Times New Roman"/>
          <w:b/>
          <w:bCs/>
          <w:sz w:val="24"/>
          <w:szCs w:val="32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1"/>
          <w:szCs w:val="24"/>
          <w:lang w:val="en-US" w:eastAsia="zh-CN"/>
        </w:rPr>
        <w:t>Supplementa</w:t>
      </w:r>
      <w:r>
        <w:rPr>
          <w:rFonts w:hint="eastAsia" w:ascii="Times New Roman" w:hAnsi="Times New Roman" w:cs="Times New Roman"/>
          <w:b/>
          <w:bCs/>
          <w:sz w:val="21"/>
          <w:szCs w:val="24"/>
          <w:lang w:val="en-US" w:eastAsia="zh-CN"/>
        </w:rPr>
        <w:t>l</w:t>
      </w:r>
      <w:r>
        <w:rPr>
          <w:rFonts w:hint="default" w:ascii="Times New Roman" w:hAnsi="Times New Roman" w:cs="Times New Roman"/>
          <w:b/>
          <w:bCs/>
          <w:sz w:val="21"/>
          <w:szCs w:val="24"/>
          <w:lang w:val="en-US" w:eastAsia="zh-CN"/>
        </w:rPr>
        <w:t xml:space="preserve"> Table 4 </w:t>
      </w:r>
      <w:r>
        <w:rPr>
          <w:rFonts w:hint="default" w:ascii="Times New Roman" w:hAnsi="Times New Roman" w:cs="Times New Roman"/>
          <w:b/>
          <w:bCs/>
          <w:sz w:val="24"/>
          <w:szCs w:val="32"/>
          <w:lang w:val="en-US" w:eastAsia="zh-CN"/>
        </w:rPr>
        <w:t>:</w:t>
      </w:r>
      <w:r>
        <w:rPr>
          <w:rFonts w:hint="default" w:ascii="Times New Roman" w:hAnsi="Times New Roman" w:cs="Times New Roman"/>
          <w:b/>
          <w:bCs/>
          <w:sz w:val="21"/>
          <w:szCs w:val="24"/>
          <w:lang w:val="en-US" w:eastAsia="zh-CN"/>
        </w:rPr>
        <w:t xml:space="preserve"> The primers for ChIP-PCR</w:t>
      </w:r>
    </w:p>
    <w:tbl>
      <w:tblPr>
        <w:tblStyle w:val="2"/>
        <w:tblpPr w:leftFromText="180" w:rightFromText="180" w:vertAnchor="text" w:horzAnchor="page" w:tblpX="1372" w:tblpY="187"/>
        <w:tblOverlap w:val="never"/>
        <w:tblW w:w="887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91"/>
        <w:gridCol w:w="1778"/>
        <w:gridCol w:w="4306"/>
      </w:tblGrid>
      <w:tr w14:paraId="472A83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791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253156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Gene name </w:t>
            </w:r>
          </w:p>
        </w:tc>
        <w:tc>
          <w:tcPr>
            <w:tcW w:w="1778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2F194188"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306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505B20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Sequences</w:t>
            </w:r>
          </w:p>
        </w:tc>
      </w:tr>
      <w:tr w14:paraId="454791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791" w:type="dxa"/>
            <w:vMerge w:val="restar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A897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ALDH1A1 promoter</w:t>
            </w:r>
          </w:p>
        </w:tc>
        <w:tc>
          <w:tcPr>
            <w:tcW w:w="1778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F231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Forward</w:t>
            </w:r>
          </w:p>
        </w:tc>
        <w:tc>
          <w:tcPr>
            <w:tcW w:w="4306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123B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5’-GTCCAAACACAGAGGGAGTTG-3’</w:t>
            </w:r>
          </w:p>
        </w:tc>
      </w:tr>
      <w:tr w14:paraId="48A73A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791" w:type="dxa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69A66E9B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2AD107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Reverse</w:t>
            </w:r>
          </w:p>
        </w:tc>
        <w:tc>
          <w:tcPr>
            <w:tcW w:w="4306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16911A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5’-GTTTATTTACACGTGGCTTTAAACA-3’</w:t>
            </w:r>
          </w:p>
        </w:tc>
      </w:tr>
    </w:tbl>
    <w:p w14:paraId="47FAC004">
      <w:pPr>
        <w:spacing w:line="360" w:lineRule="auto"/>
        <w:ind w:left="638" w:leftChars="304" w:firstLine="0" w:firstLineChars="0"/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</w:pPr>
    </w:p>
    <w:p w14:paraId="4E572012">
      <w:pPr>
        <w:spacing w:line="360" w:lineRule="auto"/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  <w:t>Supplementa</w:t>
      </w: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>l</w:t>
      </w:r>
      <w:r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  <w:t xml:space="preserve"> Table 5: The sequences of primers for RT-qPCR</w:t>
      </w:r>
    </w:p>
    <w:tbl>
      <w:tblPr>
        <w:tblStyle w:val="2"/>
        <w:tblW w:w="9267" w:type="dxa"/>
        <w:tblInd w:w="-289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2"/>
        <w:gridCol w:w="2145"/>
        <w:gridCol w:w="5600"/>
      </w:tblGrid>
      <w:tr w14:paraId="7FDE960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 w:val="0"/>
            <w:vAlign w:val="top"/>
          </w:tcPr>
          <w:p w14:paraId="6E763B61">
            <w:pPr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Genes</w:t>
            </w:r>
          </w:p>
        </w:tc>
        <w:tc>
          <w:tcPr>
            <w:tcW w:w="214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 w:val="0"/>
            <w:vAlign w:val="top"/>
          </w:tcPr>
          <w:p w14:paraId="27D84704">
            <w:pPr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Accession #</w:t>
            </w:r>
          </w:p>
        </w:tc>
        <w:tc>
          <w:tcPr>
            <w:tcW w:w="560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 w:val="0"/>
            <w:vAlign w:val="top"/>
          </w:tcPr>
          <w:p w14:paraId="208C2570">
            <w:pPr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Sequences of Primers</w:t>
            </w:r>
          </w:p>
        </w:tc>
      </w:tr>
      <w:tr w14:paraId="689B49F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2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vAlign w:val="top"/>
          </w:tcPr>
          <w:p w14:paraId="6579CC79">
            <w:pPr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 xml:space="preserve">GAPDH      </w:t>
            </w:r>
          </w:p>
        </w:tc>
        <w:tc>
          <w:tcPr>
            <w:tcW w:w="2145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vAlign w:val="center"/>
          </w:tcPr>
          <w:p w14:paraId="44BDC43B">
            <w:pPr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NM_002046.7</w:t>
            </w:r>
          </w:p>
        </w:tc>
        <w:tc>
          <w:tcPr>
            <w:tcW w:w="5600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vAlign w:val="top"/>
          </w:tcPr>
          <w:p w14:paraId="3736C9E4">
            <w:pPr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Forward: 5’-AAGGTGAAGGTCGGAGTCAAC-3’</w:t>
            </w:r>
          </w:p>
          <w:p w14:paraId="0FF1E1E1">
            <w:pPr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Reverse: 5’-GGGGTCATTGATGGCAACAATA-3</w:t>
            </w:r>
          </w:p>
        </w:tc>
      </w:tr>
      <w:tr w14:paraId="2A737E7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6DAFC7A1">
            <w:pP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RELA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D5A2F2B">
            <w:pPr>
              <w:rPr>
                <w:rFonts w:hint="default" w:ascii="Times New Roman" w:hAnsi="Times New Roman" w:cs="Times New Roman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highlight w:val="none"/>
              </w:rPr>
              <w:t xml:space="preserve">NM_001145138.2 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654F0FD5">
            <w:pPr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Forward: 5’-TGTGAAGAAGCGGGACCTGGAG-3’</w:t>
            </w:r>
          </w:p>
          <w:p w14:paraId="27B29826">
            <w:pPr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Reverse: 5’-AAGCAGAGCCGCACAGCATTC-3’</w:t>
            </w:r>
          </w:p>
        </w:tc>
      </w:tr>
      <w:tr w14:paraId="0B0DFDF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3BA5C269">
            <w:pP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ABCG2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7E088D1">
            <w:pPr>
              <w:rPr>
                <w:rFonts w:hint="default" w:ascii="Times New Roman" w:hAnsi="Times New Roman" w:cs="Times New Roman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highlight w:val="none"/>
              </w:rPr>
              <w:t>NM_001257386.2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0F07822E">
            <w:pPr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Forward: 5’-GCAGCAGGTCAGAGTGTGGTTTC-3’</w:t>
            </w:r>
          </w:p>
          <w:p w14:paraId="64C74F8B">
            <w:pPr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Reverse:5’-ACTGAAGCCATGACAGCCAAGATG-3’</w:t>
            </w:r>
          </w:p>
        </w:tc>
      </w:tr>
      <w:tr w14:paraId="62F2419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5F73F0D8">
            <w:pPr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KLF4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1239436">
            <w:pPr>
              <w:rPr>
                <w:rFonts w:hint="default" w:ascii="Times New Roman" w:hAnsi="Times New Roman" w:cs="Times New Roman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highlight w:val="none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1"/>
                <w:szCs w:val="21"/>
                <w:highlight w:val="none"/>
              </w:rPr>
              <w:instrText xml:space="preserve"> HYPERLINK "https://www.ncbi.nlm.nih.gov/nuccore/NM_001314052.2" </w:instrText>
            </w:r>
            <w:r>
              <w:rPr>
                <w:rFonts w:hint="default" w:ascii="Times New Roman" w:hAnsi="Times New Roman" w:cs="Times New Roman"/>
                <w:sz w:val="21"/>
                <w:szCs w:val="21"/>
                <w:highlight w:val="none"/>
              </w:rPr>
              <w:fldChar w:fldCharType="separate"/>
            </w:r>
            <w:r>
              <w:rPr>
                <w:rFonts w:hint="default" w:ascii="Times New Roman" w:hAnsi="Times New Roman" w:cs="Times New Roman"/>
                <w:sz w:val="21"/>
                <w:szCs w:val="21"/>
                <w:highlight w:val="none"/>
              </w:rPr>
              <w:t>NM_001314052.2</w:t>
            </w:r>
            <w:r>
              <w:rPr>
                <w:rFonts w:hint="default" w:ascii="Times New Roman" w:hAnsi="Times New Roman" w:cs="Times New Roman"/>
                <w:sz w:val="21"/>
                <w:szCs w:val="21"/>
                <w:highlight w:val="none"/>
              </w:rPr>
              <w:fldChar w:fldCharType="end"/>
            </w:r>
            <w:r>
              <w:rPr>
                <w:rFonts w:hint="default" w:ascii="Times New Roman" w:hAnsi="Times New Roman" w:cs="Times New Roman"/>
                <w:sz w:val="21"/>
                <w:szCs w:val="21"/>
                <w:highlight w:val="none"/>
              </w:rPr>
              <w:t> 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6DBB7D8F">
            <w:pPr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Forward: 5’-TGACTGGGACGGCTGTGGATG-3’</w:t>
            </w:r>
          </w:p>
          <w:p w14:paraId="1AE4F903">
            <w:pPr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Reverse: 5’-CTTCATGTGTAAGGCGAGGTGGTC-3’</w:t>
            </w:r>
          </w:p>
        </w:tc>
      </w:tr>
      <w:tr w14:paraId="0574F57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38AE77B4">
            <w:pPr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EPCAM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7168DDB">
            <w:pPr>
              <w:rPr>
                <w:rFonts w:hint="default" w:ascii="Times New Roman" w:hAnsi="Times New Roman" w:cs="Times New Roman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highlight w:val="none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1"/>
                <w:szCs w:val="21"/>
                <w:highlight w:val="none"/>
              </w:rPr>
              <w:instrText xml:space="preserve"> HYPERLINK "https://www.ncbi.nlm.nih.gov/nuccore/NM_002354.3" </w:instrText>
            </w:r>
            <w:r>
              <w:rPr>
                <w:rFonts w:hint="default" w:ascii="Times New Roman" w:hAnsi="Times New Roman" w:cs="Times New Roman"/>
                <w:sz w:val="21"/>
                <w:szCs w:val="21"/>
                <w:highlight w:val="none"/>
              </w:rPr>
              <w:fldChar w:fldCharType="separate"/>
            </w:r>
            <w:r>
              <w:rPr>
                <w:rFonts w:hint="default" w:ascii="Times New Roman" w:hAnsi="Times New Roman" w:cs="Times New Roman"/>
                <w:sz w:val="21"/>
                <w:szCs w:val="21"/>
                <w:highlight w:val="none"/>
              </w:rPr>
              <w:t>NM_002354.3</w:t>
            </w:r>
            <w:r>
              <w:rPr>
                <w:rFonts w:hint="default" w:ascii="Times New Roman" w:hAnsi="Times New Roman" w:cs="Times New Roman"/>
                <w:sz w:val="21"/>
                <w:szCs w:val="21"/>
                <w:highlight w:val="none"/>
              </w:rPr>
              <w:fldChar w:fldCharType="end"/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519AA288">
            <w:pPr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Forward: 5’-AAGGCCAAGCAGTGCAACGG-3’</w:t>
            </w:r>
          </w:p>
          <w:p w14:paraId="7B73DC45">
            <w:pPr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Reverse: 5’-TCCAGTAGGTTCTCACTCGCTCAG-3’</w:t>
            </w:r>
          </w:p>
        </w:tc>
      </w:tr>
      <w:tr w14:paraId="430A8A7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6E09F65D">
            <w:pPr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SOX9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07D37A1">
            <w:pPr>
              <w:rPr>
                <w:rFonts w:hint="default" w:ascii="Times New Roman" w:hAnsi="Times New Roman" w:cs="Times New Roman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highlight w:val="none"/>
              </w:rPr>
              <w:t>NM_000346.4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6D523342">
            <w:pPr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Forward: 5’-CACACGCTGACCACGCTGAG-3’</w:t>
            </w:r>
          </w:p>
          <w:p w14:paraId="5AC8959E">
            <w:pPr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Reverse: 5’-GCTGCTGCTGCTCGCTGTAG-3’</w:t>
            </w:r>
          </w:p>
        </w:tc>
      </w:tr>
      <w:tr w14:paraId="680DC3F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23921041">
            <w:pP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CD133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BFF8DA1">
            <w:pPr>
              <w:rPr>
                <w:rFonts w:hint="default" w:ascii="Times New Roman" w:hAnsi="Times New Roman" w:cs="Times New Roman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highlight w:val="none"/>
              </w:rPr>
              <w:t xml:space="preserve">NM_001145847.2 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17E6E849">
            <w:pPr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Forward: 5’-GTGGCGTGTGCGGCTATGAC-3’</w:t>
            </w:r>
          </w:p>
          <w:p w14:paraId="2F894894">
            <w:pPr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Reverse:5’-CCAACTCCAACCATGAGGAAGACG-3’</w:t>
            </w:r>
          </w:p>
        </w:tc>
      </w:tr>
      <w:tr w14:paraId="7463E97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36CE9799">
            <w:pP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AXIN2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6ABD188">
            <w:pPr>
              <w:rPr>
                <w:rFonts w:hint="default" w:ascii="Times New Roman" w:hAnsi="Times New Roman" w:cs="Times New Roman"/>
                <w:sz w:val="21"/>
                <w:szCs w:val="21"/>
                <w:highlight w:val="yellow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highlight w:val="none"/>
              </w:rPr>
              <w:t>NM_001363813.1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2DAC8818">
            <w:pPr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Forward: 5’-CACCACCACCACCACCATTCG-3’</w:t>
            </w:r>
          </w:p>
          <w:p w14:paraId="01578A1E">
            <w:pPr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Reverse:5’-ACATGCTTCGTCGTCTGCTTGG-3’</w:t>
            </w:r>
          </w:p>
        </w:tc>
      </w:tr>
      <w:tr w14:paraId="2759CE2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68288578">
            <w:pP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ALDH1A1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92AA28F">
            <w:pPr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NM_000689.5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0B7C5121">
            <w:pP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Forward:5’-ACGCCAGACTTACCTGTCCTACTC-3’</w:t>
            </w:r>
          </w:p>
          <w:p w14:paraId="545912E8">
            <w:pP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Reverse:5’-TCTTGCCACTCACTGAATCATGCC-3’</w:t>
            </w:r>
          </w:p>
        </w:tc>
      </w:tr>
      <w:tr w14:paraId="034ADD7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2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vAlign w:val="top"/>
          </w:tcPr>
          <w:p w14:paraId="1AC9008D">
            <w:pP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NANOG</w:t>
            </w:r>
          </w:p>
        </w:tc>
        <w:tc>
          <w:tcPr>
            <w:tcW w:w="2145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vAlign w:val="center"/>
          </w:tcPr>
          <w:p w14:paraId="5715144B">
            <w:pPr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 xml:space="preserve">NM_001297698.2 </w:t>
            </w:r>
          </w:p>
        </w:tc>
        <w:tc>
          <w:tcPr>
            <w:tcW w:w="5600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vAlign w:val="top"/>
          </w:tcPr>
          <w:p w14:paraId="6C42045A">
            <w:pP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Forward:5’-AGATGCCTCACACGGAGACTG-3’</w:t>
            </w:r>
          </w:p>
          <w:p w14:paraId="389B6003">
            <w:pP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Reverse:5’-GGGTTGTTTGCCTTTGGGACTG-3’</w:t>
            </w:r>
          </w:p>
        </w:tc>
      </w:tr>
    </w:tbl>
    <w:p w14:paraId="10FD06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/>
          <w:bCs/>
          <w:color w:val="000000"/>
          <w:sz w:val="21"/>
          <w:szCs w:val="21"/>
          <w:lang w:val="en-US" w:eastAsia="zh-CN"/>
        </w:rPr>
      </w:pPr>
    </w:p>
    <w:p w14:paraId="6F8A4670">
      <w:pPr>
        <w:rPr>
          <w:rFonts w:hint="eastAsia" w:eastAsiaTheme="minorEastAsia"/>
          <w:lang w:eastAsia="zh-CN"/>
        </w:rPr>
      </w:pPr>
    </w:p>
    <w:p w14:paraId="6294369B">
      <w:pPr>
        <w:rPr>
          <w:rFonts w:hint="eastAsia" w:eastAsiaTheme="minorEastAsia"/>
          <w:lang w:eastAsia="zh-CN"/>
        </w:rPr>
      </w:pPr>
    </w:p>
    <w:p w14:paraId="604B43A6">
      <w:pPr>
        <w:rPr>
          <w:rFonts w:hint="eastAsia" w:eastAsiaTheme="minorEastAsia"/>
          <w:lang w:eastAsia="zh-CN"/>
        </w:rPr>
      </w:pPr>
    </w:p>
    <w:p w14:paraId="52B2BDAF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5711B3"/>
    <w:rsid w:val="0A670558"/>
    <w:rsid w:val="12744159"/>
    <w:rsid w:val="26944A34"/>
    <w:rsid w:val="292C2C40"/>
    <w:rsid w:val="34A57D4B"/>
    <w:rsid w:val="3DE10046"/>
    <w:rsid w:val="40F260C6"/>
    <w:rsid w:val="412F10C8"/>
    <w:rsid w:val="4E3E0B9C"/>
    <w:rsid w:val="5A4E03B9"/>
    <w:rsid w:val="60934D78"/>
    <w:rsid w:val="656C3DE9"/>
    <w:rsid w:val="6694184A"/>
    <w:rsid w:val="6D0A541D"/>
    <w:rsid w:val="703025E3"/>
    <w:rsid w:val="71ED7978"/>
    <w:rsid w:val="72516841"/>
    <w:rsid w:val="73603873"/>
    <w:rsid w:val="77352895"/>
    <w:rsid w:val="7D396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9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9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1434</Words>
  <Characters>8294</Characters>
  <Lines>0</Lines>
  <Paragraphs>0</Paragraphs>
  <TotalTime>0</TotalTime>
  <ScaleCrop>false</ScaleCrop>
  <LinksUpToDate>false</LinksUpToDate>
  <CharactersWithSpaces>9434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2024-11-22T02:49:00Z</dcterms:created>
  <dc:creator>zhanglingyu</dc:creator>
  <cp:lastModifiedBy>哎呦喂</cp:lastModifiedBy>
  <dcterms:modified xsi:type="dcterms:W3CDTF">2025-02-28T03:55:52Z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B1ACF945D78C47F18ACF79DEDB440352_12</vt:lpwstr>
  </property>
  <property fmtid="{D5CDD505-2E9C-101B-9397-08002B2CF9AE}" pid="4" name="KSOTemplateDocerSaveRecord">
    <vt:lpwstr>eyJoZGlkIjoiNzhiMWYwYjA2ZWE0YzgwY2VkOWFhZTkxM2YyNWZiNTUiLCJ1c2VySWQiOiIyNDc2MTY2MjQifQ==</vt:lpwstr>
  </property>
</Properties>
</file>