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35BEA" w14:textId="584418B0" w:rsidR="00270B39" w:rsidRPr="00EE249E" w:rsidRDefault="00270B39" w:rsidP="001010DC">
      <w:pPr>
        <w:spacing w:line="276" w:lineRule="auto"/>
        <w:jc w:val="center"/>
        <w:rPr>
          <w:rFonts w:ascii="Arial" w:hAnsi="Arial" w:cs="Arial"/>
          <w:sz w:val="44"/>
          <w:szCs w:val="44"/>
          <w:vertAlign w:val="superscript"/>
        </w:rPr>
      </w:pPr>
      <w:bookmarkStart w:id="0" w:name="_Hlk191557446"/>
      <w:bookmarkEnd w:id="0"/>
      <w:r w:rsidRPr="00EE249E">
        <w:rPr>
          <w:rFonts w:ascii="Arial" w:hAnsi="Arial" w:cs="Arial"/>
          <w:sz w:val="44"/>
          <w:szCs w:val="44"/>
          <w:vertAlign w:val="superscript"/>
        </w:rPr>
        <w:t>Supplementary Information</w:t>
      </w:r>
    </w:p>
    <w:p w14:paraId="7E70555F" w14:textId="77777777" w:rsidR="00506321" w:rsidRPr="00EE249E" w:rsidRDefault="00506321" w:rsidP="001010DC">
      <w:pPr>
        <w:spacing w:line="276" w:lineRule="auto"/>
        <w:jc w:val="center"/>
        <w:rPr>
          <w:rFonts w:ascii="Arial" w:hAnsi="Arial" w:cs="Arial"/>
          <w:sz w:val="44"/>
          <w:szCs w:val="44"/>
          <w:vertAlign w:val="superscript"/>
        </w:rPr>
      </w:pPr>
    </w:p>
    <w:p w14:paraId="00BFB6CB" w14:textId="2F703364" w:rsidR="001010DC" w:rsidRPr="00EE249E" w:rsidRDefault="001010DC" w:rsidP="001010DC">
      <w:pPr>
        <w:spacing w:line="276" w:lineRule="auto"/>
        <w:jc w:val="center"/>
        <w:rPr>
          <w:rFonts w:ascii="Arial" w:hAnsi="Arial" w:cs="Arial"/>
          <w:sz w:val="44"/>
          <w:szCs w:val="44"/>
          <w:vertAlign w:val="superscript"/>
        </w:rPr>
      </w:pPr>
      <w:r w:rsidRPr="00EE249E">
        <w:rPr>
          <w:rFonts w:ascii="Arial" w:hAnsi="Arial" w:cs="Arial"/>
          <w:sz w:val="44"/>
          <w:szCs w:val="44"/>
          <w:vertAlign w:val="superscript"/>
        </w:rPr>
        <w:t>Factor H related 2 levels dictate FHR dimer composition</w:t>
      </w:r>
    </w:p>
    <w:p w14:paraId="55D431FB" w14:textId="77777777" w:rsidR="001010DC" w:rsidRPr="00EE249E" w:rsidRDefault="001010DC" w:rsidP="001010DC">
      <w:pPr>
        <w:spacing w:line="276" w:lineRule="auto"/>
        <w:jc w:val="both"/>
        <w:rPr>
          <w:rFonts w:ascii="Arial" w:hAnsi="Arial" w:cs="Arial"/>
        </w:rPr>
      </w:pPr>
    </w:p>
    <w:p w14:paraId="1382FD9F" w14:textId="77777777" w:rsidR="00506321" w:rsidRPr="00E76D87" w:rsidRDefault="00506321" w:rsidP="001010DC">
      <w:pPr>
        <w:spacing w:line="276" w:lineRule="auto"/>
        <w:jc w:val="both"/>
        <w:rPr>
          <w:rFonts w:ascii="Arial" w:hAnsi="Arial" w:cs="Arial"/>
          <w:sz w:val="20"/>
          <w:szCs w:val="20"/>
        </w:rPr>
      </w:pPr>
    </w:p>
    <w:p w14:paraId="488E58C7" w14:textId="708E05D7" w:rsidR="001010DC" w:rsidRPr="00EE249E" w:rsidRDefault="001010DC" w:rsidP="001010DC">
      <w:pPr>
        <w:spacing w:line="276" w:lineRule="auto"/>
        <w:jc w:val="both"/>
        <w:rPr>
          <w:rFonts w:ascii="Arial" w:hAnsi="Arial" w:cs="Arial"/>
          <w:sz w:val="20"/>
          <w:szCs w:val="20"/>
          <w:vertAlign w:val="superscript"/>
          <w:lang w:val="nl-NL"/>
        </w:rPr>
      </w:pPr>
      <w:r w:rsidRPr="00EE249E">
        <w:rPr>
          <w:rFonts w:ascii="Arial" w:hAnsi="Arial" w:cs="Arial"/>
          <w:sz w:val="20"/>
          <w:szCs w:val="20"/>
          <w:lang w:val="nl-NL"/>
        </w:rPr>
        <w:t>Bert R.J. Veuskens</w:t>
      </w:r>
      <w:r w:rsidRPr="00EE249E">
        <w:rPr>
          <w:rFonts w:ascii="Arial" w:hAnsi="Arial" w:cs="Arial"/>
          <w:sz w:val="20"/>
          <w:szCs w:val="20"/>
          <w:vertAlign w:val="superscript"/>
          <w:lang w:val="nl-NL"/>
        </w:rPr>
        <w:t>1</w:t>
      </w:r>
      <w:r w:rsidRPr="00EE249E">
        <w:rPr>
          <w:rFonts w:ascii="Arial" w:hAnsi="Arial" w:cs="Arial"/>
          <w:sz w:val="20"/>
          <w:vertAlign w:val="superscript"/>
          <w:lang w:val="nl-NL"/>
        </w:rPr>
        <w:t>,</w:t>
      </w:r>
      <w:r w:rsidRPr="00EE249E">
        <w:rPr>
          <w:rFonts w:ascii="Arial" w:hAnsi="Arial" w:cs="Arial"/>
          <w:sz w:val="20"/>
          <w:szCs w:val="20"/>
          <w:vertAlign w:val="superscript"/>
          <w:lang w:val="nl-NL"/>
        </w:rPr>
        <w:t>2</w:t>
      </w:r>
      <w:r w:rsidRPr="00EE249E">
        <w:rPr>
          <w:rFonts w:ascii="Arial" w:hAnsi="Arial" w:cs="Arial"/>
          <w:sz w:val="20"/>
          <w:szCs w:val="20"/>
          <w:lang w:val="nl-NL"/>
        </w:rPr>
        <w:t>, Mieke C. Brouwer</w:t>
      </w:r>
      <w:r w:rsidRPr="00EE249E">
        <w:rPr>
          <w:rFonts w:ascii="Arial" w:hAnsi="Arial" w:cs="Arial"/>
          <w:sz w:val="20"/>
          <w:szCs w:val="20"/>
          <w:vertAlign w:val="superscript"/>
          <w:lang w:val="nl-NL"/>
        </w:rPr>
        <w:t>1</w:t>
      </w:r>
      <w:r w:rsidRPr="00EE249E">
        <w:rPr>
          <w:rFonts w:ascii="Arial" w:hAnsi="Arial" w:cs="Arial"/>
          <w:sz w:val="20"/>
          <w:szCs w:val="20"/>
          <w:lang w:val="nl-NL"/>
        </w:rPr>
        <w:t>, Gerard van Mierlo</w:t>
      </w:r>
      <w:r w:rsidRPr="00EE249E">
        <w:rPr>
          <w:rFonts w:ascii="Arial" w:hAnsi="Arial" w:cs="Arial"/>
          <w:sz w:val="20"/>
          <w:szCs w:val="20"/>
          <w:vertAlign w:val="superscript"/>
          <w:lang w:val="nl-NL"/>
        </w:rPr>
        <w:t>1</w:t>
      </w:r>
      <w:r w:rsidRPr="00EE249E">
        <w:rPr>
          <w:rFonts w:ascii="Arial" w:hAnsi="Arial" w:cs="Arial"/>
          <w:sz w:val="20"/>
          <w:szCs w:val="20"/>
          <w:lang w:val="nl-NL"/>
        </w:rPr>
        <w:t>, Judy Geissler</w:t>
      </w:r>
      <w:r w:rsidRPr="00EE249E">
        <w:rPr>
          <w:rFonts w:ascii="Arial" w:hAnsi="Arial" w:cs="Arial"/>
          <w:sz w:val="20"/>
          <w:szCs w:val="20"/>
          <w:vertAlign w:val="superscript"/>
          <w:lang w:val="nl-NL"/>
        </w:rPr>
        <w:t>1</w:t>
      </w:r>
      <w:r w:rsidRPr="00EE249E">
        <w:rPr>
          <w:rFonts w:ascii="Arial" w:hAnsi="Arial" w:cs="Arial"/>
          <w:sz w:val="20"/>
          <w:szCs w:val="20"/>
          <w:lang w:val="nl-NL"/>
        </w:rPr>
        <w:t>, Karin van Leeuwen</w:t>
      </w:r>
      <w:r w:rsidRPr="00EE249E">
        <w:rPr>
          <w:rFonts w:ascii="Arial" w:hAnsi="Arial" w:cs="Arial"/>
          <w:sz w:val="20"/>
          <w:szCs w:val="20"/>
          <w:vertAlign w:val="superscript"/>
          <w:lang w:val="nl-NL"/>
        </w:rPr>
        <w:t>1,4</w:t>
      </w:r>
      <w:r w:rsidRPr="00EE249E">
        <w:rPr>
          <w:rFonts w:ascii="Arial" w:hAnsi="Arial" w:cs="Arial"/>
          <w:sz w:val="20"/>
          <w:szCs w:val="20"/>
          <w:lang w:val="nl-NL"/>
        </w:rPr>
        <w:t>, Maaike Derlagen</w:t>
      </w:r>
      <w:r w:rsidRPr="00EE249E">
        <w:rPr>
          <w:rFonts w:ascii="Arial" w:hAnsi="Arial" w:cs="Arial"/>
          <w:sz w:val="20"/>
          <w:szCs w:val="20"/>
          <w:vertAlign w:val="superscript"/>
          <w:lang w:val="nl-NL"/>
        </w:rPr>
        <w:t>4</w:t>
      </w:r>
      <w:r w:rsidRPr="00EE249E">
        <w:rPr>
          <w:rFonts w:ascii="Arial" w:hAnsi="Arial" w:cs="Arial"/>
          <w:sz w:val="20"/>
          <w:szCs w:val="20"/>
          <w:lang w:val="nl-NL"/>
        </w:rPr>
        <w:t>, Nadia C.H. Keijzer</w:t>
      </w:r>
      <w:r w:rsidRPr="00EE249E">
        <w:rPr>
          <w:rFonts w:ascii="Arial" w:hAnsi="Arial" w:cs="Arial"/>
          <w:sz w:val="20"/>
          <w:szCs w:val="20"/>
          <w:vertAlign w:val="superscript"/>
          <w:lang w:val="nl-NL"/>
        </w:rPr>
        <w:t>4</w:t>
      </w:r>
      <w:r w:rsidRPr="00EE249E">
        <w:rPr>
          <w:rFonts w:ascii="Arial" w:hAnsi="Arial" w:cs="Arial"/>
          <w:sz w:val="20"/>
          <w:szCs w:val="20"/>
          <w:lang w:val="nl-NL"/>
        </w:rPr>
        <w:t>, Mark Hoogenboezem</w:t>
      </w:r>
      <w:r w:rsidRPr="00EE249E">
        <w:rPr>
          <w:rFonts w:ascii="Arial" w:hAnsi="Arial" w:cs="Arial"/>
          <w:sz w:val="20"/>
          <w:szCs w:val="20"/>
          <w:vertAlign w:val="superscript"/>
          <w:lang w:val="nl-NL"/>
        </w:rPr>
        <w:t>1</w:t>
      </w:r>
      <w:r w:rsidRPr="00EE249E">
        <w:rPr>
          <w:rFonts w:ascii="Arial" w:hAnsi="Arial" w:cs="Arial"/>
          <w:sz w:val="20"/>
          <w:szCs w:val="20"/>
          <w:lang w:val="nl-NL"/>
        </w:rPr>
        <w:t>, Taco W. Kuijpers</w:t>
      </w:r>
      <w:r w:rsidRPr="00EE249E">
        <w:rPr>
          <w:rFonts w:ascii="Arial" w:hAnsi="Arial" w:cs="Arial"/>
          <w:sz w:val="20"/>
          <w:szCs w:val="20"/>
          <w:vertAlign w:val="superscript"/>
          <w:lang w:val="nl-NL"/>
        </w:rPr>
        <w:t>1,3</w:t>
      </w:r>
      <w:r w:rsidRPr="00EE249E">
        <w:rPr>
          <w:rFonts w:ascii="Arial" w:hAnsi="Arial" w:cs="Arial"/>
          <w:sz w:val="20"/>
          <w:szCs w:val="20"/>
          <w:lang w:val="nl-NL"/>
        </w:rPr>
        <w:t>, Richard B. Pouw</w:t>
      </w:r>
      <w:r w:rsidRPr="00EE249E">
        <w:rPr>
          <w:rFonts w:ascii="Arial" w:hAnsi="Arial" w:cs="Arial"/>
          <w:sz w:val="20"/>
          <w:szCs w:val="20"/>
          <w:vertAlign w:val="superscript"/>
          <w:lang w:val="nl-NL"/>
        </w:rPr>
        <w:t>1,2,4*</w:t>
      </w:r>
    </w:p>
    <w:p w14:paraId="17F0B37F" w14:textId="77777777" w:rsidR="001010DC" w:rsidRPr="00EE249E" w:rsidRDefault="001010DC" w:rsidP="001010DC">
      <w:pPr>
        <w:spacing w:line="276" w:lineRule="auto"/>
        <w:jc w:val="both"/>
        <w:rPr>
          <w:rFonts w:ascii="Arial" w:hAnsi="Arial" w:cs="Arial"/>
          <w:sz w:val="20"/>
          <w:szCs w:val="20"/>
          <w:vertAlign w:val="superscript"/>
          <w:lang w:val="nl-NL"/>
        </w:rPr>
      </w:pPr>
    </w:p>
    <w:p w14:paraId="38B35128" w14:textId="678184BA" w:rsidR="001010DC" w:rsidRPr="00617058" w:rsidRDefault="00617058" w:rsidP="00617058">
      <w:pPr>
        <w:pStyle w:val="xmsolistparagraph"/>
        <w:numPr>
          <w:ilvl w:val="0"/>
          <w:numId w:val="1"/>
        </w:numPr>
        <w:shd w:val="clear" w:color="auto" w:fill="FFFFFF"/>
        <w:spacing w:before="0" w:beforeAutospacing="0" w:after="0" w:afterAutospacing="0"/>
        <w:rPr>
          <w:rFonts w:ascii="Arial" w:hAnsi="Arial" w:cs="Arial"/>
          <w:sz w:val="18"/>
          <w:szCs w:val="18"/>
        </w:rPr>
      </w:pPr>
      <w:r w:rsidRPr="00A41000">
        <w:rPr>
          <w:rFonts w:ascii="Arial" w:hAnsi="Arial" w:cs="Arial"/>
          <w:sz w:val="18"/>
          <w:szCs w:val="18"/>
        </w:rPr>
        <w:t>Sanquin Research and Landsteiner Laboratory of the Academic University Medical Centers</w:t>
      </w:r>
      <w:r w:rsidR="001010DC" w:rsidRPr="00EE249E">
        <w:rPr>
          <w:rFonts w:ascii="Arial" w:hAnsi="Arial" w:cs="Arial"/>
          <w:sz w:val="18"/>
          <w:szCs w:val="18"/>
        </w:rPr>
        <w:t xml:space="preserve">, University of </w:t>
      </w:r>
      <w:r w:rsidR="001010DC" w:rsidRPr="00617058">
        <w:rPr>
          <w:rFonts w:ascii="Arial" w:hAnsi="Arial" w:cs="Arial"/>
          <w:sz w:val="18"/>
          <w:szCs w:val="18"/>
        </w:rPr>
        <w:t>Amsterdam, Amsterdam 1066 CX, Netherlands.</w:t>
      </w:r>
    </w:p>
    <w:p w14:paraId="523D39D5" w14:textId="77777777" w:rsidR="001010DC" w:rsidRPr="00EE249E" w:rsidRDefault="001010DC" w:rsidP="001010DC">
      <w:pPr>
        <w:pStyle w:val="xmsolistparagraph"/>
        <w:numPr>
          <w:ilvl w:val="0"/>
          <w:numId w:val="1"/>
        </w:numPr>
        <w:shd w:val="clear" w:color="auto" w:fill="FFFFFF"/>
        <w:spacing w:before="0" w:beforeAutospacing="0" w:after="0" w:afterAutospacing="0"/>
        <w:rPr>
          <w:rFonts w:ascii="Arial" w:hAnsi="Arial" w:cs="Arial"/>
          <w:sz w:val="18"/>
          <w:szCs w:val="18"/>
        </w:rPr>
      </w:pPr>
      <w:r w:rsidRPr="00EE249E">
        <w:rPr>
          <w:rFonts w:ascii="Arial" w:hAnsi="Arial" w:cs="Arial"/>
          <w:sz w:val="18"/>
          <w:szCs w:val="18"/>
        </w:rPr>
        <w:t>Amsterdam institute for Immunology and Infectious Diseases, Inflammatory diseases, Amsterdam 1105 AZ, Netherlands</w:t>
      </w:r>
    </w:p>
    <w:p w14:paraId="11E0731A" w14:textId="77777777" w:rsidR="001010DC" w:rsidRPr="00EE249E" w:rsidRDefault="001010DC" w:rsidP="001010DC">
      <w:pPr>
        <w:pStyle w:val="xmsolistparagraph"/>
        <w:numPr>
          <w:ilvl w:val="0"/>
          <w:numId w:val="1"/>
        </w:numPr>
        <w:shd w:val="clear" w:color="auto" w:fill="FFFFFF"/>
        <w:spacing w:before="0" w:beforeAutospacing="0" w:after="0" w:afterAutospacing="0"/>
        <w:rPr>
          <w:rFonts w:ascii="Arial" w:hAnsi="Arial" w:cs="Arial"/>
          <w:sz w:val="18"/>
          <w:szCs w:val="18"/>
        </w:rPr>
      </w:pPr>
      <w:r w:rsidRPr="00EE249E">
        <w:rPr>
          <w:rFonts w:ascii="Arial" w:hAnsi="Arial" w:cs="Arial"/>
          <w:sz w:val="18"/>
          <w:szCs w:val="18"/>
        </w:rPr>
        <w:t>Department of Paediatric Immunology, Rheumatology and Infectious Diseases, Emma Children's Hospital, AUMC, University of Amsterdam, Amsterdam 1105 AZ, Netherlands. </w:t>
      </w:r>
    </w:p>
    <w:p w14:paraId="6AAC744D" w14:textId="77777777" w:rsidR="001010DC" w:rsidRPr="00EE249E" w:rsidRDefault="001010DC" w:rsidP="001010DC">
      <w:pPr>
        <w:pStyle w:val="xmsolistparagraph"/>
        <w:numPr>
          <w:ilvl w:val="0"/>
          <w:numId w:val="1"/>
        </w:numPr>
        <w:shd w:val="clear" w:color="auto" w:fill="FFFFFF"/>
        <w:spacing w:before="0" w:beforeAutospacing="0" w:after="0" w:afterAutospacing="0"/>
        <w:rPr>
          <w:rFonts w:ascii="Arial" w:hAnsi="Arial" w:cs="Arial"/>
          <w:sz w:val="18"/>
          <w:szCs w:val="18"/>
        </w:rPr>
      </w:pPr>
      <w:r w:rsidRPr="00EE249E">
        <w:rPr>
          <w:rFonts w:ascii="Arial" w:hAnsi="Arial" w:cs="Arial"/>
          <w:sz w:val="18"/>
          <w:szCs w:val="18"/>
        </w:rPr>
        <w:t>Sanquin Diagnostic Services, Amsterdam 1066 CX, Netherlands</w:t>
      </w:r>
    </w:p>
    <w:p w14:paraId="74F68F3A" w14:textId="77777777" w:rsidR="001010DC" w:rsidRPr="00EE249E" w:rsidRDefault="001010DC" w:rsidP="001010DC">
      <w:pPr>
        <w:pStyle w:val="xmsolistparagraph"/>
        <w:shd w:val="clear" w:color="auto" w:fill="FFFFFF"/>
        <w:spacing w:before="0" w:beforeAutospacing="0" w:after="0" w:afterAutospacing="0"/>
        <w:ind w:left="720"/>
        <w:rPr>
          <w:rFonts w:ascii="Arial" w:hAnsi="Arial" w:cs="Arial"/>
          <w:sz w:val="18"/>
          <w:szCs w:val="18"/>
        </w:rPr>
      </w:pPr>
    </w:p>
    <w:p w14:paraId="31E19B6F" w14:textId="77777777" w:rsidR="001010DC" w:rsidRPr="00EE249E" w:rsidRDefault="001010DC" w:rsidP="001010DC">
      <w:pPr>
        <w:spacing w:after="160" w:line="276" w:lineRule="auto"/>
        <w:jc w:val="both"/>
        <w:rPr>
          <w:rFonts w:ascii="Arial" w:hAnsi="Arial" w:cs="Arial"/>
          <w:sz w:val="20"/>
          <w:szCs w:val="20"/>
          <w:lang w:val="nl-NL"/>
        </w:rPr>
      </w:pPr>
      <w:r w:rsidRPr="00EE249E">
        <w:rPr>
          <w:rFonts w:ascii="Arial" w:hAnsi="Arial" w:cs="Arial"/>
          <w:sz w:val="20"/>
          <w:szCs w:val="20"/>
          <w:lang w:val="nl-NL"/>
        </w:rPr>
        <w:t>*</w:t>
      </w:r>
      <w:proofErr w:type="spellStart"/>
      <w:r w:rsidRPr="00EE249E">
        <w:rPr>
          <w:rFonts w:ascii="Arial" w:hAnsi="Arial" w:cs="Arial"/>
          <w:sz w:val="20"/>
          <w:szCs w:val="20"/>
          <w:lang w:val="nl-NL"/>
        </w:rPr>
        <w:t>Corresponding</w:t>
      </w:r>
      <w:proofErr w:type="spellEnd"/>
      <w:r w:rsidRPr="00EE249E">
        <w:rPr>
          <w:rFonts w:ascii="Arial" w:hAnsi="Arial" w:cs="Arial"/>
          <w:sz w:val="20"/>
          <w:szCs w:val="20"/>
          <w:lang w:val="nl-NL"/>
        </w:rPr>
        <w:t xml:space="preserve"> </w:t>
      </w:r>
      <w:proofErr w:type="spellStart"/>
      <w:r w:rsidRPr="00EE249E">
        <w:rPr>
          <w:rFonts w:ascii="Arial" w:hAnsi="Arial" w:cs="Arial"/>
          <w:sz w:val="20"/>
          <w:szCs w:val="20"/>
          <w:lang w:val="nl-NL"/>
        </w:rPr>
        <w:t>author</w:t>
      </w:r>
      <w:proofErr w:type="spellEnd"/>
      <w:r w:rsidRPr="00EE249E">
        <w:rPr>
          <w:rFonts w:ascii="Arial" w:hAnsi="Arial" w:cs="Arial"/>
          <w:sz w:val="20"/>
          <w:szCs w:val="20"/>
          <w:lang w:val="nl-NL"/>
        </w:rPr>
        <w:t xml:space="preserve">: </w:t>
      </w:r>
    </w:p>
    <w:p w14:paraId="3714B270" w14:textId="77777777" w:rsidR="001010DC" w:rsidRPr="00EE249E" w:rsidRDefault="001010DC" w:rsidP="001010DC">
      <w:pPr>
        <w:rPr>
          <w:rFonts w:ascii="Arial" w:hAnsi="Arial" w:cs="Arial"/>
          <w:sz w:val="20"/>
          <w:szCs w:val="20"/>
          <w:lang w:val="nl-NL"/>
        </w:rPr>
      </w:pPr>
      <w:r w:rsidRPr="00EE249E">
        <w:rPr>
          <w:rFonts w:ascii="Arial" w:hAnsi="Arial" w:cs="Arial"/>
          <w:sz w:val="20"/>
          <w:szCs w:val="20"/>
          <w:lang w:val="nl-NL"/>
        </w:rPr>
        <w:t>Richard B. Pouw, PhD</w:t>
      </w:r>
    </w:p>
    <w:p w14:paraId="300E469C" w14:textId="77777777" w:rsidR="001010DC" w:rsidRPr="00EE249E" w:rsidRDefault="001010DC" w:rsidP="001010DC">
      <w:pPr>
        <w:rPr>
          <w:rFonts w:ascii="Arial" w:hAnsi="Arial" w:cs="Arial"/>
          <w:sz w:val="20"/>
          <w:szCs w:val="20"/>
          <w:lang w:val="nl-NL"/>
        </w:rPr>
      </w:pPr>
      <w:r w:rsidRPr="00EE249E">
        <w:rPr>
          <w:rFonts w:ascii="Arial" w:hAnsi="Arial" w:cs="Arial"/>
          <w:sz w:val="18"/>
          <w:szCs w:val="18"/>
        </w:rPr>
        <w:t>Sanquin Research</w:t>
      </w:r>
    </w:p>
    <w:p w14:paraId="2EB792EF" w14:textId="77777777" w:rsidR="001010DC" w:rsidRPr="00EE249E" w:rsidRDefault="001010DC" w:rsidP="001010DC">
      <w:pPr>
        <w:rPr>
          <w:rFonts w:ascii="Arial" w:hAnsi="Arial" w:cs="Arial"/>
          <w:sz w:val="20"/>
          <w:szCs w:val="20"/>
        </w:rPr>
      </w:pPr>
      <w:proofErr w:type="spellStart"/>
      <w:r w:rsidRPr="00EE249E">
        <w:rPr>
          <w:rFonts w:ascii="Arial" w:hAnsi="Arial" w:cs="Arial"/>
          <w:sz w:val="20"/>
          <w:szCs w:val="20"/>
        </w:rPr>
        <w:t>Plesmanlaan</w:t>
      </w:r>
      <w:proofErr w:type="spellEnd"/>
      <w:r w:rsidRPr="00EE249E">
        <w:rPr>
          <w:rFonts w:ascii="Arial" w:hAnsi="Arial" w:cs="Arial"/>
          <w:sz w:val="20"/>
          <w:szCs w:val="20"/>
        </w:rPr>
        <w:t xml:space="preserve"> 125, 1066 CX, Amsterdam, The Netherlands</w:t>
      </w:r>
    </w:p>
    <w:p w14:paraId="538CA082" w14:textId="77777777" w:rsidR="001010DC" w:rsidRPr="00EE249E" w:rsidRDefault="001010DC" w:rsidP="001010DC">
      <w:pPr>
        <w:rPr>
          <w:rFonts w:ascii="Arial" w:hAnsi="Arial" w:cs="Arial"/>
          <w:sz w:val="20"/>
          <w:szCs w:val="20"/>
        </w:rPr>
      </w:pPr>
      <w:r w:rsidRPr="00EE249E">
        <w:rPr>
          <w:rFonts w:ascii="Arial" w:hAnsi="Arial" w:cs="Arial"/>
          <w:sz w:val="20"/>
          <w:szCs w:val="20"/>
        </w:rPr>
        <w:t>richard.pouw@sanquin.nl</w:t>
      </w:r>
    </w:p>
    <w:p w14:paraId="4DFF4C60" w14:textId="77777777" w:rsidR="001010DC" w:rsidRPr="00EE249E" w:rsidRDefault="001010DC" w:rsidP="001010DC">
      <w:pPr>
        <w:rPr>
          <w:rFonts w:ascii="Arial" w:hAnsi="Arial" w:cs="Arial"/>
          <w:sz w:val="20"/>
          <w:szCs w:val="20"/>
        </w:rPr>
      </w:pPr>
    </w:p>
    <w:p w14:paraId="402F2105" w14:textId="5621E53A" w:rsidR="00201A57" w:rsidRPr="00EE249E" w:rsidRDefault="001010DC" w:rsidP="001010DC">
      <w:pPr>
        <w:pStyle w:val="MDPI21heading1"/>
        <w:spacing w:line="276" w:lineRule="auto"/>
        <w:ind w:left="0"/>
        <w:jc w:val="both"/>
        <w:rPr>
          <w:rFonts w:ascii="Arial" w:eastAsiaTheme="minorEastAsia" w:hAnsi="Arial" w:cs="Arial"/>
          <w:b w:val="0"/>
          <w:bCs/>
          <w:szCs w:val="20"/>
        </w:rPr>
      </w:pPr>
      <w:r w:rsidRPr="00EE249E">
        <w:rPr>
          <w:rFonts w:ascii="Arial" w:hAnsi="Arial" w:cs="Arial"/>
          <w:szCs w:val="20"/>
        </w:rPr>
        <w:t>Keywords: Complement system/FHR-1/FHR-2/Dimerization</w:t>
      </w:r>
      <w:r w:rsidR="00201A57" w:rsidRPr="00EE249E">
        <w:rPr>
          <w:rFonts w:ascii="Arial" w:eastAsiaTheme="minorEastAsia" w:hAnsi="Arial" w:cs="Arial"/>
          <w:b w:val="0"/>
          <w:bCs/>
          <w:szCs w:val="20"/>
        </w:rPr>
        <w:br w:type="page"/>
      </w:r>
    </w:p>
    <w:p w14:paraId="1A6CCA7B" w14:textId="7257960E" w:rsidR="007A2C8C" w:rsidRPr="00EE249E" w:rsidRDefault="002B4D3B" w:rsidP="00BC2B37">
      <w:pPr>
        <w:pStyle w:val="Quote"/>
        <w:rPr>
          <w:rFonts w:ascii="Arial" w:eastAsiaTheme="minorEastAsia" w:hAnsi="Arial" w:cs="Arial"/>
          <w:b/>
          <w:bCs/>
          <w:szCs w:val="20"/>
        </w:rPr>
      </w:pPr>
      <w:r w:rsidRPr="00EE249E">
        <w:rPr>
          <w:noProof/>
        </w:rPr>
        <w:lastRenderedPageBreak/>
        <mc:AlternateContent>
          <mc:Choice Requires="wps">
            <w:drawing>
              <wp:anchor distT="0" distB="0" distL="114300" distR="114300" simplePos="0" relativeHeight="251658241" behindDoc="0" locked="0" layoutInCell="1" allowOverlap="1" wp14:anchorId="3996E4BE" wp14:editId="5579983F">
                <wp:simplePos x="0" y="0"/>
                <wp:positionH relativeFrom="margin">
                  <wp:posOffset>3175</wp:posOffset>
                </wp:positionH>
                <wp:positionV relativeFrom="paragraph">
                  <wp:posOffset>5461635</wp:posOffset>
                </wp:positionV>
                <wp:extent cx="5751195" cy="635"/>
                <wp:effectExtent l="0" t="0" r="1905" b="0"/>
                <wp:wrapTopAndBottom/>
                <wp:docPr id="1352109662" name="Text Box 1"/>
                <wp:cNvGraphicFramePr/>
                <a:graphic xmlns:a="http://schemas.openxmlformats.org/drawingml/2006/main">
                  <a:graphicData uri="http://schemas.microsoft.com/office/word/2010/wordprocessingShape">
                    <wps:wsp>
                      <wps:cNvSpPr txBox="1"/>
                      <wps:spPr>
                        <a:xfrm>
                          <a:off x="0" y="0"/>
                          <a:ext cx="5751195" cy="635"/>
                        </a:xfrm>
                        <a:prstGeom prst="rect">
                          <a:avLst/>
                        </a:prstGeom>
                        <a:solidFill>
                          <a:prstClr val="white"/>
                        </a:solidFill>
                        <a:ln>
                          <a:noFill/>
                        </a:ln>
                      </wps:spPr>
                      <wps:txbx>
                        <w:txbxContent>
                          <w:p w14:paraId="6CF72B19" w14:textId="0589C1DD" w:rsidR="008D048C" w:rsidRPr="00212192" w:rsidRDefault="008D048C" w:rsidP="001B0ED7">
                            <w:pPr>
                              <w:pStyle w:val="MDPI21heading1"/>
                              <w:spacing w:line="276" w:lineRule="auto"/>
                              <w:ind w:left="0"/>
                              <w:jc w:val="both"/>
                              <w:rPr>
                                <w:rFonts w:ascii="Arial" w:eastAsiaTheme="minorEastAsia" w:hAnsi="Arial" w:cs="Arial"/>
                                <w:b w:val="0"/>
                                <w:bCs/>
                                <w:sz w:val="15"/>
                                <w:szCs w:val="15"/>
                              </w:rPr>
                            </w:pPr>
                            <w:r w:rsidRPr="00212192">
                              <w:rPr>
                                <w:rFonts w:ascii="Arial" w:hAnsi="Arial" w:cs="Arial"/>
                                <w:sz w:val="15"/>
                                <w:szCs w:val="15"/>
                              </w:rPr>
                              <w:t xml:space="preserve">Figure </w:t>
                            </w:r>
                            <w:r w:rsidR="001B0ED7" w:rsidRPr="00212192">
                              <w:rPr>
                                <w:rFonts w:ascii="Arial" w:hAnsi="Arial" w:cs="Arial"/>
                                <w:sz w:val="15"/>
                                <w:szCs w:val="15"/>
                              </w:rPr>
                              <w:t>S</w:t>
                            </w:r>
                            <w:r w:rsidRPr="00212192">
                              <w:rPr>
                                <w:rFonts w:ascii="Arial" w:hAnsi="Arial" w:cs="Arial"/>
                                <w:sz w:val="15"/>
                                <w:szCs w:val="15"/>
                              </w:rPr>
                              <w:fldChar w:fldCharType="begin"/>
                            </w:r>
                            <w:r w:rsidRPr="00212192">
                              <w:rPr>
                                <w:rFonts w:ascii="Arial" w:hAnsi="Arial" w:cs="Arial"/>
                                <w:sz w:val="15"/>
                                <w:szCs w:val="15"/>
                              </w:rPr>
                              <w:instrText xml:space="preserve"> SEQ Figure \* ARABIC </w:instrText>
                            </w:r>
                            <w:r w:rsidRPr="00212192">
                              <w:rPr>
                                <w:rFonts w:ascii="Arial" w:hAnsi="Arial" w:cs="Arial"/>
                                <w:sz w:val="15"/>
                                <w:szCs w:val="15"/>
                              </w:rPr>
                              <w:fldChar w:fldCharType="separate"/>
                            </w:r>
                            <w:r w:rsidR="008F0F5B" w:rsidRPr="00212192">
                              <w:rPr>
                                <w:rFonts w:ascii="Arial" w:hAnsi="Arial" w:cs="Arial"/>
                                <w:noProof/>
                                <w:sz w:val="15"/>
                                <w:szCs w:val="15"/>
                              </w:rPr>
                              <w:t>1</w:t>
                            </w:r>
                            <w:r w:rsidRPr="00212192">
                              <w:rPr>
                                <w:rFonts w:ascii="Arial" w:hAnsi="Arial" w:cs="Arial"/>
                                <w:sz w:val="15"/>
                                <w:szCs w:val="15"/>
                              </w:rPr>
                              <w:fldChar w:fldCharType="end"/>
                            </w:r>
                            <w:r w:rsidRPr="00212192">
                              <w:rPr>
                                <w:rFonts w:ascii="Arial" w:eastAsiaTheme="minorEastAsia" w:hAnsi="Arial" w:cs="Arial"/>
                                <w:b w:val="0"/>
                                <w:sz w:val="15"/>
                                <w:szCs w:val="15"/>
                              </w:rPr>
                              <w:t>:</w:t>
                            </w:r>
                            <w:r w:rsidRPr="00212192">
                              <w:rPr>
                                <w:rFonts w:ascii="Arial" w:eastAsiaTheme="minorEastAsia" w:hAnsi="Arial" w:cs="Arial"/>
                                <w:b w:val="0"/>
                                <w:bCs/>
                                <w:sz w:val="15"/>
                                <w:szCs w:val="15"/>
                              </w:rPr>
                              <w:t xml:space="preserve"> Western blot analysis of immunoprecipitation using αFHR-2.11 or αFHR-2.15 in serum deficient for FHR-1 or -2. Immunoblots were stained using the FH specific </w:t>
                            </w:r>
                            <w:r w:rsidR="00796376" w:rsidRPr="009F3568">
                              <w:rPr>
                                <w:rFonts w:ascii="Arial" w:eastAsiaTheme="minorEastAsia" w:hAnsi="Arial" w:cs="Arial"/>
                                <w:b w:val="0"/>
                                <w:bCs/>
                                <w:sz w:val="15"/>
                                <w:szCs w:val="15"/>
                              </w:rPr>
                              <w:t>α</w:t>
                            </w:r>
                            <w:r w:rsidRPr="00212192">
                              <w:rPr>
                                <w:rFonts w:ascii="Arial" w:eastAsiaTheme="minorEastAsia" w:hAnsi="Arial" w:cs="Arial"/>
                                <w:b w:val="0"/>
                                <w:bCs/>
                                <w:sz w:val="15"/>
                                <w:szCs w:val="15"/>
                              </w:rPr>
                              <w:t>FH.16 mAb to exclude cross reactivity for FH.</w:t>
                            </w:r>
                            <w:r w:rsidRPr="00212192">
                              <w:rPr>
                                <w:rFonts w:ascii="Arial" w:eastAsiaTheme="minorEastAsia" w:hAnsi="Arial" w:cs="Arial"/>
                                <w:b w:val="0"/>
                                <w:bCs/>
                                <w:sz w:val="15"/>
                                <w:szCs w:val="15"/>
                                <w:vertAlign w:val="superscript"/>
                              </w:rPr>
                              <w:t>23</w:t>
                            </w:r>
                            <w:r w:rsidRPr="00212192">
                              <w:rPr>
                                <w:rFonts w:ascii="Arial" w:eastAsiaTheme="minorEastAsia" w:hAnsi="Arial" w:cs="Arial"/>
                                <w:b w:val="0"/>
                                <w:bCs/>
                                <w:sz w:val="15"/>
                                <w:szCs w:val="15"/>
                              </w:rPr>
                              <w:t xml:space="preserve"> Schematic representation of novel developed (b) FHR-2/2 and optimized (c) FHR-1/2 ELISA</w:t>
                            </w:r>
                            <w:r w:rsidR="00796376">
                              <w:rPr>
                                <w:rFonts w:ascii="Arial" w:eastAsiaTheme="minorEastAsia" w:hAnsi="Arial" w:cs="Arial"/>
                                <w:b w:val="0"/>
                                <w:bCs/>
                                <w:sz w:val="15"/>
                                <w:szCs w:val="15"/>
                              </w:rPr>
                              <w:t>.</w:t>
                            </w:r>
                            <w:r w:rsidRPr="00212192">
                              <w:rPr>
                                <w:rFonts w:ascii="Arial" w:eastAsiaTheme="minorEastAsia" w:hAnsi="Arial" w:cs="Arial"/>
                                <w:b w:val="0"/>
                                <w:bCs/>
                                <w:sz w:val="15"/>
                                <w:szCs w:val="15"/>
                              </w:rPr>
                              <w:t xml:space="preserve"> (d)Various sandwich combination of FHR-1 (</w:t>
                            </w:r>
                            <w:r w:rsidR="000C3BDB" w:rsidRPr="009F3568">
                              <w:rPr>
                                <w:rFonts w:ascii="Arial" w:eastAsiaTheme="minorEastAsia" w:hAnsi="Arial" w:cs="Arial"/>
                                <w:b w:val="0"/>
                                <w:bCs/>
                                <w:sz w:val="15"/>
                                <w:szCs w:val="15"/>
                              </w:rPr>
                              <w:t>α</w:t>
                            </w:r>
                            <w:r w:rsidRPr="00212192">
                              <w:rPr>
                                <w:rFonts w:ascii="Arial" w:eastAsiaTheme="minorEastAsia" w:hAnsi="Arial" w:cs="Arial"/>
                                <w:b w:val="0"/>
                                <w:bCs/>
                                <w:sz w:val="15"/>
                                <w:szCs w:val="15"/>
                              </w:rPr>
                              <w:t>FH.02) and FHR-5 (</w:t>
                            </w:r>
                            <w:r w:rsidR="000C3BDB" w:rsidRPr="009F3568">
                              <w:rPr>
                                <w:rFonts w:ascii="Arial" w:eastAsiaTheme="minorEastAsia" w:hAnsi="Arial" w:cs="Arial"/>
                                <w:b w:val="0"/>
                                <w:bCs/>
                                <w:sz w:val="15"/>
                                <w:szCs w:val="15"/>
                              </w:rPr>
                              <w:t>α</w:t>
                            </w:r>
                            <w:r w:rsidRPr="00212192">
                              <w:rPr>
                                <w:rFonts w:ascii="Arial" w:eastAsiaTheme="minorEastAsia" w:hAnsi="Arial" w:cs="Arial"/>
                                <w:b w:val="0"/>
                                <w:bCs/>
                                <w:sz w:val="15"/>
                                <w:szCs w:val="15"/>
                              </w:rPr>
                              <w:t xml:space="preserve">FHR-5.1, 5.4) mAbs with </w:t>
                            </w:r>
                            <w:r w:rsidR="00BC2520" w:rsidRPr="009F3568">
                              <w:rPr>
                                <w:rFonts w:ascii="Arial" w:eastAsiaTheme="minorEastAsia" w:hAnsi="Arial" w:cs="Arial"/>
                                <w:b w:val="0"/>
                                <w:bCs/>
                                <w:sz w:val="15"/>
                                <w:szCs w:val="15"/>
                              </w:rPr>
                              <w:t>α</w:t>
                            </w:r>
                            <w:r w:rsidRPr="00212192">
                              <w:rPr>
                                <w:rFonts w:ascii="Arial" w:eastAsiaTheme="minorEastAsia" w:hAnsi="Arial" w:cs="Arial"/>
                                <w:b w:val="0"/>
                                <w:bCs/>
                                <w:sz w:val="15"/>
                                <w:szCs w:val="15"/>
                              </w:rPr>
                              <w:t xml:space="preserve">FHR-2.11 to validate FHR-2 specificity of </w:t>
                            </w:r>
                            <w:r w:rsidRPr="00212192">
                              <w:rPr>
                                <w:rFonts w:ascii="Cambria Math" w:eastAsiaTheme="minorEastAsia" w:hAnsi="Cambria Math" w:cs="Cambria Math"/>
                                <w:b w:val="0"/>
                                <w:bCs/>
                                <w:sz w:val="15"/>
                                <w:szCs w:val="15"/>
                              </w:rPr>
                              <w:t>⍺</w:t>
                            </w:r>
                            <w:r w:rsidRPr="00212192">
                              <w:rPr>
                                <w:rFonts w:ascii="Arial" w:eastAsiaTheme="minorEastAsia" w:hAnsi="Arial" w:cs="Arial"/>
                                <w:b w:val="0"/>
                                <w:bCs/>
                                <w:sz w:val="15"/>
                                <w:szCs w:val="15"/>
                              </w:rPr>
                              <w:t>FHR-2.11. NHS (20%</w:t>
                            </w:r>
                            <w:r w:rsidR="00BC2520">
                              <w:rPr>
                                <w:rFonts w:ascii="Arial" w:eastAsiaTheme="minorEastAsia" w:hAnsi="Arial" w:cs="Arial"/>
                                <w:b w:val="0"/>
                                <w:bCs/>
                                <w:sz w:val="15"/>
                                <w:szCs w:val="15"/>
                              </w:rPr>
                              <w:t>,</w:t>
                            </w:r>
                            <w:r w:rsidRPr="00212192">
                              <w:rPr>
                                <w:rFonts w:ascii="Arial" w:eastAsiaTheme="minorEastAsia" w:hAnsi="Arial" w:cs="Arial"/>
                                <w:b w:val="0"/>
                                <w:bCs/>
                                <w:sz w:val="15"/>
                                <w:szCs w:val="15"/>
                              </w:rPr>
                              <w:t xml:space="preserve"> v/v) or serum deficient in either FHR-1 or -2 (20%</w:t>
                            </w:r>
                            <w:r w:rsidR="00BC2520">
                              <w:rPr>
                                <w:rFonts w:ascii="Arial" w:eastAsiaTheme="minorEastAsia" w:hAnsi="Arial" w:cs="Arial"/>
                                <w:b w:val="0"/>
                                <w:bCs/>
                                <w:sz w:val="15"/>
                                <w:szCs w:val="15"/>
                              </w:rPr>
                              <w:t>,</w:t>
                            </w:r>
                            <w:r w:rsidRPr="00212192">
                              <w:rPr>
                                <w:rFonts w:ascii="Arial" w:eastAsiaTheme="minorEastAsia" w:hAnsi="Arial" w:cs="Arial"/>
                                <w:b w:val="0"/>
                                <w:bCs/>
                                <w:sz w:val="15"/>
                                <w:szCs w:val="15"/>
                              </w:rPr>
                              <w:t xml:space="preserve"> v/v) were incubated on wells coated with indicated mAbs. Indicated biotinylated detection mAbs (0.2 µg/mL) and streptavidin poly-HRP (0.01%</w:t>
                            </w:r>
                            <w:r w:rsidR="003067CF">
                              <w:rPr>
                                <w:rFonts w:ascii="Arial" w:eastAsiaTheme="minorEastAsia" w:hAnsi="Arial" w:cs="Arial"/>
                                <w:b w:val="0"/>
                                <w:bCs/>
                                <w:sz w:val="15"/>
                                <w:szCs w:val="15"/>
                              </w:rPr>
                              <w:t xml:space="preserve">, </w:t>
                            </w:r>
                            <w:r w:rsidRPr="00212192">
                              <w:rPr>
                                <w:rFonts w:ascii="Arial" w:eastAsiaTheme="minorEastAsia" w:hAnsi="Arial" w:cs="Arial"/>
                                <w:b w:val="0"/>
                                <w:bCs/>
                                <w:sz w:val="15"/>
                                <w:szCs w:val="15"/>
                              </w:rPr>
                              <w:t>v/v) were used to obtain a sensitive detection. (f) FHR-1/2 levels in mixes A to G after six hours incubation on 37°C to allow the formation of FHR-1/2 heterodimers. Mixes A to G contain various ratios (95-5%, 85-15%, 75-25%, 50-50%, 25-75%, 15-85% and 5-95%</w:t>
                            </w:r>
                            <w:r w:rsidR="003067CF">
                              <w:rPr>
                                <w:rFonts w:ascii="Arial" w:eastAsiaTheme="minorEastAsia" w:hAnsi="Arial" w:cs="Arial"/>
                                <w:b w:val="0"/>
                                <w:bCs/>
                                <w:sz w:val="15"/>
                                <w:szCs w:val="15"/>
                              </w:rPr>
                              <w:t>,</w:t>
                            </w:r>
                            <w:r w:rsidRPr="00212192">
                              <w:rPr>
                                <w:rFonts w:ascii="Arial" w:eastAsiaTheme="minorEastAsia" w:hAnsi="Arial" w:cs="Arial"/>
                                <w:b w:val="0"/>
                                <w:bCs/>
                                <w:sz w:val="15"/>
                                <w:szCs w:val="15"/>
                              </w:rPr>
                              <w:t xml:space="preserve"> v/v) FHR-2 deficient plasma</w:t>
                            </w:r>
                            <w:r w:rsidR="009018ED">
                              <w:rPr>
                                <w:rFonts w:ascii="Arial" w:eastAsiaTheme="minorEastAsia" w:hAnsi="Arial" w:cs="Arial"/>
                                <w:b w:val="0"/>
                                <w:bCs/>
                                <w:sz w:val="15"/>
                                <w:szCs w:val="15"/>
                              </w:rPr>
                              <w:t xml:space="preserve"> and </w:t>
                            </w:r>
                            <w:r w:rsidR="009018ED" w:rsidRPr="00212192">
                              <w:rPr>
                                <w:rFonts w:ascii="Arial" w:eastAsiaTheme="minorEastAsia" w:hAnsi="Arial" w:cs="Arial"/>
                                <w:b w:val="0"/>
                                <w:bCs/>
                                <w:i/>
                                <w:iCs/>
                                <w:sz w:val="15"/>
                                <w:szCs w:val="15"/>
                              </w:rPr>
                              <w:t>CFHR3/CFHR1</w:t>
                            </w:r>
                            <w:r w:rsidR="009018ED" w:rsidRPr="00212192">
                              <w:rPr>
                                <w:rFonts w:ascii="Arial" w:eastAsiaTheme="minorEastAsia" w:hAnsi="Arial" w:cs="Arial"/>
                                <w:b w:val="0"/>
                                <w:bCs/>
                                <w:sz w:val="15"/>
                                <w:szCs w:val="15"/>
                              </w:rPr>
                              <w:t xml:space="preserve"> deficient</w:t>
                            </w:r>
                            <w:r w:rsidRPr="00212192">
                              <w:rPr>
                                <w:rFonts w:ascii="Arial" w:eastAsiaTheme="minorEastAsia" w:hAnsi="Arial" w:cs="Arial"/>
                                <w:b w:val="0"/>
                                <w:bCs/>
                                <w:sz w:val="15"/>
                                <w:szCs w:val="15"/>
                              </w:rPr>
                              <w:t>, respectively. The level of FHR-1/2 in each mix was determined six times using the other mixes as calibrator. Bars represent the mean of three measurements with error bars indicating the median with interquartile range. (g) FHR-1/2 assay calibration of NHS using mixes A-G. FHR-1/2 levels in each mix were based on the average decline in FHR-1/1 and FHR-2/2 as determined by measuring the remaining FHR-1 and -2 homodimers by ELISA. The mixtures, now with a known amount of native FHR-1/2 heterodimers, were used to calibrate the NHS standard.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996E4BE" id="_x0000_t202" coordsize="21600,21600" o:spt="202" path="m,l,21600r21600,l21600,xe">
                <v:stroke joinstyle="miter"/>
                <v:path gradientshapeok="t" o:connecttype="rect"/>
              </v:shapetype>
              <v:shape id="Text Box 1" o:spid="_x0000_s1026" type="#_x0000_t202" style="position:absolute;left:0;text-align:left;margin-left:.25pt;margin-top:430.05pt;width:452.85pt;height:.05pt;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5RiFgIAADgEAAAOAAAAZHJzL2Uyb0RvYy54bWysU8GO0zAQvSPxD5bvNO2iLhA1XZWuipCq&#10;3ZW6aM+u4zSWHI8Zu03K1zN2khYWToiLM/GM33jee17cdY1hJ4Vegy34bDLlTFkJpbaHgn973rz7&#10;yJkPwpbCgFUFPyvP75Zv3yxal6sbqMGUChmBWJ+3ruB1CC7PMi9r1Qg/AacsJSvARgT6xUNWomgJ&#10;vTHZzXR6m7WApUOQynvave+TfJnwq0rJ8FhVXgVmCk53C2nFtO7jmi0XIj+gcLWWwzXEP9yiEdpS&#10;0wvUvQiCHVH/AdVoieChChMJTQZVpaVKM9A0s+mraXa1cCrNQuR4d6HJ/z9Y+XDauSdkofsMHQkY&#10;CWmdzz1txnm6Cpv4pZsyyhOF5wttqgtM0ub8w3w2+zTnTFLu9v08YmTXow59+KKgYTEoOJImiSpx&#10;2vrQl44lsZMHo8uNNib+xMTaIDsJ0q+tdVAD+G9VxsZaC/FUDxh3suscMQrdvhuG20N5ppkRejt4&#10;JzeaGm2FD08CSX8akzwdHmmpDLQFhyHirAb88bf9WE+yUJazlvxUcP/9KFBxZr5aEiyabwxwDPZj&#10;YI/NGmjEGb0WJ1NIBzCYMawQmhey+ip2oZSwknoVPIzhOvSupqci1WqVishiToSt3TkZoUdCn7sX&#10;gW6QI5CKDzA6TeSvVOlrky5udQxEcZIsEtqzOPBM9kyiD08p+v/X/1R1ffDLnwAAAP//AwBQSwME&#10;FAAGAAgAAAAhALfsJfPfAAAACAEAAA8AAABkcnMvZG93bnJldi54bWxMj8FOwzAQRO9I/IO1SFwQ&#10;tRtKVEKcqqrgAJeK0As3N97GgXgd2U4b/h7TCxxnZzTztlxNtmdH9KFzJGE+E8CQGqc7aiXs3p9v&#10;l8BCVKRV7wglfGOAVXV5UapCuxO94bGOLUslFAolwcQ4FJyHxqBVYeYGpOQdnLcqJulbrr06pXLb&#10;80yInFvVUVowasCNwearHq2E7eJja27Gw9PrenHnX3bjJv9saymvr6b1I7CIU/wLwy9+QocqMe3d&#10;SDqwXsJ9yklY5mIOLNkPIs+A7c+XDHhV8v8PVD8AAAD//wMAUEsBAi0AFAAGAAgAAAAhALaDOJL+&#10;AAAA4QEAABMAAAAAAAAAAAAAAAAAAAAAAFtDb250ZW50X1R5cGVzXS54bWxQSwECLQAUAAYACAAA&#10;ACEAOP0h/9YAAACUAQAACwAAAAAAAAAAAAAAAAAvAQAAX3JlbHMvLnJlbHNQSwECLQAUAAYACAAA&#10;ACEAEXeUYhYCAAA4BAAADgAAAAAAAAAAAAAAAAAuAgAAZHJzL2Uyb0RvYy54bWxQSwECLQAUAAYA&#10;CAAAACEAt+wl898AAAAIAQAADwAAAAAAAAAAAAAAAABwBAAAZHJzL2Rvd25yZXYueG1sUEsFBgAA&#10;AAAEAAQA8wAAAHwFAAAAAA==&#10;" stroked="f">
                <v:textbox style="mso-fit-shape-to-text:t" inset="0,0,0,0">
                  <w:txbxContent>
                    <w:p w14:paraId="6CF72B19" w14:textId="0589C1DD" w:rsidR="008D048C" w:rsidRPr="00212192" w:rsidRDefault="008D048C" w:rsidP="001B0ED7">
                      <w:pPr>
                        <w:pStyle w:val="MDPI21heading1"/>
                        <w:spacing w:line="276" w:lineRule="auto"/>
                        <w:ind w:left="0"/>
                        <w:jc w:val="both"/>
                        <w:rPr>
                          <w:rFonts w:ascii="Arial" w:eastAsiaTheme="minorEastAsia" w:hAnsi="Arial" w:cs="Arial"/>
                          <w:b w:val="0"/>
                          <w:bCs/>
                          <w:sz w:val="15"/>
                          <w:szCs w:val="15"/>
                        </w:rPr>
                      </w:pPr>
                      <w:r w:rsidRPr="00212192">
                        <w:rPr>
                          <w:rFonts w:ascii="Arial" w:hAnsi="Arial" w:cs="Arial"/>
                          <w:sz w:val="15"/>
                          <w:szCs w:val="15"/>
                        </w:rPr>
                        <w:t xml:space="preserve">Figure </w:t>
                      </w:r>
                      <w:r w:rsidR="001B0ED7" w:rsidRPr="00212192">
                        <w:rPr>
                          <w:rFonts w:ascii="Arial" w:hAnsi="Arial" w:cs="Arial"/>
                          <w:sz w:val="15"/>
                          <w:szCs w:val="15"/>
                        </w:rPr>
                        <w:t>S</w:t>
                      </w:r>
                      <w:r w:rsidRPr="00212192">
                        <w:rPr>
                          <w:rFonts w:ascii="Arial" w:hAnsi="Arial" w:cs="Arial"/>
                          <w:sz w:val="15"/>
                          <w:szCs w:val="15"/>
                        </w:rPr>
                        <w:fldChar w:fldCharType="begin"/>
                      </w:r>
                      <w:r w:rsidRPr="00212192">
                        <w:rPr>
                          <w:rFonts w:ascii="Arial" w:hAnsi="Arial" w:cs="Arial"/>
                          <w:sz w:val="15"/>
                          <w:szCs w:val="15"/>
                        </w:rPr>
                        <w:instrText xml:space="preserve"> SEQ Figure \* ARABIC </w:instrText>
                      </w:r>
                      <w:r w:rsidRPr="00212192">
                        <w:rPr>
                          <w:rFonts w:ascii="Arial" w:hAnsi="Arial" w:cs="Arial"/>
                          <w:sz w:val="15"/>
                          <w:szCs w:val="15"/>
                        </w:rPr>
                        <w:fldChar w:fldCharType="separate"/>
                      </w:r>
                      <w:r w:rsidR="008F0F5B" w:rsidRPr="00212192">
                        <w:rPr>
                          <w:rFonts w:ascii="Arial" w:hAnsi="Arial" w:cs="Arial"/>
                          <w:noProof/>
                          <w:sz w:val="15"/>
                          <w:szCs w:val="15"/>
                        </w:rPr>
                        <w:t>1</w:t>
                      </w:r>
                      <w:r w:rsidRPr="00212192">
                        <w:rPr>
                          <w:rFonts w:ascii="Arial" w:hAnsi="Arial" w:cs="Arial"/>
                          <w:sz w:val="15"/>
                          <w:szCs w:val="15"/>
                        </w:rPr>
                        <w:fldChar w:fldCharType="end"/>
                      </w:r>
                      <w:r w:rsidRPr="00212192">
                        <w:rPr>
                          <w:rFonts w:ascii="Arial" w:eastAsiaTheme="minorEastAsia" w:hAnsi="Arial" w:cs="Arial"/>
                          <w:b w:val="0"/>
                          <w:sz w:val="15"/>
                          <w:szCs w:val="15"/>
                        </w:rPr>
                        <w:t>:</w:t>
                      </w:r>
                      <w:r w:rsidRPr="00212192">
                        <w:rPr>
                          <w:rFonts w:ascii="Arial" w:eastAsiaTheme="minorEastAsia" w:hAnsi="Arial" w:cs="Arial"/>
                          <w:b w:val="0"/>
                          <w:bCs/>
                          <w:sz w:val="15"/>
                          <w:szCs w:val="15"/>
                        </w:rPr>
                        <w:t xml:space="preserve"> Western blot analysis of immunoprecipitation using αFHR-2.11 or αFHR-2.15 in serum deficient for FHR-1 or -2. Immunoblots were stained using the FH specific </w:t>
                      </w:r>
                      <w:r w:rsidR="00796376" w:rsidRPr="009F3568">
                        <w:rPr>
                          <w:rFonts w:ascii="Arial" w:eastAsiaTheme="minorEastAsia" w:hAnsi="Arial" w:cs="Arial"/>
                          <w:b w:val="0"/>
                          <w:bCs/>
                          <w:sz w:val="15"/>
                          <w:szCs w:val="15"/>
                        </w:rPr>
                        <w:t>α</w:t>
                      </w:r>
                      <w:r w:rsidRPr="00212192">
                        <w:rPr>
                          <w:rFonts w:ascii="Arial" w:eastAsiaTheme="minorEastAsia" w:hAnsi="Arial" w:cs="Arial"/>
                          <w:b w:val="0"/>
                          <w:bCs/>
                          <w:sz w:val="15"/>
                          <w:szCs w:val="15"/>
                        </w:rPr>
                        <w:t>FH.16 mAb to exclude cross reactivity for FH.</w:t>
                      </w:r>
                      <w:r w:rsidRPr="00212192">
                        <w:rPr>
                          <w:rFonts w:ascii="Arial" w:eastAsiaTheme="minorEastAsia" w:hAnsi="Arial" w:cs="Arial"/>
                          <w:b w:val="0"/>
                          <w:bCs/>
                          <w:sz w:val="15"/>
                          <w:szCs w:val="15"/>
                          <w:vertAlign w:val="superscript"/>
                        </w:rPr>
                        <w:t>23</w:t>
                      </w:r>
                      <w:r w:rsidRPr="00212192">
                        <w:rPr>
                          <w:rFonts w:ascii="Arial" w:eastAsiaTheme="minorEastAsia" w:hAnsi="Arial" w:cs="Arial"/>
                          <w:b w:val="0"/>
                          <w:bCs/>
                          <w:sz w:val="15"/>
                          <w:szCs w:val="15"/>
                        </w:rPr>
                        <w:t xml:space="preserve"> Schematic representation of novel developed (b) FHR-2/2 and optimized (c) FHR-1/2 ELISA</w:t>
                      </w:r>
                      <w:r w:rsidR="00796376">
                        <w:rPr>
                          <w:rFonts w:ascii="Arial" w:eastAsiaTheme="minorEastAsia" w:hAnsi="Arial" w:cs="Arial"/>
                          <w:b w:val="0"/>
                          <w:bCs/>
                          <w:sz w:val="15"/>
                          <w:szCs w:val="15"/>
                        </w:rPr>
                        <w:t>.</w:t>
                      </w:r>
                      <w:r w:rsidRPr="00212192">
                        <w:rPr>
                          <w:rFonts w:ascii="Arial" w:eastAsiaTheme="minorEastAsia" w:hAnsi="Arial" w:cs="Arial"/>
                          <w:b w:val="0"/>
                          <w:bCs/>
                          <w:sz w:val="15"/>
                          <w:szCs w:val="15"/>
                        </w:rPr>
                        <w:t xml:space="preserve"> (d)Various sandwich combination of FHR-1 (</w:t>
                      </w:r>
                      <w:r w:rsidR="000C3BDB" w:rsidRPr="009F3568">
                        <w:rPr>
                          <w:rFonts w:ascii="Arial" w:eastAsiaTheme="minorEastAsia" w:hAnsi="Arial" w:cs="Arial"/>
                          <w:b w:val="0"/>
                          <w:bCs/>
                          <w:sz w:val="15"/>
                          <w:szCs w:val="15"/>
                        </w:rPr>
                        <w:t>α</w:t>
                      </w:r>
                      <w:r w:rsidRPr="00212192">
                        <w:rPr>
                          <w:rFonts w:ascii="Arial" w:eastAsiaTheme="minorEastAsia" w:hAnsi="Arial" w:cs="Arial"/>
                          <w:b w:val="0"/>
                          <w:bCs/>
                          <w:sz w:val="15"/>
                          <w:szCs w:val="15"/>
                        </w:rPr>
                        <w:t>FH.02) and FHR-5 (</w:t>
                      </w:r>
                      <w:r w:rsidR="000C3BDB" w:rsidRPr="009F3568">
                        <w:rPr>
                          <w:rFonts w:ascii="Arial" w:eastAsiaTheme="minorEastAsia" w:hAnsi="Arial" w:cs="Arial"/>
                          <w:b w:val="0"/>
                          <w:bCs/>
                          <w:sz w:val="15"/>
                          <w:szCs w:val="15"/>
                        </w:rPr>
                        <w:t>α</w:t>
                      </w:r>
                      <w:r w:rsidRPr="00212192">
                        <w:rPr>
                          <w:rFonts w:ascii="Arial" w:eastAsiaTheme="minorEastAsia" w:hAnsi="Arial" w:cs="Arial"/>
                          <w:b w:val="0"/>
                          <w:bCs/>
                          <w:sz w:val="15"/>
                          <w:szCs w:val="15"/>
                        </w:rPr>
                        <w:t xml:space="preserve">FHR-5.1, 5.4) mAbs with </w:t>
                      </w:r>
                      <w:r w:rsidR="00BC2520" w:rsidRPr="009F3568">
                        <w:rPr>
                          <w:rFonts w:ascii="Arial" w:eastAsiaTheme="minorEastAsia" w:hAnsi="Arial" w:cs="Arial"/>
                          <w:b w:val="0"/>
                          <w:bCs/>
                          <w:sz w:val="15"/>
                          <w:szCs w:val="15"/>
                        </w:rPr>
                        <w:t>α</w:t>
                      </w:r>
                      <w:r w:rsidRPr="00212192">
                        <w:rPr>
                          <w:rFonts w:ascii="Arial" w:eastAsiaTheme="minorEastAsia" w:hAnsi="Arial" w:cs="Arial"/>
                          <w:b w:val="0"/>
                          <w:bCs/>
                          <w:sz w:val="15"/>
                          <w:szCs w:val="15"/>
                        </w:rPr>
                        <w:t xml:space="preserve">FHR-2.11 to validate FHR-2 specificity of </w:t>
                      </w:r>
                      <w:r w:rsidRPr="00212192">
                        <w:rPr>
                          <w:rFonts w:ascii="Cambria Math" w:eastAsiaTheme="minorEastAsia" w:hAnsi="Cambria Math" w:cs="Cambria Math"/>
                          <w:b w:val="0"/>
                          <w:bCs/>
                          <w:sz w:val="15"/>
                          <w:szCs w:val="15"/>
                        </w:rPr>
                        <w:t>⍺</w:t>
                      </w:r>
                      <w:r w:rsidRPr="00212192">
                        <w:rPr>
                          <w:rFonts w:ascii="Arial" w:eastAsiaTheme="minorEastAsia" w:hAnsi="Arial" w:cs="Arial"/>
                          <w:b w:val="0"/>
                          <w:bCs/>
                          <w:sz w:val="15"/>
                          <w:szCs w:val="15"/>
                        </w:rPr>
                        <w:t>FHR-2.11. NHS (20%</w:t>
                      </w:r>
                      <w:r w:rsidR="00BC2520">
                        <w:rPr>
                          <w:rFonts w:ascii="Arial" w:eastAsiaTheme="minorEastAsia" w:hAnsi="Arial" w:cs="Arial"/>
                          <w:b w:val="0"/>
                          <w:bCs/>
                          <w:sz w:val="15"/>
                          <w:szCs w:val="15"/>
                        </w:rPr>
                        <w:t>,</w:t>
                      </w:r>
                      <w:r w:rsidRPr="00212192">
                        <w:rPr>
                          <w:rFonts w:ascii="Arial" w:eastAsiaTheme="minorEastAsia" w:hAnsi="Arial" w:cs="Arial"/>
                          <w:b w:val="0"/>
                          <w:bCs/>
                          <w:sz w:val="15"/>
                          <w:szCs w:val="15"/>
                        </w:rPr>
                        <w:t xml:space="preserve"> v/v) or serum deficient in either FHR-1 or -2 (20%</w:t>
                      </w:r>
                      <w:r w:rsidR="00BC2520">
                        <w:rPr>
                          <w:rFonts w:ascii="Arial" w:eastAsiaTheme="minorEastAsia" w:hAnsi="Arial" w:cs="Arial"/>
                          <w:b w:val="0"/>
                          <w:bCs/>
                          <w:sz w:val="15"/>
                          <w:szCs w:val="15"/>
                        </w:rPr>
                        <w:t>,</w:t>
                      </w:r>
                      <w:r w:rsidRPr="00212192">
                        <w:rPr>
                          <w:rFonts w:ascii="Arial" w:eastAsiaTheme="minorEastAsia" w:hAnsi="Arial" w:cs="Arial"/>
                          <w:b w:val="0"/>
                          <w:bCs/>
                          <w:sz w:val="15"/>
                          <w:szCs w:val="15"/>
                        </w:rPr>
                        <w:t xml:space="preserve"> v/v) were incubated on wells coated with indicated mAbs. Indicated biotinylated detection mAbs (0.2 µg/mL) and streptavidin poly-HRP (0.01%</w:t>
                      </w:r>
                      <w:r w:rsidR="003067CF">
                        <w:rPr>
                          <w:rFonts w:ascii="Arial" w:eastAsiaTheme="minorEastAsia" w:hAnsi="Arial" w:cs="Arial"/>
                          <w:b w:val="0"/>
                          <w:bCs/>
                          <w:sz w:val="15"/>
                          <w:szCs w:val="15"/>
                        </w:rPr>
                        <w:t xml:space="preserve">, </w:t>
                      </w:r>
                      <w:r w:rsidRPr="00212192">
                        <w:rPr>
                          <w:rFonts w:ascii="Arial" w:eastAsiaTheme="minorEastAsia" w:hAnsi="Arial" w:cs="Arial"/>
                          <w:b w:val="0"/>
                          <w:bCs/>
                          <w:sz w:val="15"/>
                          <w:szCs w:val="15"/>
                        </w:rPr>
                        <w:t>v/v) were used to obtain a sensitive detection. (f) FHR-1/2 levels in mixes A to G after six hours incubation on 37°C to allow the formation of FHR-1/2 heterodimers. Mixes A to G contain various ratios (95-5%, 85-15%, 75-25%, 50-50%, 25-75%, 15-85% and 5-95%</w:t>
                      </w:r>
                      <w:r w:rsidR="003067CF">
                        <w:rPr>
                          <w:rFonts w:ascii="Arial" w:eastAsiaTheme="minorEastAsia" w:hAnsi="Arial" w:cs="Arial"/>
                          <w:b w:val="0"/>
                          <w:bCs/>
                          <w:sz w:val="15"/>
                          <w:szCs w:val="15"/>
                        </w:rPr>
                        <w:t>,</w:t>
                      </w:r>
                      <w:r w:rsidRPr="00212192">
                        <w:rPr>
                          <w:rFonts w:ascii="Arial" w:eastAsiaTheme="minorEastAsia" w:hAnsi="Arial" w:cs="Arial"/>
                          <w:b w:val="0"/>
                          <w:bCs/>
                          <w:sz w:val="15"/>
                          <w:szCs w:val="15"/>
                        </w:rPr>
                        <w:t xml:space="preserve"> v/v) FHR-2 deficient plasma</w:t>
                      </w:r>
                      <w:r w:rsidR="009018ED">
                        <w:rPr>
                          <w:rFonts w:ascii="Arial" w:eastAsiaTheme="minorEastAsia" w:hAnsi="Arial" w:cs="Arial"/>
                          <w:b w:val="0"/>
                          <w:bCs/>
                          <w:sz w:val="15"/>
                          <w:szCs w:val="15"/>
                        </w:rPr>
                        <w:t xml:space="preserve"> and </w:t>
                      </w:r>
                      <w:r w:rsidR="009018ED" w:rsidRPr="00212192">
                        <w:rPr>
                          <w:rFonts w:ascii="Arial" w:eastAsiaTheme="minorEastAsia" w:hAnsi="Arial" w:cs="Arial"/>
                          <w:b w:val="0"/>
                          <w:bCs/>
                          <w:i/>
                          <w:iCs/>
                          <w:sz w:val="15"/>
                          <w:szCs w:val="15"/>
                        </w:rPr>
                        <w:t>CFHR3/CFHR1</w:t>
                      </w:r>
                      <w:r w:rsidR="009018ED" w:rsidRPr="00212192">
                        <w:rPr>
                          <w:rFonts w:ascii="Arial" w:eastAsiaTheme="minorEastAsia" w:hAnsi="Arial" w:cs="Arial"/>
                          <w:b w:val="0"/>
                          <w:bCs/>
                          <w:sz w:val="15"/>
                          <w:szCs w:val="15"/>
                        </w:rPr>
                        <w:t xml:space="preserve"> deficient</w:t>
                      </w:r>
                      <w:r w:rsidRPr="00212192">
                        <w:rPr>
                          <w:rFonts w:ascii="Arial" w:eastAsiaTheme="minorEastAsia" w:hAnsi="Arial" w:cs="Arial"/>
                          <w:b w:val="0"/>
                          <w:bCs/>
                          <w:sz w:val="15"/>
                          <w:szCs w:val="15"/>
                        </w:rPr>
                        <w:t>, respectively. The level of FHR-1/2 in each mix was determined six times using the other mixes as calibrator. Bars represent the mean of three measurements with error bars indicating the median with interquartile range. (g) FHR-1/2 assay calibration of NHS using mixes A-G. FHR-1/2 levels in each mix were based on the average decline in FHR-1/1 and FHR-2/2 as determined by measuring the remaining FHR-1 and -2 homodimers by ELISA. The mixtures, now with a known amount of native FHR-1/2 heterodimers, were used to calibrate the NHS standard.</w:t>
                      </w:r>
                    </w:p>
                  </w:txbxContent>
                </v:textbox>
                <w10:wrap type="topAndBottom" anchorx="margin"/>
              </v:shape>
            </w:pict>
          </mc:Fallback>
        </mc:AlternateContent>
      </w:r>
      <w:r w:rsidR="00972E37" w:rsidRPr="00EE249E">
        <w:rPr>
          <w:noProof/>
        </w:rPr>
        <w:drawing>
          <wp:anchor distT="0" distB="0" distL="114300" distR="114300" simplePos="0" relativeHeight="251658240" behindDoc="0" locked="0" layoutInCell="1" allowOverlap="1" wp14:anchorId="45EE481F" wp14:editId="235EC594">
            <wp:simplePos x="0" y="0"/>
            <wp:positionH relativeFrom="column">
              <wp:posOffset>-604520</wp:posOffset>
            </wp:positionH>
            <wp:positionV relativeFrom="paragraph">
              <wp:posOffset>0</wp:posOffset>
            </wp:positionV>
            <wp:extent cx="0" cy="0"/>
            <wp:effectExtent l="0" t="0" r="0" b="0"/>
            <wp:wrapTopAndBottom/>
            <wp:docPr id="168643547" name="Picture 3" descr="A screenshot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43547" name="Picture 3" descr="A screenshot of a paper&#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0" cy="0"/>
                    </a:xfrm>
                    <a:prstGeom prst="rect">
                      <a:avLst/>
                    </a:prstGeom>
                  </pic:spPr>
                </pic:pic>
              </a:graphicData>
            </a:graphic>
            <wp14:sizeRelH relativeFrom="page">
              <wp14:pctWidth>0</wp14:pctWidth>
            </wp14:sizeRelH>
            <wp14:sizeRelV relativeFrom="page">
              <wp14:pctHeight>0</wp14:pctHeight>
            </wp14:sizeRelV>
          </wp:anchor>
        </w:drawing>
      </w:r>
    </w:p>
    <w:p w14:paraId="2FBA11ED" w14:textId="70EA6A8E" w:rsidR="004A0DF2" w:rsidRPr="00EE249E" w:rsidRDefault="00637041" w:rsidP="00F94565">
      <w:pPr>
        <w:pStyle w:val="MDPI21heading1"/>
        <w:spacing w:line="276" w:lineRule="auto"/>
        <w:ind w:left="0"/>
        <w:jc w:val="both"/>
        <w:rPr>
          <w:rFonts w:ascii="Arial" w:eastAsiaTheme="minorEastAsia" w:hAnsi="Arial" w:cs="Arial"/>
          <w:b w:val="0"/>
          <w:bCs/>
          <w:szCs w:val="20"/>
        </w:rPr>
      </w:pPr>
      <w:r>
        <w:rPr>
          <w:noProof/>
        </w:rPr>
        <w:drawing>
          <wp:anchor distT="0" distB="0" distL="114300" distR="114300" simplePos="0" relativeHeight="251660296" behindDoc="0" locked="0" layoutInCell="1" allowOverlap="1" wp14:anchorId="62A5D7B7" wp14:editId="023C2548">
            <wp:simplePos x="0" y="0"/>
            <wp:positionH relativeFrom="column">
              <wp:posOffset>1270</wp:posOffset>
            </wp:positionH>
            <wp:positionV relativeFrom="paragraph">
              <wp:posOffset>-273685</wp:posOffset>
            </wp:positionV>
            <wp:extent cx="5567045" cy="5600700"/>
            <wp:effectExtent l="0" t="0" r="0" b="0"/>
            <wp:wrapTopAndBottom/>
            <wp:docPr id="392290565" name="Picture 4" descr="A collage of diagrams and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90565" name="Picture 4" descr="A collage of diagrams and graph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67045" cy="5600700"/>
                    </a:xfrm>
                    <a:prstGeom prst="rect">
                      <a:avLst/>
                    </a:prstGeom>
                    <a:noFill/>
                    <a:ln>
                      <a:noFill/>
                    </a:ln>
                  </pic:spPr>
                </pic:pic>
              </a:graphicData>
            </a:graphic>
          </wp:anchor>
        </w:drawing>
      </w:r>
      <w:r w:rsidR="00D56988">
        <w:rPr>
          <w:rFonts w:ascii="Arial" w:eastAsiaTheme="minorEastAsia" w:hAnsi="Arial" w:cs="Arial"/>
          <w:b w:val="0"/>
          <w:bCs/>
          <w:szCs w:val="20"/>
        </w:rPr>
        <w:br w:type="page"/>
      </w:r>
    </w:p>
    <w:p w14:paraId="40753102" w14:textId="70C70E70" w:rsidR="004A0DF2" w:rsidRPr="00EE249E" w:rsidRDefault="00C02013" w:rsidP="00F94565">
      <w:pPr>
        <w:pStyle w:val="MDPI21heading1"/>
        <w:spacing w:line="276" w:lineRule="auto"/>
        <w:ind w:left="0"/>
        <w:jc w:val="both"/>
        <w:rPr>
          <w:rFonts w:ascii="Arial" w:eastAsiaTheme="minorEastAsia" w:hAnsi="Arial" w:cs="Arial"/>
          <w:b w:val="0"/>
          <w:bCs/>
          <w:szCs w:val="20"/>
        </w:rPr>
      </w:pPr>
      <w:r w:rsidRPr="00EE249E">
        <w:rPr>
          <w:rFonts w:ascii="Arial" w:hAnsi="Arial" w:cs="Arial"/>
          <w:noProof/>
        </w:rPr>
        <w:lastRenderedPageBreak/>
        <mc:AlternateContent>
          <mc:Choice Requires="wps">
            <w:drawing>
              <wp:anchor distT="0" distB="0" distL="114300" distR="114300" simplePos="0" relativeHeight="251658242" behindDoc="0" locked="0" layoutInCell="1" allowOverlap="1" wp14:anchorId="6940307B" wp14:editId="029A0B5D">
                <wp:simplePos x="0" y="0"/>
                <wp:positionH relativeFrom="margin">
                  <wp:posOffset>3175</wp:posOffset>
                </wp:positionH>
                <wp:positionV relativeFrom="paragraph">
                  <wp:posOffset>5568315</wp:posOffset>
                </wp:positionV>
                <wp:extent cx="5751195" cy="635"/>
                <wp:effectExtent l="0" t="0" r="1905" b="1905"/>
                <wp:wrapTopAndBottom/>
                <wp:docPr id="75208490" name="Text Box 1"/>
                <wp:cNvGraphicFramePr/>
                <a:graphic xmlns:a="http://schemas.openxmlformats.org/drawingml/2006/main">
                  <a:graphicData uri="http://schemas.microsoft.com/office/word/2010/wordprocessingShape">
                    <wps:wsp>
                      <wps:cNvSpPr txBox="1"/>
                      <wps:spPr>
                        <a:xfrm>
                          <a:off x="0" y="0"/>
                          <a:ext cx="5751195" cy="635"/>
                        </a:xfrm>
                        <a:prstGeom prst="rect">
                          <a:avLst/>
                        </a:prstGeom>
                        <a:solidFill>
                          <a:prstClr val="white"/>
                        </a:solidFill>
                        <a:ln>
                          <a:noFill/>
                        </a:ln>
                      </wps:spPr>
                      <wps:txbx>
                        <w:txbxContent>
                          <w:p w14:paraId="0DF6F52D" w14:textId="77DDA5F4" w:rsidR="008F0F5B" w:rsidRPr="00927166" w:rsidRDefault="00BC2B37" w:rsidP="00BC2B37">
                            <w:pPr>
                              <w:pStyle w:val="MDPI41tablecaption"/>
                              <w:spacing w:line="276" w:lineRule="auto"/>
                              <w:ind w:left="0"/>
                              <w:jc w:val="both"/>
                              <w:rPr>
                                <w:rFonts w:ascii="Arial" w:eastAsiaTheme="minorEastAsia" w:hAnsi="Arial" w:cs="Arial"/>
                                <w:snapToGrid w:val="0"/>
                                <w:sz w:val="15"/>
                                <w:szCs w:val="15"/>
                              </w:rPr>
                            </w:pPr>
                            <w:r w:rsidRPr="00927166">
                              <w:rPr>
                                <w:rFonts w:ascii="Arial" w:eastAsiaTheme="minorEastAsia" w:hAnsi="Arial" w:cs="Arial"/>
                                <w:b/>
                                <w:snapToGrid w:val="0"/>
                                <w:sz w:val="15"/>
                                <w:szCs w:val="15"/>
                                <w:lang w:val="en-GB"/>
                              </w:rPr>
                              <w:t>F</w:t>
                            </w:r>
                            <w:proofErr w:type="spellStart"/>
                            <w:r w:rsidRPr="00927166">
                              <w:rPr>
                                <w:rFonts w:ascii="Arial" w:eastAsiaTheme="minorEastAsia" w:hAnsi="Arial" w:cs="Arial"/>
                                <w:b/>
                                <w:snapToGrid w:val="0"/>
                                <w:sz w:val="15"/>
                                <w:szCs w:val="15"/>
                              </w:rPr>
                              <w:t>igure</w:t>
                            </w:r>
                            <w:proofErr w:type="spellEnd"/>
                            <w:r w:rsidRPr="00927166">
                              <w:rPr>
                                <w:rFonts w:ascii="Arial" w:eastAsiaTheme="minorEastAsia" w:hAnsi="Arial" w:cs="Arial"/>
                                <w:b/>
                                <w:snapToGrid w:val="0"/>
                                <w:sz w:val="15"/>
                                <w:szCs w:val="15"/>
                              </w:rPr>
                              <w:t xml:space="preserve"> S2:</w:t>
                            </w:r>
                            <w:r w:rsidRPr="00927166">
                              <w:rPr>
                                <w:rFonts w:ascii="Arial" w:eastAsiaTheme="minorEastAsia" w:hAnsi="Arial" w:cs="Arial"/>
                                <w:bCs/>
                                <w:snapToGrid w:val="0"/>
                                <w:sz w:val="15"/>
                                <w:szCs w:val="15"/>
                              </w:rPr>
                              <w:t xml:space="preserve"> Investigating the influence of pH (a) or a rising salt concentration (b) on antigen binding to </w:t>
                            </w:r>
                            <w:r w:rsidR="00927166" w:rsidRPr="00927166">
                              <w:rPr>
                                <w:rFonts w:ascii="Arial" w:eastAsiaTheme="minorEastAsia" w:hAnsi="Arial" w:cs="Arial"/>
                                <w:bCs/>
                                <w:sz w:val="15"/>
                                <w:szCs w:val="15"/>
                              </w:rPr>
                              <w:t>α</w:t>
                            </w:r>
                            <w:r w:rsidRPr="00927166">
                              <w:rPr>
                                <w:rFonts w:ascii="Arial" w:eastAsiaTheme="minorEastAsia" w:hAnsi="Arial" w:cs="Arial"/>
                                <w:bCs/>
                                <w:snapToGrid w:val="0"/>
                                <w:sz w:val="15"/>
                                <w:szCs w:val="15"/>
                              </w:rPr>
                              <w:t xml:space="preserve">FH.02 or </w:t>
                            </w:r>
                            <w:r w:rsidR="00927166" w:rsidRPr="00927166">
                              <w:rPr>
                                <w:rFonts w:ascii="Arial" w:eastAsiaTheme="minorEastAsia" w:hAnsi="Arial" w:cs="Arial"/>
                                <w:bCs/>
                                <w:sz w:val="15"/>
                                <w:szCs w:val="15"/>
                              </w:rPr>
                              <w:t>α</w:t>
                            </w:r>
                            <w:r w:rsidRPr="00927166">
                              <w:rPr>
                                <w:rFonts w:ascii="Arial" w:eastAsiaTheme="minorEastAsia" w:hAnsi="Arial" w:cs="Arial"/>
                                <w:bCs/>
                                <w:snapToGrid w:val="0"/>
                                <w:sz w:val="15"/>
                                <w:szCs w:val="15"/>
                              </w:rPr>
                              <w:t xml:space="preserve">FHR-2.11. Monomeric FHR-1 or FHR-2 CCP3-4 were incubated under different pH levels and NaCl concentrations on </w:t>
                            </w:r>
                            <w:r w:rsidR="00927166" w:rsidRPr="00927166">
                              <w:rPr>
                                <w:rFonts w:ascii="Arial" w:eastAsiaTheme="minorEastAsia" w:hAnsi="Arial" w:cs="Arial"/>
                                <w:bCs/>
                                <w:sz w:val="15"/>
                                <w:szCs w:val="15"/>
                              </w:rPr>
                              <w:t>α</w:t>
                            </w:r>
                            <w:r w:rsidRPr="00927166">
                              <w:rPr>
                                <w:rFonts w:ascii="Arial" w:eastAsiaTheme="minorEastAsia" w:hAnsi="Arial" w:cs="Arial"/>
                                <w:bCs/>
                                <w:snapToGrid w:val="0"/>
                                <w:sz w:val="15"/>
                                <w:szCs w:val="15"/>
                              </w:rPr>
                              <w:t xml:space="preserve">FH.02 and </w:t>
                            </w:r>
                            <w:r w:rsidR="00927166" w:rsidRPr="00927166">
                              <w:rPr>
                                <w:rFonts w:ascii="Arial" w:eastAsiaTheme="minorEastAsia" w:hAnsi="Arial" w:cs="Arial"/>
                                <w:bCs/>
                                <w:sz w:val="15"/>
                                <w:szCs w:val="15"/>
                              </w:rPr>
                              <w:t>α</w:t>
                            </w:r>
                            <w:r w:rsidRPr="00927166">
                              <w:rPr>
                                <w:rFonts w:ascii="Arial" w:eastAsiaTheme="minorEastAsia" w:hAnsi="Arial" w:cs="Arial"/>
                                <w:bCs/>
                                <w:snapToGrid w:val="0"/>
                                <w:sz w:val="15"/>
                                <w:szCs w:val="15"/>
                              </w:rPr>
                              <w:t>FHR-2.11 coated plates respectively, showing no significant impact on antigen binding. (c) Impact of sodium chloride on dimer stability. NHS (3%</w:t>
                            </w:r>
                            <w:r w:rsidR="00927166" w:rsidRPr="00927166">
                              <w:rPr>
                                <w:rFonts w:ascii="Arial" w:eastAsiaTheme="minorEastAsia" w:hAnsi="Arial" w:cs="Arial"/>
                                <w:bCs/>
                                <w:snapToGrid w:val="0"/>
                                <w:sz w:val="15"/>
                                <w:szCs w:val="15"/>
                              </w:rPr>
                              <w:t xml:space="preserve">, </w:t>
                            </w:r>
                            <w:r w:rsidRPr="00927166">
                              <w:rPr>
                                <w:rFonts w:ascii="Arial" w:eastAsiaTheme="minorEastAsia" w:hAnsi="Arial" w:cs="Arial"/>
                                <w:bCs/>
                                <w:snapToGrid w:val="0"/>
                                <w:sz w:val="15"/>
                                <w:szCs w:val="15"/>
                              </w:rPr>
                              <w:t>v/v) was incubated with increasing concentrations of NaCl ranging from 0.0625-2 M. 125 mM NaCl was used as a 100% reference. Results are presented as percentage of change in dimer levels compared to 0.125 M NaCl. (c) The Shapiro-Wilk test was used to test for normal distribution of the population. A Brown-</w:t>
                            </w:r>
                            <w:proofErr w:type="spellStart"/>
                            <w:r w:rsidRPr="00927166">
                              <w:rPr>
                                <w:rFonts w:ascii="Arial" w:eastAsiaTheme="minorEastAsia" w:hAnsi="Arial" w:cs="Arial"/>
                                <w:bCs/>
                                <w:snapToGrid w:val="0"/>
                                <w:sz w:val="15"/>
                                <w:szCs w:val="15"/>
                              </w:rPr>
                              <w:t>Frosythe</w:t>
                            </w:r>
                            <w:proofErr w:type="spellEnd"/>
                            <w:r w:rsidRPr="00927166">
                              <w:rPr>
                                <w:rFonts w:ascii="Arial" w:eastAsiaTheme="minorEastAsia" w:hAnsi="Arial" w:cs="Arial"/>
                                <w:bCs/>
                                <w:snapToGrid w:val="0"/>
                                <w:sz w:val="15"/>
                                <w:szCs w:val="15"/>
                              </w:rPr>
                              <w:t xml:space="preserve"> and Welch ANOVA test with the Dunnett's T3 multiple comparisons test was used to test for significant differences between the FHR-1 and -2 dimers at a given NaCl concentration. Symbols represent the mean of multiple measurements with error bars the SD. (* p&lt; 0.05; ** p &lt;0.01; *** p &lt;0.001; **** p &lt;0.0001)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940307B" id="_x0000_s1027" type="#_x0000_t202" style="position:absolute;left:0;text-align:left;margin-left:.25pt;margin-top:438.45pt;width:452.85pt;height:.05pt;z-index:25165824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YU0GQIAAD8EAAAOAAAAZHJzL2Uyb0RvYy54bWysU8Fu2zAMvQ/YPwi6L046pFuNOEWWIsOA&#10;oi2QDj0rshwLkEWNUmJnXz9KtpOu22nYRaZJihTfe1zcdo1hR4Vegy34bDLlTFkJpbb7gn9/3nz4&#10;zJkPwpbCgFUFPynPb5fv3y1al6srqMGUChkVsT5vXcHrEFyeZV7WqhF+Ak5ZClaAjQj0i/usRNFS&#10;9cZkV9PpddYClg5BKu/Je9cH+TLVryolw2NVeRWYKTi9LaQT07mLZ7ZciHyPwtVaDs8Q//CKRmhL&#10;Tc+l7kQQ7ID6j1KNlggeqjCR0GRQVVqqNANNM5u+mWZbC6fSLASOd2eY/P8rKx+OW/eELHRfoCMC&#10;IyCt87knZ5ynq7CJX3opozhBeDrDprrAJDnnn+az2c2cM0mx64/zWCO7XHXow1cFDYtGwZE4SVCJ&#10;470PfeqYEjt5MLrcaGPiTwysDbKjIP7aWgc1FP8ty9iYayHe6gtGT3aZI1qh23VMl69m3EF5otER&#10;elV4Jzea+t0LH54EkgxoWpJ2eKSjMtAWHAaLsxrw59/8MZ/YoShnLcmq4P7HQaDizHyzxFvU4Gjg&#10;aOxGwx6aNdCkM1oaJ5NJFzCY0awQmhdS/Cp2oZCwknoVPIzmOvTipo2RarVKSaQ0J8K93ToZS4+4&#10;PncvAt3ASiAyH2AUnMjfkNPnJnrc6hAI6cRcxLVHcYCbVJq4HzYqrsHr/5R12fvlLwAAAP//AwBQ&#10;SwMEFAAGAAgAAAAhAFJp8PDgAAAACAEAAA8AAABkcnMvZG93bnJldi54bWxMj8FOwzAQRO9I/IO1&#10;SFwQtSklbUOcqqrgQC8VoRdubryNA/E6sp02/D3uCY6zM5p5W6xG27ET+tA6kvAwEcCQaqdbaiTs&#10;P17vF8BCVKRV5wgl/GCAVXl9VahcuzO946mKDUslFHIlwcTY55yH2qBVYeJ6pOQdnbcqJukbrr06&#10;p3Lb8akQGbeqpbRgVI8bg/V3NVgJu9nnztwNx5ftevbo3/bDJvtqKilvb8b1M7CIY/wLwwU/oUOZ&#10;mA5uIB1YJ+Ep5SQs5tkSWLKXIpsCO1wucwG8LPj/B8pfAAAA//8DAFBLAQItABQABgAIAAAAIQC2&#10;gziS/gAAAOEBAAATAAAAAAAAAAAAAAAAAAAAAABbQ29udGVudF9UeXBlc10ueG1sUEsBAi0AFAAG&#10;AAgAAAAhADj9If/WAAAAlAEAAAsAAAAAAAAAAAAAAAAALwEAAF9yZWxzLy5yZWxzUEsBAi0AFAAG&#10;AAgAAAAhADsFhTQZAgAAPwQAAA4AAAAAAAAAAAAAAAAALgIAAGRycy9lMm9Eb2MueG1sUEsBAi0A&#10;FAAGAAgAAAAhAFJp8PDgAAAACAEAAA8AAAAAAAAAAAAAAAAAcwQAAGRycy9kb3ducmV2LnhtbFBL&#10;BQYAAAAABAAEAPMAAACABQAAAAA=&#10;" stroked="f">
                <v:textbox style="mso-fit-shape-to-text:t" inset="0,0,0,0">
                  <w:txbxContent>
                    <w:p w14:paraId="0DF6F52D" w14:textId="77DDA5F4" w:rsidR="008F0F5B" w:rsidRPr="00927166" w:rsidRDefault="00BC2B37" w:rsidP="00BC2B37">
                      <w:pPr>
                        <w:pStyle w:val="MDPI41tablecaption"/>
                        <w:spacing w:line="276" w:lineRule="auto"/>
                        <w:ind w:left="0"/>
                        <w:jc w:val="both"/>
                        <w:rPr>
                          <w:rFonts w:ascii="Arial" w:eastAsiaTheme="minorEastAsia" w:hAnsi="Arial" w:cs="Arial"/>
                          <w:snapToGrid w:val="0"/>
                          <w:sz w:val="15"/>
                          <w:szCs w:val="15"/>
                        </w:rPr>
                      </w:pPr>
                      <w:r w:rsidRPr="00927166">
                        <w:rPr>
                          <w:rFonts w:ascii="Arial" w:eastAsiaTheme="minorEastAsia" w:hAnsi="Arial" w:cs="Arial"/>
                          <w:b/>
                          <w:snapToGrid w:val="0"/>
                          <w:sz w:val="15"/>
                          <w:szCs w:val="15"/>
                          <w:lang w:val="en-GB"/>
                        </w:rPr>
                        <w:t>F</w:t>
                      </w:r>
                      <w:proofErr w:type="spellStart"/>
                      <w:r w:rsidRPr="00927166">
                        <w:rPr>
                          <w:rFonts w:ascii="Arial" w:eastAsiaTheme="minorEastAsia" w:hAnsi="Arial" w:cs="Arial"/>
                          <w:b/>
                          <w:snapToGrid w:val="0"/>
                          <w:sz w:val="15"/>
                          <w:szCs w:val="15"/>
                        </w:rPr>
                        <w:t>igure</w:t>
                      </w:r>
                      <w:proofErr w:type="spellEnd"/>
                      <w:r w:rsidRPr="00927166">
                        <w:rPr>
                          <w:rFonts w:ascii="Arial" w:eastAsiaTheme="minorEastAsia" w:hAnsi="Arial" w:cs="Arial"/>
                          <w:b/>
                          <w:snapToGrid w:val="0"/>
                          <w:sz w:val="15"/>
                          <w:szCs w:val="15"/>
                        </w:rPr>
                        <w:t xml:space="preserve"> S2:</w:t>
                      </w:r>
                      <w:r w:rsidRPr="00927166">
                        <w:rPr>
                          <w:rFonts w:ascii="Arial" w:eastAsiaTheme="minorEastAsia" w:hAnsi="Arial" w:cs="Arial"/>
                          <w:bCs/>
                          <w:snapToGrid w:val="0"/>
                          <w:sz w:val="15"/>
                          <w:szCs w:val="15"/>
                        </w:rPr>
                        <w:t xml:space="preserve"> Investigating the influence of pH (a) or a rising salt concentration (b) on antigen binding to </w:t>
                      </w:r>
                      <w:r w:rsidR="00927166" w:rsidRPr="00927166">
                        <w:rPr>
                          <w:rFonts w:ascii="Arial" w:eastAsiaTheme="minorEastAsia" w:hAnsi="Arial" w:cs="Arial"/>
                          <w:bCs/>
                          <w:sz w:val="15"/>
                          <w:szCs w:val="15"/>
                        </w:rPr>
                        <w:t>α</w:t>
                      </w:r>
                      <w:r w:rsidRPr="00927166">
                        <w:rPr>
                          <w:rFonts w:ascii="Arial" w:eastAsiaTheme="minorEastAsia" w:hAnsi="Arial" w:cs="Arial"/>
                          <w:bCs/>
                          <w:snapToGrid w:val="0"/>
                          <w:sz w:val="15"/>
                          <w:szCs w:val="15"/>
                        </w:rPr>
                        <w:t xml:space="preserve">FH.02 or </w:t>
                      </w:r>
                      <w:r w:rsidR="00927166" w:rsidRPr="00927166">
                        <w:rPr>
                          <w:rFonts w:ascii="Arial" w:eastAsiaTheme="minorEastAsia" w:hAnsi="Arial" w:cs="Arial"/>
                          <w:bCs/>
                          <w:sz w:val="15"/>
                          <w:szCs w:val="15"/>
                        </w:rPr>
                        <w:t>α</w:t>
                      </w:r>
                      <w:r w:rsidRPr="00927166">
                        <w:rPr>
                          <w:rFonts w:ascii="Arial" w:eastAsiaTheme="minorEastAsia" w:hAnsi="Arial" w:cs="Arial"/>
                          <w:bCs/>
                          <w:snapToGrid w:val="0"/>
                          <w:sz w:val="15"/>
                          <w:szCs w:val="15"/>
                        </w:rPr>
                        <w:t xml:space="preserve">FHR-2.11. Monomeric FHR-1 or FHR-2 CCP3-4 were incubated under different pH levels and NaCl concentrations on </w:t>
                      </w:r>
                      <w:r w:rsidR="00927166" w:rsidRPr="00927166">
                        <w:rPr>
                          <w:rFonts w:ascii="Arial" w:eastAsiaTheme="minorEastAsia" w:hAnsi="Arial" w:cs="Arial"/>
                          <w:bCs/>
                          <w:sz w:val="15"/>
                          <w:szCs w:val="15"/>
                        </w:rPr>
                        <w:t>α</w:t>
                      </w:r>
                      <w:r w:rsidRPr="00927166">
                        <w:rPr>
                          <w:rFonts w:ascii="Arial" w:eastAsiaTheme="minorEastAsia" w:hAnsi="Arial" w:cs="Arial"/>
                          <w:bCs/>
                          <w:snapToGrid w:val="0"/>
                          <w:sz w:val="15"/>
                          <w:szCs w:val="15"/>
                        </w:rPr>
                        <w:t xml:space="preserve">FH.02 and </w:t>
                      </w:r>
                      <w:r w:rsidR="00927166" w:rsidRPr="00927166">
                        <w:rPr>
                          <w:rFonts w:ascii="Arial" w:eastAsiaTheme="minorEastAsia" w:hAnsi="Arial" w:cs="Arial"/>
                          <w:bCs/>
                          <w:sz w:val="15"/>
                          <w:szCs w:val="15"/>
                        </w:rPr>
                        <w:t>α</w:t>
                      </w:r>
                      <w:r w:rsidRPr="00927166">
                        <w:rPr>
                          <w:rFonts w:ascii="Arial" w:eastAsiaTheme="minorEastAsia" w:hAnsi="Arial" w:cs="Arial"/>
                          <w:bCs/>
                          <w:snapToGrid w:val="0"/>
                          <w:sz w:val="15"/>
                          <w:szCs w:val="15"/>
                        </w:rPr>
                        <w:t>FHR-2.11 coated plates respectively, showing no significant impact on antigen binding. (c) Impact of sodium chloride on dimer stability. NHS (3%</w:t>
                      </w:r>
                      <w:r w:rsidR="00927166" w:rsidRPr="00927166">
                        <w:rPr>
                          <w:rFonts w:ascii="Arial" w:eastAsiaTheme="minorEastAsia" w:hAnsi="Arial" w:cs="Arial"/>
                          <w:bCs/>
                          <w:snapToGrid w:val="0"/>
                          <w:sz w:val="15"/>
                          <w:szCs w:val="15"/>
                        </w:rPr>
                        <w:t xml:space="preserve">, </w:t>
                      </w:r>
                      <w:r w:rsidRPr="00927166">
                        <w:rPr>
                          <w:rFonts w:ascii="Arial" w:eastAsiaTheme="minorEastAsia" w:hAnsi="Arial" w:cs="Arial"/>
                          <w:bCs/>
                          <w:snapToGrid w:val="0"/>
                          <w:sz w:val="15"/>
                          <w:szCs w:val="15"/>
                        </w:rPr>
                        <w:t>v/v) was incubated with increasing concentrations of NaCl ranging from 0.0625-2 M. 125 mM NaCl was used as a 100% reference. Results are presented as percentage of change in dimer levels compared to 0.125 M NaCl. (c) The Shapiro-Wilk test was used to test for normal distribution of the population. A Brown-</w:t>
                      </w:r>
                      <w:proofErr w:type="spellStart"/>
                      <w:r w:rsidRPr="00927166">
                        <w:rPr>
                          <w:rFonts w:ascii="Arial" w:eastAsiaTheme="minorEastAsia" w:hAnsi="Arial" w:cs="Arial"/>
                          <w:bCs/>
                          <w:snapToGrid w:val="0"/>
                          <w:sz w:val="15"/>
                          <w:szCs w:val="15"/>
                        </w:rPr>
                        <w:t>Frosythe</w:t>
                      </w:r>
                      <w:proofErr w:type="spellEnd"/>
                      <w:r w:rsidRPr="00927166">
                        <w:rPr>
                          <w:rFonts w:ascii="Arial" w:eastAsiaTheme="minorEastAsia" w:hAnsi="Arial" w:cs="Arial"/>
                          <w:bCs/>
                          <w:snapToGrid w:val="0"/>
                          <w:sz w:val="15"/>
                          <w:szCs w:val="15"/>
                        </w:rPr>
                        <w:t xml:space="preserve"> and Welch ANOVA test with the Dunnett's T3 multiple comparisons test was used to test for significant differences between the FHR-1 and -2 dimers at a given NaCl concentration. Symbols represent the mean of multiple measurements with error bars the SD. (* p&lt; 0.05; ** p &lt;0.01; *** p &lt;0.001; **** p &lt;0.0001)</w:t>
                      </w:r>
                    </w:p>
                  </w:txbxContent>
                </v:textbox>
                <w10:wrap type="topAndBottom" anchorx="margin"/>
              </v:shape>
            </w:pict>
          </mc:Fallback>
        </mc:AlternateContent>
      </w:r>
      <w:r>
        <w:rPr>
          <w:rFonts w:ascii="Arial" w:eastAsiaTheme="minorEastAsia" w:hAnsi="Arial" w:cs="Arial"/>
          <w:b w:val="0"/>
          <w:bCs/>
          <w:noProof/>
          <w:szCs w:val="20"/>
        </w:rPr>
        <w:drawing>
          <wp:anchor distT="0" distB="0" distL="114300" distR="114300" simplePos="0" relativeHeight="251659272" behindDoc="0" locked="0" layoutInCell="1" allowOverlap="1" wp14:anchorId="071159C2" wp14:editId="1F8D962A">
            <wp:simplePos x="0" y="0"/>
            <wp:positionH relativeFrom="margin">
              <wp:align>center</wp:align>
            </wp:positionH>
            <wp:positionV relativeFrom="paragraph">
              <wp:posOffset>-76</wp:posOffset>
            </wp:positionV>
            <wp:extent cx="4431665" cy="5911850"/>
            <wp:effectExtent l="0" t="0" r="6985" b="0"/>
            <wp:wrapTopAndBottom/>
            <wp:docPr id="1223965027" name="Picture 2" descr="A screen 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965027" name="Picture 2" descr="A screen shot of a video game&#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31665" cy="5911850"/>
                    </a:xfrm>
                    <a:prstGeom prst="rect">
                      <a:avLst/>
                    </a:prstGeom>
                    <a:noFill/>
                    <a:ln>
                      <a:noFill/>
                    </a:ln>
                  </pic:spPr>
                </pic:pic>
              </a:graphicData>
            </a:graphic>
          </wp:anchor>
        </w:drawing>
      </w:r>
    </w:p>
    <w:p w14:paraId="18F0D5A5" w14:textId="4DD14814" w:rsidR="00C02013" w:rsidRDefault="00C02013" w:rsidP="00F94565">
      <w:pPr>
        <w:pStyle w:val="MDPI21heading1"/>
        <w:spacing w:line="276" w:lineRule="auto"/>
        <w:ind w:left="0"/>
        <w:jc w:val="both"/>
        <w:rPr>
          <w:rFonts w:ascii="Arial" w:eastAsiaTheme="minorEastAsia" w:hAnsi="Arial" w:cs="Arial"/>
          <w:b w:val="0"/>
          <w:bCs/>
          <w:szCs w:val="20"/>
        </w:rPr>
      </w:pPr>
      <w:r>
        <w:rPr>
          <w:rFonts w:ascii="Arial" w:eastAsiaTheme="minorEastAsia" w:hAnsi="Arial" w:cs="Arial"/>
          <w:b w:val="0"/>
          <w:bCs/>
          <w:szCs w:val="20"/>
        </w:rPr>
        <w:br w:type="page"/>
      </w:r>
    </w:p>
    <w:p w14:paraId="22878388" w14:textId="3C50CA9E" w:rsidR="00BC2B37" w:rsidRDefault="00BC2B37" w:rsidP="00F94565">
      <w:pPr>
        <w:pStyle w:val="MDPI21heading1"/>
        <w:spacing w:line="276" w:lineRule="auto"/>
        <w:ind w:left="0"/>
        <w:jc w:val="both"/>
        <w:rPr>
          <w:rFonts w:ascii="Arial" w:eastAsiaTheme="minorEastAsia" w:hAnsi="Arial" w:cs="Arial"/>
          <w:b w:val="0"/>
          <w:bCs/>
          <w:szCs w:val="20"/>
        </w:rPr>
      </w:pPr>
    </w:p>
    <w:p w14:paraId="63C02D55" w14:textId="591FA4E2" w:rsidR="005405C0" w:rsidRDefault="005405C0" w:rsidP="00F94565">
      <w:pPr>
        <w:pStyle w:val="MDPI21heading1"/>
        <w:spacing w:line="276" w:lineRule="auto"/>
        <w:ind w:left="0"/>
        <w:jc w:val="both"/>
        <w:rPr>
          <w:rFonts w:ascii="Arial" w:eastAsiaTheme="minorEastAsia" w:hAnsi="Arial" w:cs="Arial"/>
          <w:b w:val="0"/>
          <w:bCs/>
          <w:szCs w:val="20"/>
        </w:rPr>
      </w:pPr>
      <w:r>
        <w:rPr>
          <w:noProof/>
        </w:rPr>
        <mc:AlternateContent>
          <mc:Choice Requires="wps">
            <w:drawing>
              <wp:anchor distT="0" distB="0" distL="114300" distR="114300" simplePos="0" relativeHeight="251658246" behindDoc="0" locked="0" layoutInCell="1" allowOverlap="1" wp14:anchorId="2E056591" wp14:editId="65DB1B9F">
                <wp:simplePos x="0" y="0"/>
                <wp:positionH relativeFrom="margin">
                  <wp:posOffset>3175</wp:posOffset>
                </wp:positionH>
                <wp:positionV relativeFrom="paragraph">
                  <wp:posOffset>3825712</wp:posOffset>
                </wp:positionV>
                <wp:extent cx="5751576" cy="635"/>
                <wp:effectExtent l="0" t="0" r="1905" b="9525"/>
                <wp:wrapTopAndBottom/>
                <wp:docPr id="1293966036" name="Text Box 1"/>
                <wp:cNvGraphicFramePr/>
                <a:graphic xmlns:a="http://schemas.openxmlformats.org/drawingml/2006/main">
                  <a:graphicData uri="http://schemas.microsoft.com/office/word/2010/wordprocessingShape">
                    <wps:wsp>
                      <wps:cNvSpPr txBox="1"/>
                      <wps:spPr>
                        <a:xfrm>
                          <a:off x="0" y="0"/>
                          <a:ext cx="5751576" cy="635"/>
                        </a:xfrm>
                        <a:prstGeom prst="rect">
                          <a:avLst/>
                        </a:prstGeom>
                        <a:noFill/>
                        <a:ln>
                          <a:noFill/>
                        </a:ln>
                      </wps:spPr>
                      <wps:txbx>
                        <w:txbxContent>
                          <w:p w14:paraId="61D9AF25" w14:textId="6B173FC9" w:rsidR="009D1E09" w:rsidRPr="009D1E09" w:rsidRDefault="005405C0" w:rsidP="009D1E09">
                            <w:pPr>
                              <w:pStyle w:val="MDPI41tablecaption"/>
                              <w:spacing w:line="276" w:lineRule="auto"/>
                              <w:ind w:left="0"/>
                              <w:jc w:val="both"/>
                              <w:rPr>
                                <w:rFonts w:ascii="Arial" w:eastAsiaTheme="minorEastAsia" w:hAnsi="Arial" w:cs="Arial"/>
                                <w:bCs/>
                                <w:sz w:val="15"/>
                                <w:szCs w:val="15"/>
                              </w:rPr>
                            </w:pPr>
                            <w:r w:rsidRPr="009D5868">
                              <w:rPr>
                                <w:rFonts w:ascii="Arial" w:eastAsiaTheme="minorEastAsia" w:hAnsi="Arial" w:cs="Arial"/>
                                <w:b/>
                                <w:sz w:val="15"/>
                                <w:szCs w:val="15"/>
                              </w:rPr>
                              <w:t>Figure S3:</w:t>
                            </w:r>
                            <w:r w:rsidRPr="005405C0">
                              <w:rPr>
                                <w:rFonts w:ascii="Arial" w:eastAsiaTheme="minorEastAsia" w:hAnsi="Arial" w:cs="Arial"/>
                                <w:bCs/>
                                <w:sz w:val="15"/>
                                <w:szCs w:val="15"/>
                              </w:rPr>
                              <w:t xml:space="preserve"> Spearman correlations of FHR-1/2 with FHR-1/1 (a) or -2/2 (b) stratified on </w:t>
                            </w:r>
                            <w:r w:rsidRPr="005405C0">
                              <w:rPr>
                                <w:rFonts w:ascii="Arial" w:eastAsiaTheme="minorEastAsia" w:hAnsi="Arial" w:cs="Arial"/>
                                <w:bCs/>
                                <w:i/>
                                <w:iCs/>
                                <w:sz w:val="15"/>
                                <w:szCs w:val="15"/>
                              </w:rPr>
                              <w:t>CFHR1</w:t>
                            </w:r>
                            <w:r w:rsidRPr="005405C0">
                              <w:rPr>
                                <w:rFonts w:ascii="Arial" w:eastAsiaTheme="minorEastAsia" w:hAnsi="Arial" w:cs="Arial"/>
                                <w:bCs/>
                                <w:sz w:val="15"/>
                                <w:szCs w:val="15"/>
                              </w:rPr>
                              <w:t xml:space="preserve"> CNV. (d) Showing the impact of indicated SNPs on total levels of FHR-1. Data is not corrected for </w:t>
                            </w:r>
                            <w:r w:rsidRPr="005405C0">
                              <w:rPr>
                                <w:rFonts w:ascii="Arial" w:eastAsiaTheme="minorEastAsia" w:hAnsi="Arial" w:cs="Arial"/>
                                <w:bCs/>
                                <w:i/>
                                <w:iCs/>
                                <w:sz w:val="15"/>
                                <w:szCs w:val="15"/>
                              </w:rPr>
                              <w:t>CFHR1</w:t>
                            </w:r>
                            <w:r w:rsidRPr="005405C0">
                              <w:rPr>
                                <w:rFonts w:ascii="Arial" w:eastAsiaTheme="minorEastAsia" w:hAnsi="Arial" w:cs="Arial"/>
                                <w:bCs/>
                                <w:sz w:val="15"/>
                                <w:szCs w:val="15"/>
                              </w:rPr>
                              <w:t xml:space="preserve"> CNV. (c) Validation of MLPA probe developed to identify and determine the copy number variation of rs4085749. Donors are categorized being wild type, hetero -or homozygous for the c.420C&gt;T mutation. Colored symbols represent donors identified by NGS to carry additional low frequency </w:t>
                            </w:r>
                            <w:r w:rsidRPr="005405C0">
                              <w:rPr>
                                <w:rFonts w:ascii="Arial" w:eastAsiaTheme="minorEastAsia" w:hAnsi="Arial" w:cs="Arial"/>
                                <w:bCs/>
                                <w:i/>
                                <w:iCs/>
                                <w:sz w:val="15"/>
                                <w:szCs w:val="15"/>
                              </w:rPr>
                              <w:t>CFHR2</w:t>
                            </w:r>
                            <w:r w:rsidRPr="005405C0">
                              <w:rPr>
                                <w:rFonts w:ascii="Arial" w:eastAsiaTheme="minorEastAsia" w:hAnsi="Arial" w:cs="Arial"/>
                                <w:bCs/>
                                <w:sz w:val="15"/>
                                <w:szCs w:val="15"/>
                              </w:rPr>
                              <w:t xml:space="preserve"> mutations (heterozygous): red= p.Cys72Tyr.; blue= p.Tyr264Cys.; green= p.Cys72Tyr &amp; p.Glu199Ter. (d) Showing the impact of indicated SNPs on total FHR-1 levels. (e) Pearson correlations between inferred and directly measured FHR-2/2 levels. Inferred levels were computed as previously outlined in Rispens T </w:t>
                            </w:r>
                            <w:r w:rsidRPr="00FE10A5">
                              <w:rPr>
                                <w:rFonts w:ascii="Arial" w:eastAsiaTheme="minorEastAsia" w:hAnsi="Arial" w:cs="Arial"/>
                                <w:bCs/>
                                <w:i/>
                                <w:iCs/>
                                <w:sz w:val="15"/>
                                <w:szCs w:val="15"/>
                              </w:rPr>
                              <w:t>et al</w:t>
                            </w:r>
                            <w:r w:rsidR="00FE10A5" w:rsidRPr="00FE10A5">
                              <w:rPr>
                                <w:rFonts w:ascii="Arial" w:eastAsiaTheme="minorEastAsia" w:hAnsi="Arial" w:cs="Arial"/>
                                <w:bCs/>
                                <w:i/>
                                <w:iCs/>
                                <w:sz w:val="15"/>
                                <w:szCs w:val="15"/>
                              </w:rPr>
                              <w:t>.</w:t>
                            </w:r>
                            <w:r w:rsidRPr="005405C0">
                              <w:rPr>
                                <w:rFonts w:ascii="Arial" w:eastAsiaTheme="minorEastAsia" w:hAnsi="Arial" w:cs="Arial"/>
                                <w:bCs/>
                                <w:sz w:val="15"/>
                                <w:szCs w:val="15"/>
                              </w:rPr>
                              <w:t xml:space="preserve"> (2011) and van Beek </w:t>
                            </w:r>
                            <w:r w:rsidRPr="00FE10A5">
                              <w:rPr>
                                <w:rFonts w:ascii="Arial" w:eastAsiaTheme="minorEastAsia" w:hAnsi="Arial" w:cs="Arial"/>
                                <w:bCs/>
                                <w:i/>
                                <w:iCs/>
                                <w:sz w:val="15"/>
                                <w:szCs w:val="15"/>
                              </w:rPr>
                              <w:t>et al.</w:t>
                            </w:r>
                            <w:r w:rsidR="00FE10A5">
                              <w:rPr>
                                <w:rFonts w:ascii="Arial" w:eastAsiaTheme="minorEastAsia" w:hAnsi="Arial" w:cs="Arial"/>
                                <w:bCs/>
                                <w:sz w:val="15"/>
                                <w:szCs w:val="15"/>
                              </w:rPr>
                              <w:t xml:space="preserve"> </w:t>
                            </w:r>
                            <w:r w:rsidRPr="005405C0">
                              <w:rPr>
                                <w:rFonts w:ascii="Arial" w:eastAsiaTheme="minorEastAsia" w:hAnsi="Arial" w:cs="Arial"/>
                                <w:bCs/>
                                <w:sz w:val="15"/>
                                <w:szCs w:val="15"/>
                              </w:rPr>
                              <w:t>(2017). (c, d) the one-way ANOVA test with the Tukey corrections test for multiple testing was used to test for significant differences. Symbols represent the mean of two measurements with (c, d) error bars indicating the median with interquartile range. (* p&lt; 0.05; ** p &lt;0.01; *** p &lt;0.001; **** p &lt;0.0001)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E056591" id="_x0000_s1028" type="#_x0000_t202" style="position:absolute;left:0;text-align:left;margin-left:.25pt;margin-top:301.25pt;width:452.9pt;height:.05pt;z-index:25165824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0C6CQIAABcEAAAOAAAAZHJzL2Uyb0RvYy54bWysU8Fu2zAMvQ/YPwi6L04yJB2MOEXWIsOA&#10;oC2QDj0rshQbsESNUmJnXz9KjpOt66nYRaZJ6pF8fFrcdqZhR4W+BlvwyWjMmbISytruC/7jef3p&#10;C2c+CFuKBqwq+El5frv8+GHRulxNoYKmVMgIxPq8dQWvQnB5lnlZKSP8CJyyFNSARgT6xX1WomgJ&#10;3TTZdDyeZy1g6RCk8p68932QLxO+1kqGR629CqwpOPUW0onp3MUzWy5Evkfhqlqe2xDv6MKI2lLR&#10;C9S9CIIdsP4HytQSwYMOIwkmA61rqdIMNM1k/GqabSWcSrMQOd5daPL/D1Y+HLfuCVnovkJHC4yE&#10;tM7nnpxxnk6jiV/qlFGcKDxdaFNdYJKcs5vZZHYz50xSbP55FjGy61WHPnxTYFg0Co60k0SVOG58&#10;6FOHlFjJwrpumrSXxv7lIMzoya79RSt0u47VZcGnQ+87KE80EkK/be/kuqbSG+HDk0BaL01Bkg2P&#10;dOgG2oLD2eKsAvz1lj/mE+sU5awluRTc/zwIVJw13y3tI2prMHAwdoNhD+YOSIETegxOJpMuYGgG&#10;UyOYF1LyKlahkLCSahU8DOZd6EVLL0Gq1SolkYKcCBu7dTJCR64ikc/di0B3ZjvQkh5gEJLIX5He&#10;58ab3q0OgahPG4m89iye6Sb1pZ2eX0qU95//Kev6npe/AQAA//8DAFBLAwQUAAYACAAAACEAlphL&#10;EdsAAAAIAQAADwAAAGRycy9kb3ducmV2LnhtbEyPMU/DMBCFdyT+g3VILIjaCSKiaZwKIVjYaFnY&#10;3PiaRNjnKHaT0F/PwQLb3b2nd9+rtot3YsIx9oE0ZCsFAqkJtqdWw/v+5fYBREyGrHGBUMMXRtjW&#10;lxeVKW2Y6Q2nXWoFh1AsjYYupaGUMjYdehNXYUBi7RhGbxKvYyvtaGYO907mShXSm574Q2cGfOqw&#10;+dydvIZieR5uXteYz+fGTfRxzrKEmdbXV8vjBkTCJf2Z4Qef0aFmpkM4kY3CabhnHyepnAeW16q4&#10;A3H4vRQg60r+L1B/AwAA//8DAFBLAQItABQABgAIAAAAIQC2gziS/gAAAOEBAAATAAAAAAAAAAAA&#10;AAAAAAAAAABbQ29udGVudF9UeXBlc10ueG1sUEsBAi0AFAAGAAgAAAAhADj9If/WAAAAlAEAAAsA&#10;AAAAAAAAAAAAAAAALwEAAF9yZWxzLy5yZWxzUEsBAi0AFAAGAAgAAAAhALrLQLoJAgAAFwQAAA4A&#10;AAAAAAAAAAAAAAAALgIAAGRycy9lMm9Eb2MueG1sUEsBAi0AFAAGAAgAAAAhAJaYSxHbAAAACAEA&#10;AA8AAAAAAAAAAAAAAAAAYwQAAGRycy9kb3ducmV2LnhtbFBLBQYAAAAABAAEAPMAAABrBQAAAAA=&#10;" filled="f" stroked="f">
                <v:textbox style="mso-fit-shape-to-text:t" inset="0,0,0,0">
                  <w:txbxContent>
                    <w:p w14:paraId="61D9AF25" w14:textId="6B173FC9" w:rsidR="009D1E09" w:rsidRPr="009D1E09" w:rsidRDefault="005405C0" w:rsidP="009D1E09">
                      <w:pPr>
                        <w:pStyle w:val="MDPI41tablecaption"/>
                        <w:spacing w:line="276" w:lineRule="auto"/>
                        <w:ind w:left="0"/>
                        <w:jc w:val="both"/>
                        <w:rPr>
                          <w:rFonts w:ascii="Arial" w:eastAsiaTheme="minorEastAsia" w:hAnsi="Arial" w:cs="Arial"/>
                          <w:bCs/>
                          <w:sz w:val="15"/>
                          <w:szCs w:val="15"/>
                        </w:rPr>
                      </w:pPr>
                      <w:r w:rsidRPr="009D5868">
                        <w:rPr>
                          <w:rFonts w:ascii="Arial" w:eastAsiaTheme="minorEastAsia" w:hAnsi="Arial" w:cs="Arial"/>
                          <w:b/>
                          <w:sz w:val="15"/>
                          <w:szCs w:val="15"/>
                        </w:rPr>
                        <w:t>Figure S3:</w:t>
                      </w:r>
                      <w:r w:rsidRPr="005405C0">
                        <w:rPr>
                          <w:rFonts w:ascii="Arial" w:eastAsiaTheme="minorEastAsia" w:hAnsi="Arial" w:cs="Arial"/>
                          <w:bCs/>
                          <w:sz w:val="15"/>
                          <w:szCs w:val="15"/>
                        </w:rPr>
                        <w:t xml:space="preserve"> Spearman correlations of FHR-1/2 with FHR-1/1 (a) or -2/2 (b) stratified on </w:t>
                      </w:r>
                      <w:r w:rsidRPr="005405C0">
                        <w:rPr>
                          <w:rFonts w:ascii="Arial" w:eastAsiaTheme="minorEastAsia" w:hAnsi="Arial" w:cs="Arial"/>
                          <w:bCs/>
                          <w:i/>
                          <w:iCs/>
                          <w:sz w:val="15"/>
                          <w:szCs w:val="15"/>
                        </w:rPr>
                        <w:t>CFHR1</w:t>
                      </w:r>
                      <w:r w:rsidRPr="005405C0">
                        <w:rPr>
                          <w:rFonts w:ascii="Arial" w:eastAsiaTheme="minorEastAsia" w:hAnsi="Arial" w:cs="Arial"/>
                          <w:bCs/>
                          <w:sz w:val="15"/>
                          <w:szCs w:val="15"/>
                        </w:rPr>
                        <w:t xml:space="preserve"> CNV. (d) Showing the impact of indicated SNPs on total levels of FHR-1. Data is not corrected for </w:t>
                      </w:r>
                      <w:r w:rsidRPr="005405C0">
                        <w:rPr>
                          <w:rFonts w:ascii="Arial" w:eastAsiaTheme="minorEastAsia" w:hAnsi="Arial" w:cs="Arial"/>
                          <w:bCs/>
                          <w:i/>
                          <w:iCs/>
                          <w:sz w:val="15"/>
                          <w:szCs w:val="15"/>
                        </w:rPr>
                        <w:t>CFHR1</w:t>
                      </w:r>
                      <w:r w:rsidRPr="005405C0">
                        <w:rPr>
                          <w:rFonts w:ascii="Arial" w:eastAsiaTheme="minorEastAsia" w:hAnsi="Arial" w:cs="Arial"/>
                          <w:bCs/>
                          <w:sz w:val="15"/>
                          <w:szCs w:val="15"/>
                        </w:rPr>
                        <w:t xml:space="preserve"> CNV. (c) Validation of MLPA probe developed to identify and determine the copy number variation of rs4085749. Donors are categorized being wild type, hetero -or homozygous for the c.420C&gt;T mutation. Colored symbols represent donors identified by NGS to carry additional low frequency </w:t>
                      </w:r>
                      <w:r w:rsidRPr="005405C0">
                        <w:rPr>
                          <w:rFonts w:ascii="Arial" w:eastAsiaTheme="minorEastAsia" w:hAnsi="Arial" w:cs="Arial"/>
                          <w:bCs/>
                          <w:i/>
                          <w:iCs/>
                          <w:sz w:val="15"/>
                          <w:szCs w:val="15"/>
                        </w:rPr>
                        <w:t>CFHR2</w:t>
                      </w:r>
                      <w:r w:rsidRPr="005405C0">
                        <w:rPr>
                          <w:rFonts w:ascii="Arial" w:eastAsiaTheme="minorEastAsia" w:hAnsi="Arial" w:cs="Arial"/>
                          <w:bCs/>
                          <w:sz w:val="15"/>
                          <w:szCs w:val="15"/>
                        </w:rPr>
                        <w:t xml:space="preserve"> mutations (heterozygous): red= p.Cys72Tyr.; blue= p.Tyr264Cys.; green= p.Cys72Tyr &amp; p.Glu199Ter. (d) Showing the impact of indicated SNPs on total FHR-1 levels. (e) Pearson correlations between inferred and directly measured FHR-2/2 levels. Inferred levels were computed as previously outlined in Rispens T </w:t>
                      </w:r>
                      <w:r w:rsidRPr="00FE10A5">
                        <w:rPr>
                          <w:rFonts w:ascii="Arial" w:eastAsiaTheme="minorEastAsia" w:hAnsi="Arial" w:cs="Arial"/>
                          <w:bCs/>
                          <w:i/>
                          <w:iCs/>
                          <w:sz w:val="15"/>
                          <w:szCs w:val="15"/>
                        </w:rPr>
                        <w:t>et al</w:t>
                      </w:r>
                      <w:r w:rsidR="00FE10A5" w:rsidRPr="00FE10A5">
                        <w:rPr>
                          <w:rFonts w:ascii="Arial" w:eastAsiaTheme="minorEastAsia" w:hAnsi="Arial" w:cs="Arial"/>
                          <w:bCs/>
                          <w:i/>
                          <w:iCs/>
                          <w:sz w:val="15"/>
                          <w:szCs w:val="15"/>
                        </w:rPr>
                        <w:t>.</w:t>
                      </w:r>
                      <w:r w:rsidRPr="005405C0">
                        <w:rPr>
                          <w:rFonts w:ascii="Arial" w:eastAsiaTheme="minorEastAsia" w:hAnsi="Arial" w:cs="Arial"/>
                          <w:bCs/>
                          <w:sz w:val="15"/>
                          <w:szCs w:val="15"/>
                        </w:rPr>
                        <w:t xml:space="preserve"> (2011) and van Beek </w:t>
                      </w:r>
                      <w:r w:rsidRPr="00FE10A5">
                        <w:rPr>
                          <w:rFonts w:ascii="Arial" w:eastAsiaTheme="minorEastAsia" w:hAnsi="Arial" w:cs="Arial"/>
                          <w:bCs/>
                          <w:i/>
                          <w:iCs/>
                          <w:sz w:val="15"/>
                          <w:szCs w:val="15"/>
                        </w:rPr>
                        <w:t>et al.</w:t>
                      </w:r>
                      <w:r w:rsidR="00FE10A5">
                        <w:rPr>
                          <w:rFonts w:ascii="Arial" w:eastAsiaTheme="minorEastAsia" w:hAnsi="Arial" w:cs="Arial"/>
                          <w:bCs/>
                          <w:sz w:val="15"/>
                          <w:szCs w:val="15"/>
                        </w:rPr>
                        <w:t xml:space="preserve"> </w:t>
                      </w:r>
                      <w:r w:rsidRPr="005405C0">
                        <w:rPr>
                          <w:rFonts w:ascii="Arial" w:eastAsiaTheme="minorEastAsia" w:hAnsi="Arial" w:cs="Arial"/>
                          <w:bCs/>
                          <w:sz w:val="15"/>
                          <w:szCs w:val="15"/>
                        </w:rPr>
                        <w:t>(2017). (c, d) the one-way ANOVA test with the Tukey corrections test for multiple testing was used to test for significant differences. Symbols represent the mean of two measurements with (c, d) error bars indicating the median with interquartile range. (* p&lt; 0.05; ** p &lt;0.01; *** p &lt;0.001; **** p &lt;0.0001)</w:t>
                      </w:r>
                    </w:p>
                  </w:txbxContent>
                </v:textbox>
                <w10:wrap type="topAndBottom" anchorx="margin"/>
              </v:shape>
            </w:pict>
          </mc:Fallback>
        </mc:AlternateContent>
      </w:r>
      <w:r w:rsidRPr="005405C0">
        <w:rPr>
          <w:rFonts w:ascii="Arial" w:eastAsiaTheme="minorEastAsia" w:hAnsi="Arial" w:cs="Arial"/>
          <w:b w:val="0"/>
          <w:bCs/>
          <w:noProof/>
          <w:szCs w:val="20"/>
          <w:lang w:val="en-GB"/>
        </w:rPr>
        <w:drawing>
          <wp:anchor distT="0" distB="0" distL="114300" distR="114300" simplePos="0" relativeHeight="251658245" behindDoc="0" locked="0" layoutInCell="1" allowOverlap="1" wp14:anchorId="1E7B0E28" wp14:editId="4AAA91A7">
            <wp:simplePos x="0" y="0"/>
            <wp:positionH relativeFrom="margin">
              <wp:align>center</wp:align>
            </wp:positionH>
            <wp:positionV relativeFrom="paragraph">
              <wp:posOffset>9053</wp:posOffset>
            </wp:positionV>
            <wp:extent cx="5186680" cy="3983355"/>
            <wp:effectExtent l="0" t="0" r="0" b="4445"/>
            <wp:wrapTopAndBottom/>
            <wp:docPr id="229830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830113" name=""/>
                    <pic:cNvPicPr/>
                  </pic:nvPicPr>
                  <pic:blipFill rotWithShape="1">
                    <a:blip r:embed="rId11"/>
                    <a:srcRect l="9757" r="6808" b="55638"/>
                    <a:stretch/>
                  </pic:blipFill>
                  <pic:spPr bwMode="auto">
                    <a:xfrm>
                      <a:off x="0" y="0"/>
                      <a:ext cx="5186680" cy="3983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5B6BCC" w14:textId="77777777" w:rsidR="005405C0" w:rsidRDefault="005405C0" w:rsidP="00F94565">
      <w:pPr>
        <w:pStyle w:val="MDPI21heading1"/>
        <w:spacing w:line="276" w:lineRule="auto"/>
        <w:ind w:left="0"/>
        <w:jc w:val="both"/>
        <w:rPr>
          <w:rFonts w:ascii="Arial" w:eastAsiaTheme="minorEastAsia" w:hAnsi="Arial" w:cs="Arial"/>
          <w:b w:val="0"/>
          <w:bCs/>
          <w:szCs w:val="20"/>
        </w:rPr>
      </w:pPr>
    </w:p>
    <w:p w14:paraId="22C264E7" w14:textId="594B146C" w:rsidR="004A0DF2" w:rsidRPr="00EE249E" w:rsidRDefault="004A0DF2" w:rsidP="00F94565">
      <w:pPr>
        <w:pStyle w:val="MDPI21heading1"/>
        <w:spacing w:line="276" w:lineRule="auto"/>
        <w:ind w:left="0"/>
        <w:jc w:val="both"/>
        <w:rPr>
          <w:rFonts w:ascii="Arial" w:eastAsiaTheme="minorEastAsia" w:hAnsi="Arial" w:cs="Arial"/>
          <w:b w:val="0"/>
          <w:bCs/>
          <w:szCs w:val="20"/>
        </w:rPr>
      </w:pPr>
      <w:r w:rsidRPr="00EE249E">
        <w:rPr>
          <w:rFonts w:ascii="Arial" w:eastAsiaTheme="minorEastAsia" w:hAnsi="Arial" w:cs="Arial"/>
          <w:b w:val="0"/>
          <w:bCs/>
          <w:szCs w:val="20"/>
        </w:rPr>
        <w:br w:type="page"/>
      </w:r>
    </w:p>
    <w:p w14:paraId="17DA3C73" w14:textId="6F8F1490" w:rsidR="006C5FCF" w:rsidRPr="00EE249E" w:rsidRDefault="0058696B" w:rsidP="00F94565">
      <w:pPr>
        <w:pStyle w:val="MDPI21heading1"/>
        <w:spacing w:line="276" w:lineRule="auto"/>
        <w:ind w:left="0"/>
        <w:jc w:val="both"/>
        <w:rPr>
          <w:rFonts w:ascii="Arial" w:eastAsiaTheme="minorEastAsia" w:hAnsi="Arial" w:cs="Arial"/>
          <w:b w:val="0"/>
          <w:bCs/>
          <w:szCs w:val="20"/>
        </w:rPr>
      </w:pPr>
      <w:r w:rsidRPr="003C4351">
        <w:rPr>
          <w:rFonts w:ascii="Arial" w:eastAsiaTheme="minorEastAsia" w:hAnsi="Arial" w:cs="Arial"/>
          <w:b w:val="0"/>
          <w:bCs/>
          <w:noProof/>
          <w:szCs w:val="20"/>
          <w:lang w:val="en-GB"/>
        </w:rPr>
        <w:lastRenderedPageBreak/>
        <w:drawing>
          <wp:anchor distT="0" distB="0" distL="114300" distR="114300" simplePos="0" relativeHeight="251658247" behindDoc="0" locked="0" layoutInCell="1" allowOverlap="1" wp14:anchorId="08F97134" wp14:editId="34C8FB14">
            <wp:simplePos x="0" y="0"/>
            <wp:positionH relativeFrom="margin">
              <wp:posOffset>403225</wp:posOffset>
            </wp:positionH>
            <wp:positionV relativeFrom="paragraph">
              <wp:posOffset>93980</wp:posOffset>
            </wp:positionV>
            <wp:extent cx="4951730" cy="3666490"/>
            <wp:effectExtent l="0" t="0" r="1270" b="0"/>
            <wp:wrapTopAndBottom/>
            <wp:docPr id="574826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826176" name=""/>
                    <pic:cNvPicPr/>
                  </pic:nvPicPr>
                  <pic:blipFill rotWithShape="1">
                    <a:blip r:embed="rId12"/>
                    <a:srcRect l="5970" t="5242" r="14377" b="53929"/>
                    <a:stretch/>
                  </pic:blipFill>
                  <pic:spPr bwMode="auto">
                    <a:xfrm>
                      <a:off x="0" y="0"/>
                      <a:ext cx="4951730" cy="3666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8" behindDoc="0" locked="0" layoutInCell="1" allowOverlap="1" wp14:anchorId="6704CDC0" wp14:editId="5AA0DDF7">
                <wp:simplePos x="0" y="0"/>
                <wp:positionH relativeFrom="margin">
                  <wp:posOffset>3175</wp:posOffset>
                </wp:positionH>
                <wp:positionV relativeFrom="paragraph">
                  <wp:posOffset>3874070</wp:posOffset>
                </wp:positionV>
                <wp:extent cx="5751195" cy="635"/>
                <wp:effectExtent l="0" t="0" r="1905" b="1905"/>
                <wp:wrapTopAndBottom/>
                <wp:docPr id="1819789762" name="Text Box 1"/>
                <wp:cNvGraphicFramePr/>
                <a:graphic xmlns:a="http://schemas.openxmlformats.org/drawingml/2006/main">
                  <a:graphicData uri="http://schemas.microsoft.com/office/word/2010/wordprocessingShape">
                    <wps:wsp>
                      <wps:cNvSpPr txBox="1"/>
                      <wps:spPr>
                        <a:xfrm>
                          <a:off x="0" y="0"/>
                          <a:ext cx="5751195" cy="635"/>
                        </a:xfrm>
                        <a:prstGeom prst="rect">
                          <a:avLst/>
                        </a:prstGeom>
                        <a:solidFill>
                          <a:prstClr val="white"/>
                        </a:solidFill>
                        <a:ln>
                          <a:noFill/>
                        </a:ln>
                      </wps:spPr>
                      <wps:txbx>
                        <w:txbxContent>
                          <w:p w14:paraId="68EAF2FB" w14:textId="4F2F366B" w:rsidR="003C4351" w:rsidRPr="003C4351" w:rsidRDefault="003C4351" w:rsidP="003C4351">
                            <w:pPr>
                              <w:pStyle w:val="Caption"/>
                              <w:rPr>
                                <w:rFonts w:ascii="Arial" w:hAnsi="Arial" w:cs="Arial"/>
                                <w:bCs/>
                                <w:i w:val="0"/>
                                <w:iCs w:val="0"/>
                                <w:snapToGrid w:val="0"/>
                                <w:color w:val="000000" w:themeColor="text1"/>
                                <w:sz w:val="15"/>
                                <w:szCs w:val="15"/>
                                <w:lang w:eastAsia="de-DE" w:bidi="en-US"/>
                              </w:rPr>
                            </w:pPr>
                            <w:r w:rsidRPr="002E47E2">
                              <w:rPr>
                                <w:rFonts w:ascii="Arial" w:hAnsi="Arial" w:cs="Arial"/>
                                <w:b/>
                                <w:bCs/>
                                <w:i w:val="0"/>
                                <w:iCs w:val="0"/>
                                <w:color w:val="000000" w:themeColor="text1"/>
                                <w:sz w:val="15"/>
                                <w:szCs w:val="15"/>
                              </w:rPr>
                              <w:t>Figure S4</w:t>
                            </w:r>
                            <w:r w:rsidR="00072326">
                              <w:rPr>
                                <w:rFonts w:ascii="Arial" w:hAnsi="Arial" w:cs="Arial"/>
                                <w:i w:val="0"/>
                                <w:iCs w:val="0"/>
                                <w:color w:val="000000" w:themeColor="text1"/>
                                <w:sz w:val="15"/>
                                <w:szCs w:val="15"/>
                              </w:rPr>
                              <w:t xml:space="preserve">: </w:t>
                            </w:r>
                            <w:r w:rsidRPr="003C4351">
                              <w:rPr>
                                <w:rFonts w:ascii="Arial" w:eastAsiaTheme="minorEastAsia" w:hAnsi="Arial" w:cs="Arial"/>
                                <w:bCs/>
                                <w:i w:val="0"/>
                                <w:iCs w:val="0"/>
                                <w:color w:val="000000" w:themeColor="text1"/>
                                <w:sz w:val="15"/>
                                <w:szCs w:val="15"/>
                              </w:rPr>
                              <w:t>Original images (a-d) of Western blots and markers of figure 1c (NHS), 1d (</w:t>
                            </w:r>
                            <w:r w:rsidRPr="00D80EDA">
                              <w:rPr>
                                <w:rFonts w:ascii="Arial" w:eastAsiaTheme="minorEastAsia" w:hAnsi="Arial" w:cs="Arial"/>
                                <w:bCs/>
                                <w:color w:val="000000" w:themeColor="text1"/>
                                <w:sz w:val="15"/>
                                <w:szCs w:val="15"/>
                              </w:rPr>
                              <w:t>CFHR3/CFHR1</w:t>
                            </w:r>
                            <w:r w:rsidRPr="003C4351">
                              <w:rPr>
                                <w:rFonts w:ascii="Arial" w:eastAsiaTheme="minorEastAsia" w:hAnsi="Arial" w:cs="Arial"/>
                                <w:bCs/>
                                <w:i w:val="0"/>
                                <w:iCs w:val="0"/>
                                <w:color w:val="000000" w:themeColor="text1"/>
                                <w:sz w:val="15"/>
                                <w:szCs w:val="15"/>
                              </w:rPr>
                              <w:t xml:space="preserve"> deficient serum pool) and 1e (FHR-2 deficient serum pool) and supplemental figure 1a, respectively. Images of the blot and marker were exported for publication using Image lab 6.0 software of </w:t>
                            </w:r>
                            <w:proofErr w:type="spellStart"/>
                            <w:r w:rsidRPr="003C4351">
                              <w:rPr>
                                <w:rFonts w:ascii="Arial" w:eastAsiaTheme="minorEastAsia" w:hAnsi="Arial" w:cs="Arial"/>
                                <w:bCs/>
                                <w:i w:val="0"/>
                                <w:iCs w:val="0"/>
                                <w:color w:val="000000" w:themeColor="text1"/>
                                <w:sz w:val="15"/>
                                <w:szCs w:val="15"/>
                              </w:rPr>
                              <w:t>Biorad</w:t>
                            </w:r>
                            <w:proofErr w:type="spellEnd"/>
                            <w:r w:rsidRPr="003C4351">
                              <w:rPr>
                                <w:rFonts w:ascii="Arial" w:eastAsiaTheme="minorEastAsia" w:hAnsi="Arial" w:cs="Arial"/>
                                <w:bCs/>
                                <w:i w:val="0"/>
                                <w:iCs w:val="0"/>
                                <w:color w:val="000000" w:themeColor="text1"/>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704CDC0" id="_x0000_s1029" type="#_x0000_t202" style="position:absolute;left:0;text-align:left;margin-left:.25pt;margin-top:305.05pt;width:452.85pt;height:.05pt;z-index:2516582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sx+GwIAAD8EAAAOAAAAZHJzL2Uyb0RvYy54bWysU8Fu2zAMvQ/YPwi6L05apFuNOEWWIsOA&#10;oi2QDj0rshwLkEWNUmJnXz9KtpOt22nYRaZJihTfe1zcdY1hR4Vegy34bDLlTFkJpbb7gn972Xz4&#10;xJkPwpbCgFUFPynP75bv3y1al6srqMGUChkVsT5vXcHrEFyeZV7WqhF+Ak5ZClaAjQj0i/usRNFS&#10;9cZkV9PpTdYClg5BKu/Je98H+TLVryolw1NVeRWYKTi9LaQT07mLZ7ZciHyPwtVaDs8Q//CKRmhL&#10;Tc+l7kUQ7ID6j1KNlggeqjCR0GRQVVqqNANNM5u+mWZbC6fSLASOd2eY/P8rKx+PW/eMLHSfoSMC&#10;IyCt87knZ5ynq7CJX3opozhBeDrDprrAJDnnH+ez2e2cM0mxm+t5rJFdrjr04YuChkWj4EicJKjE&#10;8cGHPnVMiZ08GF1utDHxJwbWBtlREH9trYMaiv+WZWzMtRBv9QWjJ7vMEa3Q7Tqmy4JfjzPuoDzR&#10;6Ai9KryTG039HoQPzwJJBjQtSTs80VEZaAsOg8VZDfjjb/6YT+xQlLOWZFVw//0gUHFmvlriLWpw&#10;NHA0dqNhD80aaNIZLY2TyaQLGMxoVgjNKyl+FbtQSFhJvQoeRnMdenHTxki1WqUkUpoT4cFunYyl&#10;R1xfuleBbmAlEJmPMApO5G/I6XMTPW51CIR0Yi7i2qM4wE0qTdwPGxXX4Nf/lHXZ++VPAAAA//8D&#10;AFBLAwQUAAYACAAAACEAnsK0TN4AAAAIAQAADwAAAGRycy9kb3ducmV2LnhtbEyPwU7DMBBE70j8&#10;g7VIXBC1E0oEIU5VVXCAS0XohZsbb+NAvI5spw1/j+ECx9kZzbytVrMd2BF96B1JyBYCGFLrdE+d&#10;hN3b0/UdsBAVaTU4QglfGGBVn59VqtTuRK94bGLHUgmFUkkwMY4l56E1aFVYuBEpeQfnrYpJ+o5r&#10;r06p3A48F6LgVvWUFowacWOw/WwmK2G7fN+aq+nw+LJe3vjn3bQpPrpGysuLef0ALOIc/8Lwg5/Q&#10;oU5MezeRDmyQcJtyEopMZMCSfS+KHNj+95IDryv+/4H6GwAA//8DAFBLAQItABQABgAIAAAAIQC2&#10;gziS/gAAAOEBAAATAAAAAAAAAAAAAAAAAAAAAABbQ29udGVudF9UeXBlc10ueG1sUEsBAi0AFAAG&#10;AAgAAAAhADj9If/WAAAAlAEAAAsAAAAAAAAAAAAAAAAALwEAAF9yZWxzLy5yZWxzUEsBAi0AFAAG&#10;AAgAAAAhADlKzH4bAgAAPwQAAA4AAAAAAAAAAAAAAAAALgIAAGRycy9lMm9Eb2MueG1sUEsBAi0A&#10;FAAGAAgAAAAhAJ7CtEzeAAAACAEAAA8AAAAAAAAAAAAAAAAAdQQAAGRycy9kb3ducmV2LnhtbFBL&#10;BQYAAAAABAAEAPMAAACABQAAAAA=&#10;" stroked="f">
                <v:textbox style="mso-fit-shape-to-text:t" inset="0,0,0,0">
                  <w:txbxContent>
                    <w:p w14:paraId="68EAF2FB" w14:textId="4F2F366B" w:rsidR="003C4351" w:rsidRPr="003C4351" w:rsidRDefault="003C4351" w:rsidP="003C4351">
                      <w:pPr>
                        <w:pStyle w:val="Caption"/>
                        <w:rPr>
                          <w:rFonts w:ascii="Arial" w:hAnsi="Arial" w:cs="Arial"/>
                          <w:bCs/>
                          <w:i w:val="0"/>
                          <w:iCs w:val="0"/>
                          <w:snapToGrid w:val="0"/>
                          <w:color w:val="000000" w:themeColor="text1"/>
                          <w:sz w:val="15"/>
                          <w:szCs w:val="15"/>
                          <w:lang w:eastAsia="de-DE" w:bidi="en-US"/>
                        </w:rPr>
                      </w:pPr>
                      <w:r w:rsidRPr="002E47E2">
                        <w:rPr>
                          <w:rFonts w:ascii="Arial" w:hAnsi="Arial" w:cs="Arial"/>
                          <w:b/>
                          <w:bCs/>
                          <w:i w:val="0"/>
                          <w:iCs w:val="0"/>
                          <w:color w:val="000000" w:themeColor="text1"/>
                          <w:sz w:val="15"/>
                          <w:szCs w:val="15"/>
                        </w:rPr>
                        <w:t>Figure S4</w:t>
                      </w:r>
                      <w:r w:rsidR="00072326">
                        <w:rPr>
                          <w:rFonts w:ascii="Arial" w:hAnsi="Arial" w:cs="Arial"/>
                          <w:i w:val="0"/>
                          <w:iCs w:val="0"/>
                          <w:color w:val="000000" w:themeColor="text1"/>
                          <w:sz w:val="15"/>
                          <w:szCs w:val="15"/>
                        </w:rPr>
                        <w:t xml:space="preserve">: </w:t>
                      </w:r>
                      <w:r w:rsidRPr="003C4351">
                        <w:rPr>
                          <w:rFonts w:ascii="Arial" w:eastAsiaTheme="minorEastAsia" w:hAnsi="Arial" w:cs="Arial"/>
                          <w:bCs/>
                          <w:i w:val="0"/>
                          <w:iCs w:val="0"/>
                          <w:color w:val="000000" w:themeColor="text1"/>
                          <w:sz w:val="15"/>
                          <w:szCs w:val="15"/>
                        </w:rPr>
                        <w:t>Original images (a-d) of Western blots and markers of figure 1c (NHS), 1d (</w:t>
                      </w:r>
                      <w:r w:rsidRPr="00D80EDA">
                        <w:rPr>
                          <w:rFonts w:ascii="Arial" w:eastAsiaTheme="minorEastAsia" w:hAnsi="Arial" w:cs="Arial"/>
                          <w:bCs/>
                          <w:color w:val="000000" w:themeColor="text1"/>
                          <w:sz w:val="15"/>
                          <w:szCs w:val="15"/>
                        </w:rPr>
                        <w:t>CFHR3/CFHR1</w:t>
                      </w:r>
                      <w:r w:rsidRPr="003C4351">
                        <w:rPr>
                          <w:rFonts w:ascii="Arial" w:eastAsiaTheme="minorEastAsia" w:hAnsi="Arial" w:cs="Arial"/>
                          <w:bCs/>
                          <w:i w:val="0"/>
                          <w:iCs w:val="0"/>
                          <w:color w:val="000000" w:themeColor="text1"/>
                          <w:sz w:val="15"/>
                          <w:szCs w:val="15"/>
                        </w:rPr>
                        <w:t xml:space="preserve"> deficient serum pool) and 1e (FHR-2 deficient serum pool) and supplemental figure 1a, respectively. Images of the blot and marker were exported for publication using Image lab 6.0 software of </w:t>
                      </w:r>
                      <w:proofErr w:type="spellStart"/>
                      <w:r w:rsidRPr="003C4351">
                        <w:rPr>
                          <w:rFonts w:ascii="Arial" w:eastAsiaTheme="minorEastAsia" w:hAnsi="Arial" w:cs="Arial"/>
                          <w:bCs/>
                          <w:i w:val="0"/>
                          <w:iCs w:val="0"/>
                          <w:color w:val="000000" w:themeColor="text1"/>
                          <w:sz w:val="15"/>
                          <w:szCs w:val="15"/>
                        </w:rPr>
                        <w:t>Biorad</w:t>
                      </w:r>
                      <w:proofErr w:type="spellEnd"/>
                      <w:r w:rsidRPr="003C4351">
                        <w:rPr>
                          <w:rFonts w:ascii="Arial" w:eastAsiaTheme="minorEastAsia" w:hAnsi="Arial" w:cs="Arial"/>
                          <w:bCs/>
                          <w:i w:val="0"/>
                          <w:iCs w:val="0"/>
                          <w:color w:val="000000" w:themeColor="text1"/>
                          <w:sz w:val="15"/>
                          <w:szCs w:val="15"/>
                        </w:rPr>
                        <w:t xml:space="preserve">.   </w:t>
                      </w:r>
                    </w:p>
                  </w:txbxContent>
                </v:textbox>
                <w10:wrap type="topAndBottom" anchorx="margin"/>
              </v:shape>
            </w:pict>
          </mc:Fallback>
        </mc:AlternateContent>
      </w:r>
    </w:p>
    <w:p w14:paraId="733D0441" w14:textId="77777777" w:rsidR="0058696B" w:rsidRDefault="0058696B" w:rsidP="00F94565">
      <w:pPr>
        <w:pStyle w:val="MDPI21heading1"/>
        <w:spacing w:line="276" w:lineRule="auto"/>
        <w:ind w:left="0"/>
        <w:jc w:val="both"/>
        <w:rPr>
          <w:rFonts w:ascii="Arial" w:eastAsiaTheme="minorEastAsia" w:hAnsi="Arial" w:cs="Arial"/>
          <w:b w:val="0"/>
          <w:bCs/>
          <w:szCs w:val="20"/>
        </w:rPr>
        <w:sectPr w:rsidR="0058696B" w:rsidSect="004D621C">
          <w:footerReference w:type="default" r:id="rId13"/>
          <w:pgSz w:w="11906" w:h="16838"/>
          <w:pgMar w:top="1418" w:right="1418" w:bottom="1418" w:left="1418" w:header="709" w:footer="709" w:gutter="0"/>
          <w:cols w:space="708"/>
          <w:docGrid w:linePitch="360"/>
        </w:sectPr>
      </w:pPr>
    </w:p>
    <w:p w14:paraId="6381D799" w14:textId="0BE6FB36" w:rsidR="00434CBD" w:rsidRPr="00EE249E" w:rsidRDefault="00F94565" w:rsidP="00F94565">
      <w:pPr>
        <w:pStyle w:val="MDPI41tablecaption"/>
        <w:ind w:left="0"/>
        <w:rPr>
          <w:rFonts w:ascii="Arial" w:hAnsi="Arial" w:cs="Arial"/>
          <w:b/>
          <w:bCs/>
          <w:sz w:val="20"/>
          <w:szCs w:val="24"/>
          <w:u w:val="single"/>
          <w:lang w:val="en-GB"/>
        </w:rPr>
      </w:pPr>
      <w:r w:rsidRPr="00EE249E">
        <w:rPr>
          <w:rFonts w:ascii="Arial" w:hAnsi="Arial" w:cs="Arial"/>
          <w:b/>
          <w:bCs/>
          <w:sz w:val="20"/>
          <w:szCs w:val="24"/>
          <w:u w:val="single"/>
          <w:lang w:val="en-GB"/>
        </w:rPr>
        <w:lastRenderedPageBreak/>
        <w:t>Supplemental tables:</w:t>
      </w:r>
    </w:p>
    <w:p w14:paraId="2F6081A7" w14:textId="125484B2" w:rsidR="00DE1F0C" w:rsidRPr="00EE249E" w:rsidRDefault="00DE1F0C" w:rsidP="00DE1F0C">
      <w:pPr>
        <w:pStyle w:val="Caption"/>
        <w:keepNext/>
        <w:rPr>
          <w:rFonts w:ascii="Arial" w:hAnsi="Arial" w:cs="Arial"/>
          <w:i w:val="0"/>
          <w:iCs w:val="0"/>
          <w:color w:val="auto"/>
        </w:rPr>
      </w:pPr>
      <w:r w:rsidRPr="00EE249E">
        <w:rPr>
          <w:rFonts w:ascii="Arial" w:hAnsi="Arial" w:cs="Arial"/>
          <w:b/>
          <w:bCs/>
          <w:i w:val="0"/>
          <w:iCs w:val="0"/>
          <w:color w:val="auto"/>
        </w:rPr>
        <w:t>Table S1:</w:t>
      </w:r>
      <w:r w:rsidRPr="00EE249E">
        <w:rPr>
          <w:rFonts w:ascii="Arial" w:hAnsi="Arial" w:cs="Arial"/>
          <w:i w:val="0"/>
          <w:iCs w:val="0"/>
          <w:color w:val="auto"/>
        </w:rPr>
        <w:t xml:space="preserve"> Normal serum levels of FHR-1, -2 and their dimer species</w:t>
      </w:r>
      <w:r w:rsidRPr="00EE249E">
        <w:rPr>
          <w:rFonts w:ascii="Arial" w:eastAsiaTheme="minorEastAsia" w:hAnsi="Arial" w:cs="Arial"/>
          <w:i w:val="0"/>
          <w:iCs w:val="0"/>
          <w:color w:val="auto"/>
          <w:sz w:val="20"/>
          <w:szCs w:val="20"/>
          <w:lang w:eastAsia="en-US"/>
        </w:rPr>
        <w:t>.</w:t>
      </w:r>
    </w:p>
    <w:tbl>
      <w:tblPr>
        <w:tblW w:w="13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333"/>
        <w:gridCol w:w="1573"/>
        <w:gridCol w:w="1075"/>
        <w:gridCol w:w="1075"/>
        <w:gridCol w:w="1573"/>
        <w:gridCol w:w="1192"/>
        <w:gridCol w:w="1525"/>
        <w:gridCol w:w="1181"/>
        <w:gridCol w:w="29"/>
        <w:gridCol w:w="1172"/>
      </w:tblGrid>
      <w:tr w:rsidR="00DE1F0C" w:rsidRPr="00EE249E" w14:paraId="54EB9454" w14:textId="77777777" w:rsidTr="00713770">
        <w:trPr>
          <w:trHeight w:val="447"/>
          <w:jc w:val="center"/>
        </w:trPr>
        <w:tc>
          <w:tcPr>
            <w:tcW w:w="1276" w:type="dxa"/>
            <w:vMerge w:val="restart"/>
            <w:tcBorders>
              <w:top w:val="single" w:sz="12" w:space="0" w:color="auto"/>
              <w:left w:val="nil"/>
              <w:bottom w:val="nil"/>
              <w:right w:val="nil"/>
            </w:tcBorders>
            <w:shd w:val="clear" w:color="auto" w:fill="auto"/>
            <w:noWrap/>
            <w:vAlign w:val="center"/>
            <w:hideMark/>
          </w:tcPr>
          <w:p w14:paraId="245AAFDF"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FHR</w:t>
            </w:r>
          </w:p>
        </w:tc>
        <w:tc>
          <w:tcPr>
            <w:tcW w:w="1333" w:type="dxa"/>
            <w:vMerge w:val="restart"/>
            <w:tcBorders>
              <w:top w:val="single" w:sz="12" w:space="0" w:color="auto"/>
              <w:left w:val="nil"/>
              <w:bottom w:val="nil"/>
              <w:right w:val="nil"/>
            </w:tcBorders>
            <w:shd w:val="clear" w:color="auto" w:fill="auto"/>
            <w:noWrap/>
            <w:vAlign w:val="center"/>
            <w:hideMark/>
          </w:tcPr>
          <w:p w14:paraId="4619CD70"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i/>
                <w:iCs/>
                <w:snapToGrid w:val="0"/>
                <w:sz w:val="14"/>
                <w:szCs w:val="14"/>
                <w:lang w:eastAsia="de-DE" w:bidi="en-US"/>
              </w:rPr>
              <w:t>CFHR1</w:t>
            </w:r>
            <w:r w:rsidRPr="00EE249E">
              <w:rPr>
                <w:rFonts w:ascii="Arial" w:eastAsia="Times New Roman" w:hAnsi="Arial" w:cs="Arial"/>
                <w:snapToGrid w:val="0"/>
                <w:sz w:val="14"/>
                <w:szCs w:val="14"/>
                <w:lang w:eastAsia="de-DE" w:bidi="en-US"/>
              </w:rPr>
              <w:t xml:space="preserve"> CNV (n=)</w:t>
            </w:r>
          </w:p>
        </w:tc>
        <w:tc>
          <w:tcPr>
            <w:tcW w:w="1573" w:type="dxa"/>
            <w:vMerge w:val="restart"/>
            <w:tcBorders>
              <w:top w:val="single" w:sz="12" w:space="0" w:color="auto"/>
              <w:left w:val="nil"/>
              <w:bottom w:val="nil"/>
              <w:right w:val="nil"/>
            </w:tcBorders>
            <w:shd w:val="clear" w:color="auto" w:fill="auto"/>
            <w:noWrap/>
            <w:vAlign w:val="center"/>
            <w:hideMark/>
          </w:tcPr>
          <w:p w14:paraId="66EB09D7"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Median (CI) in µg/mL</w:t>
            </w:r>
          </w:p>
        </w:tc>
        <w:tc>
          <w:tcPr>
            <w:tcW w:w="1075" w:type="dxa"/>
            <w:vMerge w:val="restart"/>
            <w:tcBorders>
              <w:top w:val="single" w:sz="12" w:space="0" w:color="auto"/>
              <w:left w:val="nil"/>
              <w:bottom w:val="nil"/>
              <w:right w:val="nil"/>
            </w:tcBorders>
            <w:shd w:val="clear" w:color="auto" w:fill="auto"/>
            <w:noWrap/>
            <w:vAlign w:val="center"/>
            <w:hideMark/>
          </w:tcPr>
          <w:p w14:paraId="61E57A3C"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IQR in µg/mL</w:t>
            </w:r>
          </w:p>
        </w:tc>
        <w:tc>
          <w:tcPr>
            <w:tcW w:w="1075" w:type="dxa"/>
            <w:vMerge w:val="restart"/>
            <w:tcBorders>
              <w:top w:val="single" w:sz="12" w:space="0" w:color="auto"/>
              <w:left w:val="nil"/>
              <w:bottom w:val="nil"/>
              <w:right w:val="nil"/>
            </w:tcBorders>
            <w:shd w:val="clear" w:color="auto" w:fill="auto"/>
            <w:noWrap/>
            <w:vAlign w:val="center"/>
            <w:hideMark/>
          </w:tcPr>
          <w:p w14:paraId="3B8F36AD"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95% range in µg/mL</w:t>
            </w:r>
          </w:p>
        </w:tc>
        <w:tc>
          <w:tcPr>
            <w:tcW w:w="1573" w:type="dxa"/>
            <w:vMerge w:val="restart"/>
            <w:tcBorders>
              <w:top w:val="single" w:sz="12" w:space="0" w:color="auto"/>
              <w:left w:val="nil"/>
              <w:bottom w:val="nil"/>
              <w:right w:val="nil"/>
            </w:tcBorders>
            <w:shd w:val="clear" w:color="auto" w:fill="auto"/>
            <w:noWrap/>
            <w:vAlign w:val="center"/>
            <w:hideMark/>
          </w:tcPr>
          <w:p w14:paraId="00314D63"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Mean (CI) in µg/mL</w:t>
            </w:r>
          </w:p>
        </w:tc>
        <w:tc>
          <w:tcPr>
            <w:tcW w:w="1192" w:type="dxa"/>
            <w:vMerge w:val="restart"/>
            <w:tcBorders>
              <w:top w:val="single" w:sz="12" w:space="0" w:color="auto"/>
              <w:left w:val="nil"/>
              <w:bottom w:val="nil"/>
              <w:right w:val="nil"/>
            </w:tcBorders>
            <w:shd w:val="clear" w:color="auto" w:fill="auto"/>
            <w:noWrap/>
            <w:vAlign w:val="center"/>
            <w:hideMark/>
          </w:tcPr>
          <w:p w14:paraId="7E728DD4"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SD in µg/mL</w:t>
            </w:r>
          </w:p>
        </w:tc>
        <w:tc>
          <w:tcPr>
            <w:tcW w:w="1525" w:type="dxa"/>
            <w:vMerge w:val="restart"/>
            <w:tcBorders>
              <w:top w:val="single" w:sz="12" w:space="0" w:color="auto"/>
              <w:left w:val="nil"/>
              <w:bottom w:val="nil"/>
              <w:right w:val="nil"/>
            </w:tcBorders>
            <w:vAlign w:val="center"/>
          </w:tcPr>
          <w:p w14:paraId="0BB7E712" w14:textId="77777777" w:rsidR="00DE1F0C" w:rsidRPr="00EE249E" w:rsidRDefault="00DE1F0C" w:rsidP="00713770">
            <w:pPr>
              <w:jc w:val="center"/>
              <w:rPr>
                <w:rFonts w:ascii="Arial" w:eastAsia="Times New Roman" w:hAnsi="Arial" w:cs="Arial"/>
                <w:snapToGrid w:val="0"/>
                <w:sz w:val="14"/>
                <w:szCs w:val="14"/>
                <w:lang w:eastAsia="de-DE" w:bidi="en-US"/>
              </w:rPr>
            </w:pPr>
            <w:proofErr w:type="spellStart"/>
            <w:r w:rsidRPr="00EE249E">
              <w:rPr>
                <w:rFonts w:ascii="Arial" w:eastAsia="Times New Roman" w:hAnsi="Arial" w:cs="Arial"/>
                <w:snapToGrid w:val="0"/>
                <w:sz w:val="14"/>
                <w:szCs w:val="14"/>
                <w:lang w:eastAsia="de-DE" w:bidi="en-US"/>
              </w:rPr>
              <w:t>Age</w:t>
            </w:r>
            <w:r w:rsidRPr="00EE249E">
              <w:rPr>
                <w:rFonts w:ascii="Arial" w:eastAsia="Times New Roman" w:hAnsi="Arial" w:cs="Arial"/>
                <w:snapToGrid w:val="0"/>
                <w:sz w:val="14"/>
                <w:szCs w:val="14"/>
                <w:vertAlign w:val="superscript"/>
                <w:lang w:eastAsia="de-DE" w:bidi="en-US"/>
              </w:rPr>
              <w:t>a,b</w:t>
            </w:r>
            <w:proofErr w:type="spellEnd"/>
            <w:r w:rsidRPr="00EE249E">
              <w:rPr>
                <w:rFonts w:ascii="Arial" w:eastAsia="Times New Roman" w:hAnsi="Arial" w:cs="Arial"/>
                <w:snapToGrid w:val="0"/>
                <w:sz w:val="14"/>
                <w:szCs w:val="14"/>
                <w:lang w:eastAsia="de-DE" w:bidi="en-US"/>
              </w:rPr>
              <w:t xml:space="preserve">: Pearson r </w:t>
            </w:r>
          </w:p>
          <w:p w14:paraId="2928525D"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(p-value)</w:t>
            </w:r>
          </w:p>
        </w:tc>
        <w:tc>
          <w:tcPr>
            <w:tcW w:w="2382" w:type="dxa"/>
            <w:gridSpan w:val="3"/>
            <w:tcBorders>
              <w:top w:val="single" w:sz="12" w:space="0" w:color="auto"/>
              <w:left w:val="nil"/>
              <w:bottom w:val="nil"/>
              <w:right w:val="nil"/>
            </w:tcBorders>
            <w:vAlign w:val="center"/>
          </w:tcPr>
          <w:p w14:paraId="0AEC95CD" w14:textId="77777777" w:rsidR="00DE1F0C" w:rsidRPr="00EE249E" w:rsidRDefault="00DE1F0C" w:rsidP="00713770">
            <w:pPr>
              <w:jc w:val="center"/>
              <w:rPr>
                <w:rFonts w:ascii="Arial" w:eastAsia="Times New Roman" w:hAnsi="Arial" w:cs="Arial"/>
                <w:snapToGrid w:val="0"/>
                <w:sz w:val="14"/>
                <w:szCs w:val="14"/>
                <w:lang w:eastAsia="de-DE" w:bidi="en-US"/>
              </w:rPr>
            </w:pPr>
            <w:proofErr w:type="spellStart"/>
            <w:r w:rsidRPr="00EE249E">
              <w:rPr>
                <w:rFonts w:ascii="Arial" w:eastAsia="Times New Roman" w:hAnsi="Arial" w:cs="Arial"/>
                <w:snapToGrid w:val="0"/>
                <w:sz w:val="14"/>
                <w:szCs w:val="14"/>
                <w:lang w:eastAsia="de-DE" w:bidi="en-US"/>
              </w:rPr>
              <w:t>Sex</w:t>
            </w:r>
            <w:r w:rsidRPr="00EE249E">
              <w:rPr>
                <w:rFonts w:ascii="Arial" w:eastAsia="Times New Roman" w:hAnsi="Arial" w:cs="Arial"/>
                <w:snapToGrid w:val="0"/>
                <w:sz w:val="14"/>
                <w:szCs w:val="14"/>
                <w:vertAlign w:val="superscript"/>
                <w:lang w:eastAsia="de-DE" w:bidi="en-US"/>
              </w:rPr>
              <w:t>a,b</w:t>
            </w:r>
            <w:proofErr w:type="spellEnd"/>
          </w:p>
          <w:p w14:paraId="313B8F0C"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Median (CI) in µg/mL</w:t>
            </w:r>
          </w:p>
        </w:tc>
      </w:tr>
      <w:tr w:rsidR="00DE1F0C" w:rsidRPr="00EE249E" w14:paraId="4B87AB19" w14:textId="77777777" w:rsidTr="00713770">
        <w:trPr>
          <w:trHeight w:val="74"/>
          <w:jc w:val="center"/>
        </w:trPr>
        <w:tc>
          <w:tcPr>
            <w:tcW w:w="1276" w:type="dxa"/>
            <w:vMerge/>
            <w:tcBorders>
              <w:top w:val="nil"/>
              <w:left w:val="nil"/>
              <w:bottom w:val="single" w:sz="12" w:space="0" w:color="auto"/>
              <w:right w:val="nil"/>
            </w:tcBorders>
            <w:shd w:val="clear" w:color="auto" w:fill="auto"/>
            <w:noWrap/>
            <w:vAlign w:val="center"/>
          </w:tcPr>
          <w:p w14:paraId="6CA6339A"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333" w:type="dxa"/>
            <w:vMerge/>
            <w:tcBorders>
              <w:top w:val="nil"/>
              <w:left w:val="nil"/>
              <w:bottom w:val="single" w:sz="12" w:space="0" w:color="auto"/>
              <w:right w:val="nil"/>
            </w:tcBorders>
            <w:shd w:val="clear" w:color="auto" w:fill="auto"/>
            <w:noWrap/>
            <w:vAlign w:val="center"/>
          </w:tcPr>
          <w:p w14:paraId="3F169A06"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573" w:type="dxa"/>
            <w:vMerge/>
            <w:tcBorders>
              <w:top w:val="nil"/>
              <w:left w:val="nil"/>
              <w:bottom w:val="single" w:sz="12" w:space="0" w:color="auto"/>
              <w:right w:val="nil"/>
            </w:tcBorders>
            <w:shd w:val="clear" w:color="auto" w:fill="auto"/>
            <w:noWrap/>
            <w:vAlign w:val="center"/>
          </w:tcPr>
          <w:p w14:paraId="611FB46A"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075" w:type="dxa"/>
            <w:vMerge/>
            <w:tcBorders>
              <w:top w:val="nil"/>
              <w:left w:val="nil"/>
              <w:bottom w:val="single" w:sz="12" w:space="0" w:color="auto"/>
              <w:right w:val="nil"/>
            </w:tcBorders>
            <w:shd w:val="clear" w:color="auto" w:fill="auto"/>
            <w:noWrap/>
            <w:vAlign w:val="center"/>
          </w:tcPr>
          <w:p w14:paraId="1859375A"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075" w:type="dxa"/>
            <w:vMerge/>
            <w:tcBorders>
              <w:top w:val="nil"/>
              <w:left w:val="nil"/>
              <w:bottom w:val="single" w:sz="12" w:space="0" w:color="auto"/>
              <w:right w:val="nil"/>
            </w:tcBorders>
            <w:shd w:val="clear" w:color="auto" w:fill="auto"/>
            <w:noWrap/>
            <w:vAlign w:val="center"/>
          </w:tcPr>
          <w:p w14:paraId="31AD404D"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573" w:type="dxa"/>
            <w:vMerge/>
            <w:tcBorders>
              <w:top w:val="nil"/>
              <w:left w:val="nil"/>
              <w:bottom w:val="single" w:sz="12" w:space="0" w:color="auto"/>
              <w:right w:val="nil"/>
            </w:tcBorders>
            <w:shd w:val="clear" w:color="auto" w:fill="auto"/>
            <w:noWrap/>
            <w:vAlign w:val="center"/>
          </w:tcPr>
          <w:p w14:paraId="5E88A42F"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192" w:type="dxa"/>
            <w:vMerge/>
            <w:tcBorders>
              <w:top w:val="nil"/>
              <w:left w:val="nil"/>
              <w:bottom w:val="single" w:sz="12" w:space="0" w:color="auto"/>
              <w:right w:val="nil"/>
            </w:tcBorders>
            <w:shd w:val="clear" w:color="auto" w:fill="auto"/>
            <w:noWrap/>
            <w:vAlign w:val="center"/>
          </w:tcPr>
          <w:p w14:paraId="3B0F9397"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525" w:type="dxa"/>
            <w:vMerge/>
            <w:tcBorders>
              <w:top w:val="nil"/>
              <w:left w:val="nil"/>
              <w:bottom w:val="single" w:sz="12" w:space="0" w:color="auto"/>
              <w:right w:val="nil"/>
            </w:tcBorders>
            <w:vAlign w:val="center"/>
          </w:tcPr>
          <w:p w14:paraId="5F9DCCA3"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210" w:type="dxa"/>
            <w:gridSpan w:val="2"/>
            <w:tcBorders>
              <w:top w:val="nil"/>
              <w:left w:val="nil"/>
              <w:bottom w:val="single" w:sz="12" w:space="0" w:color="auto"/>
              <w:right w:val="nil"/>
            </w:tcBorders>
            <w:vAlign w:val="center"/>
          </w:tcPr>
          <w:p w14:paraId="43C07FAD"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Female</w:t>
            </w:r>
          </w:p>
        </w:tc>
        <w:tc>
          <w:tcPr>
            <w:tcW w:w="1172" w:type="dxa"/>
            <w:tcBorders>
              <w:top w:val="nil"/>
              <w:left w:val="nil"/>
              <w:bottom w:val="single" w:sz="12" w:space="0" w:color="auto"/>
              <w:right w:val="nil"/>
            </w:tcBorders>
            <w:vAlign w:val="center"/>
          </w:tcPr>
          <w:p w14:paraId="4AEEF05B"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Male</w:t>
            </w:r>
          </w:p>
        </w:tc>
      </w:tr>
      <w:tr w:rsidR="00DE1F0C" w:rsidRPr="00EE249E" w14:paraId="5A19C700" w14:textId="77777777" w:rsidTr="00713770">
        <w:trPr>
          <w:trHeight w:val="56"/>
          <w:jc w:val="center"/>
        </w:trPr>
        <w:tc>
          <w:tcPr>
            <w:tcW w:w="1276" w:type="dxa"/>
            <w:vMerge w:val="restart"/>
            <w:tcBorders>
              <w:top w:val="single" w:sz="12" w:space="0" w:color="auto"/>
              <w:left w:val="nil"/>
              <w:bottom w:val="single" w:sz="4" w:space="0" w:color="auto"/>
              <w:right w:val="single" w:sz="4" w:space="0" w:color="auto"/>
            </w:tcBorders>
            <w:shd w:val="clear" w:color="auto" w:fill="auto"/>
            <w:noWrap/>
            <w:vAlign w:val="center"/>
            <w:hideMark/>
          </w:tcPr>
          <w:p w14:paraId="2EBBC855"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FHR-1/1</w:t>
            </w:r>
          </w:p>
        </w:tc>
        <w:tc>
          <w:tcPr>
            <w:tcW w:w="1333" w:type="dxa"/>
            <w:tcBorders>
              <w:top w:val="single" w:sz="12" w:space="0" w:color="auto"/>
              <w:left w:val="single" w:sz="4" w:space="0" w:color="auto"/>
              <w:bottom w:val="nil"/>
              <w:right w:val="nil"/>
            </w:tcBorders>
            <w:shd w:val="clear" w:color="auto" w:fill="auto"/>
            <w:noWrap/>
            <w:vAlign w:val="center"/>
            <w:hideMark/>
          </w:tcPr>
          <w:p w14:paraId="75012E15"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 (9)</w:t>
            </w:r>
          </w:p>
        </w:tc>
        <w:tc>
          <w:tcPr>
            <w:tcW w:w="6488" w:type="dxa"/>
            <w:gridSpan w:val="5"/>
            <w:tcBorders>
              <w:top w:val="single" w:sz="8" w:space="0" w:color="auto"/>
              <w:left w:val="nil"/>
              <w:bottom w:val="nil"/>
              <w:right w:val="single" w:sz="4" w:space="0" w:color="auto"/>
            </w:tcBorders>
            <w:shd w:val="clear" w:color="auto" w:fill="auto"/>
            <w:noWrap/>
            <w:vAlign w:val="center"/>
            <w:hideMark/>
          </w:tcPr>
          <w:p w14:paraId="4951C73A"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&lt;LOD= 0.70 µg/mL</w:t>
            </w:r>
          </w:p>
        </w:tc>
        <w:tc>
          <w:tcPr>
            <w:tcW w:w="1525" w:type="dxa"/>
            <w:tcBorders>
              <w:top w:val="single" w:sz="12" w:space="0" w:color="auto"/>
              <w:left w:val="single" w:sz="4" w:space="0" w:color="auto"/>
              <w:bottom w:val="nil"/>
              <w:right w:val="nil"/>
            </w:tcBorders>
            <w:vAlign w:val="center"/>
          </w:tcPr>
          <w:p w14:paraId="6154CF9D"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single" w:sz="12" w:space="0" w:color="auto"/>
              <w:left w:val="nil"/>
              <w:bottom w:val="nil"/>
              <w:right w:val="nil"/>
            </w:tcBorders>
            <w:vAlign w:val="center"/>
          </w:tcPr>
          <w:p w14:paraId="0DADA82F" w14:textId="77777777" w:rsidR="00DE1F0C" w:rsidRPr="00EE249E" w:rsidRDefault="00DE1F0C" w:rsidP="00713770">
            <w:pPr>
              <w:jc w:val="center"/>
              <w:rPr>
                <w:rFonts w:ascii="Arial" w:eastAsia="Times New Roman" w:hAnsi="Arial" w:cs="Arial"/>
                <w:snapToGrid w:val="0"/>
                <w:sz w:val="12"/>
                <w:szCs w:val="12"/>
                <w:lang w:eastAsia="de-DE" w:bidi="en-US"/>
              </w:rPr>
            </w:pPr>
          </w:p>
        </w:tc>
      </w:tr>
      <w:tr w:rsidR="00DE1F0C" w:rsidRPr="00EE249E" w14:paraId="6299A7B4" w14:textId="77777777" w:rsidTr="00713770">
        <w:trPr>
          <w:trHeight w:val="43"/>
          <w:jc w:val="center"/>
        </w:trPr>
        <w:tc>
          <w:tcPr>
            <w:tcW w:w="1276" w:type="dxa"/>
            <w:vMerge/>
            <w:tcBorders>
              <w:top w:val="nil"/>
              <w:left w:val="nil"/>
              <w:bottom w:val="single" w:sz="4" w:space="0" w:color="auto"/>
              <w:right w:val="single" w:sz="4" w:space="0" w:color="auto"/>
            </w:tcBorders>
            <w:shd w:val="clear" w:color="auto" w:fill="auto"/>
            <w:noWrap/>
            <w:vAlign w:val="center"/>
          </w:tcPr>
          <w:p w14:paraId="29F4201F"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333" w:type="dxa"/>
            <w:tcBorders>
              <w:top w:val="nil"/>
              <w:left w:val="single" w:sz="4" w:space="0" w:color="auto"/>
              <w:bottom w:val="nil"/>
              <w:right w:val="nil"/>
            </w:tcBorders>
            <w:shd w:val="clear" w:color="auto" w:fill="auto"/>
            <w:noWrap/>
            <w:vAlign w:val="center"/>
          </w:tcPr>
          <w:p w14:paraId="158105EE"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 (58)</w:t>
            </w:r>
          </w:p>
        </w:tc>
        <w:tc>
          <w:tcPr>
            <w:tcW w:w="1573" w:type="dxa"/>
            <w:tcBorders>
              <w:top w:val="nil"/>
              <w:left w:val="nil"/>
              <w:bottom w:val="nil"/>
              <w:right w:val="nil"/>
            </w:tcBorders>
            <w:shd w:val="clear" w:color="auto" w:fill="auto"/>
            <w:noWrap/>
            <w:vAlign w:val="center"/>
          </w:tcPr>
          <w:p w14:paraId="11CD2593"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6.50 (5.88-6.92)</w:t>
            </w:r>
          </w:p>
        </w:tc>
        <w:tc>
          <w:tcPr>
            <w:tcW w:w="1075" w:type="dxa"/>
            <w:tcBorders>
              <w:top w:val="nil"/>
              <w:left w:val="nil"/>
              <w:bottom w:val="nil"/>
              <w:right w:val="nil"/>
            </w:tcBorders>
            <w:shd w:val="clear" w:color="auto" w:fill="auto"/>
            <w:noWrap/>
            <w:vAlign w:val="center"/>
          </w:tcPr>
          <w:p w14:paraId="06272F07"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5.19-7.68</w:t>
            </w:r>
          </w:p>
        </w:tc>
        <w:tc>
          <w:tcPr>
            <w:tcW w:w="1075" w:type="dxa"/>
            <w:tcBorders>
              <w:top w:val="nil"/>
              <w:left w:val="nil"/>
              <w:bottom w:val="nil"/>
              <w:right w:val="nil"/>
            </w:tcBorders>
            <w:shd w:val="clear" w:color="auto" w:fill="auto"/>
            <w:noWrap/>
            <w:vAlign w:val="center"/>
          </w:tcPr>
          <w:p w14:paraId="2843E2FB"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4.59-8.98</w:t>
            </w:r>
          </w:p>
        </w:tc>
        <w:tc>
          <w:tcPr>
            <w:tcW w:w="1573" w:type="dxa"/>
            <w:tcBorders>
              <w:top w:val="nil"/>
              <w:left w:val="nil"/>
              <w:bottom w:val="nil"/>
              <w:right w:val="nil"/>
            </w:tcBorders>
            <w:shd w:val="clear" w:color="auto" w:fill="auto"/>
            <w:noWrap/>
            <w:vAlign w:val="center"/>
          </w:tcPr>
          <w:p w14:paraId="4F677CF1"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6.51 (6.14-6.89)</w:t>
            </w:r>
          </w:p>
        </w:tc>
        <w:tc>
          <w:tcPr>
            <w:tcW w:w="1192" w:type="dxa"/>
            <w:tcBorders>
              <w:top w:val="nil"/>
              <w:left w:val="nil"/>
              <w:bottom w:val="nil"/>
              <w:right w:val="single" w:sz="4" w:space="0" w:color="auto"/>
            </w:tcBorders>
            <w:shd w:val="clear" w:color="auto" w:fill="auto"/>
            <w:noWrap/>
            <w:vAlign w:val="center"/>
          </w:tcPr>
          <w:p w14:paraId="50310783"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1.43</w:t>
            </w:r>
          </w:p>
        </w:tc>
        <w:tc>
          <w:tcPr>
            <w:tcW w:w="1525" w:type="dxa"/>
            <w:tcBorders>
              <w:top w:val="nil"/>
              <w:left w:val="single" w:sz="4" w:space="0" w:color="auto"/>
              <w:bottom w:val="nil"/>
              <w:right w:val="nil"/>
            </w:tcBorders>
            <w:vAlign w:val="center"/>
          </w:tcPr>
          <w:p w14:paraId="03F9FDE4"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nil"/>
              <w:left w:val="nil"/>
              <w:bottom w:val="nil"/>
              <w:right w:val="nil"/>
            </w:tcBorders>
            <w:vAlign w:val="center"/>
          </w:tcPr>
          <w:p w14:paraId="288DCA61" w14:textId="77777777" w:rsidR="00DE1F0C" w:rsidRPr="00EE249E" w:rsidRDefault="00DE1F0C" w:rsidP="00713770">
            <w:pPr>
              <w:jc w:val="center"/>
              <w:rPr>
                <w:rFonts w:ascii="Arial" w:eastAsia="Times New Roman" w:hAnsi="Arial" w:cs="Arial"/>
                <w:snapToGrid w:val="0"/>
                <w:sz w:val="12"/>
                <w:szCs w:val="12"/>
                <w:lang w:eastAsia="de-DE" w:bidi="en-US"/>
              </w:rPr>
            </w:pPr>
          </w:p>
        </w:tc>
      </w:tr>
      <w:tr w:rsidR="00DE1F0C" w:rsidRPr="00EE249E" w14:paraId="0D06D1A3" w14:textId="77777777" w:rsidTr="00713770">
        <w:trPr>
          <w:trHeight w:val="43"/>
          <w:jc w:val="center"/>
        </w:trPr>
        <w:tc>
          <w:tcPr>
            <w:tcW w:w="1276" w:type="dxa"/>
            <w:vMerge/>
            <w:tcBorders>
              <w:top w:val="nil"/>
              <w:left w:val="nil"/>
              <w:bottom w:val="single" w:sz="4" w:space="0" w:color="auto"/>
              <w:right w:val="single" w:sz="4" w:space="0" w:color="auto"/>
            </w:tcBorders>
            <w:shd w:val="clear" w:color="auto" w:fill="auto"/>
            <w:vAlign w:val="center"/>
            <w:hideMark/>
          </w:tcPr>
          <w:p w14:paraId="3BC394A2"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333" w:type="dxa"/>
            <w:tcBorders>
              <w:top w:val="nil"/>
              <w:left w:val="single" w:sz="4" w:space="0" w:color="auto"/>
              <w:bottom w:val="nil"/>
              <w:right w:val="nil"/>
            </w:tcBorders>
            <w:shd w:val="clear" w:color="auto" w:fill="auto"/>
            <w:noWrap/>
            <w:vAlign w:val="center"/>
            <w:hideMark/>
          </w:tcPr>
          <w:p w14:paraId="5929E870"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2(133)</w:t>
            </w:r>
          </w:p>
        </w:tc>
        <w:tc>
          <w:tcPr>
            <w:tcW w:w="1573" w:type="dxa"/>
            <w:tcBorders>
              <w:top w:val="nil"/>
              <w:left w:val="nil"/>
              <w:bottom w:val="nil"/>
              <w:right w:val="nil"/>
            </w:tcBorders>
            <w:shd w:val="clear" w:color="auto" w:fill="auto"/>
            <w:noWrap/>
            <w:vAlign w:val="center"/>
            <w:hideMark/>
          </w:tcPr>
          <w:p w14:paraId="37C6E582"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14.20 (13.50-14.80)</w:t>
            </w:r>
          </w:p>
        </w:tc>
        <w:tc>
          <w:tcPr>
            <w:tcW w:w="1075" w:type="dxa"/>
            <w:tcBorders>
              <w:top w:val="nil"/>
              <w:left w:val="nil"/>
              <w:bottom w:val="nil"/>
              <w:right w:val="nil"/>
            </w:tcBorders>
            <w:shd w:val="clear" w:color="auto" w:fill="auto"/>
            <w:noWrap/>
            <w:vAlign w:val="center"/>
            <w:hideMark/>
          </w:tcPr>
          <w:p w14:paraId="645F7761"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12.45-15.80</w:t>
            </w:r>
          </w:p>
        </w:tc>
        <w:tc>
          <w:tcPr>
            <w:tcW w:w="1075" w:type="dxa"/>
            <w:tcBorders>
              <w:top w:val="nil"/>
              <w:left w:val="nil"/>
              <w:bottom w:val="nil"/>
              <w:right w:val="nil"/>
            </w:tcBorders>
            <w:shd w:val="clear" w:color="auto" w:fill="auto"/>
            <w:noWrap/>
            <w:vAlign w:val="center"/>
            <w:hideMark/>
          </w:tcPr>
          <w:p w14:paraId="3D73A532"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10.26-19.41</w:t>
            </w:r>
          </w:p>
        </w:tc>
        <w:tc>
          <w:tcPr>
            <w:tcW w:w="1573" w:type="dxa"/>
            <w:tcBorders>
              <w:top w:val="nil"/>
              <w:left w:val="nil"/>
              <w:bottom w:val="nil"/>
              <w:right w:val="nil"/>
            </w:tcBorders>
            <w:shd w:val="clear" w:color="auto" w:fill="auto"/>
            <w:noWrap/>
            <w:vAlign w:val="center"/>
            <w:hideMark/>
          </w:tcPr>
          <w:p w14:paraId="18954AA7"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14.28 (13.80-14.77)</w:t>
            </w:r>
          </w:p>
        </w:tc>
        <w:tc>
          <w:tcPr>
            <w:tcW w:w="1192" w:type="dxa"/>
            <w:tcBorders>
              <w:top w:val="nil"/>
              <w:left w:val="nil"/>
              <w:bottom w:val="nil"/>
              <w:right w:val="single" w:sz="4" w:space="0" w:color="auto"/>
            </w:tcBorders>
            <w:shd w:val="clear" w:color="auto" w:fill="auto"/>
            <w:noWrap/>
            <w:vAlign w:val="center"/>
            <w:hideMark/>
          </w:tcPr>
          <w:p w14:paraId="325DBA31"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2.84</w:t>
            </w:r>
          </w:p>
        </w:tc>
        <w:tc>
          <w:tcPr>
            <w:tcW w:w="1525" w:type="dxa"/>
            <w:tcBorders>
              <w:top w:val="nil"/>
              <w:left w:val="single" w:sz="4" w:space="0" w:color="auto"/>
              <w:bottom w:val="nil"/>
              <w:right w:val="nil"/>
            </w:tcBorders>
            <w:vAlign w:val="center"/>
          </w:tcPr>
          <w:p w14:paraId="50BCB541"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nil"/>
              <w:left w:val="nil"/>
              <w:bottom w:val="nil"/>
              <w:right w:val="nil"/>
            </w:tcBorders>
            <w:vAlign w:val="center"/>
          </w:tcPr>
          <w:p w14:paraId="72825514" w14:textId="77777777" w:rsidR="00DE1F0C" w:rsidRPr="00EE249E" w:rsidRDefault="00DE1F0C" w:rsidP="00713770">
            <w:pPr>
              <w:jc w:val="center"/>
              <w:rPr>
                <w:rFonts w:ascii="Arial" w:eastAsia="Times New Roman" w:hAnsi="Arial" w:cs="Arial"/>
                <w:snapToGrid w:val="0"/>
                <w:sz w:val="12"/>
                <w:szCs w:val="12"/>
                <w:lang w:eastAsia="de-DE" w:bidi="en-US"/>
              </w:rPr>
            </w:pPr>
          </w:p>
        </w:tc>
      </w:tr>
      <w:tr w:rsidR="00DE1F0C" w:rsidRPr="00EE249E" w14:paraId="5C92185D" w14:textId="77777777" w:rsidTr="00713770">
        <w:trPr>
          <w:trHeight w:val="45"/>
          <w:jc w:val="center"/>
        </w:trPr>
        <w:tc>
          <w:tcPr>
            <w:tcW w:w="1276" w:type="dxa"/>
            <w:vMerge/>
            <w:tcBorders>
              <w:top w:val="nil"/>
              <w:left w:val="nil"/>
              <w:bottom w:val="single" w:sz="4" w:space="0" w:color="auto"/>
              <w:right w:val="single" w:sz="4" w:space="0" w:color="auto"/>
            </w:tcBorders>
            <w:shd w:val="clear" w:color="auto" w:fill="auto"/>
            <w:vAlign w:val="center"/>
            <w:hideMark/>
          </w:tcPr>
          <w:p w14:paraId="59A506F2"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333" w:type="dxa"/>
            <w:tcBorders>
              <w:top w:val="nil"/>
              <w:left w:val="single" w:sz="4" w:space="0" w:color="auto"/>
              <w:bottom w:val="single" w:sz="4" w:space="0" w:color="auto"/>
              <w:right w:val="nil"/>
            </w:tcBorders>
            <w:shd w:val="clear" w:color="auto" w:fill="auto"/>
            <w:noWrap/>
            <w:vAlign w:val="center"/>
            <w:hideMark/>
          </w:tcPr>
          <w:p w14:paraId="2B085C9D"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3 (1)</w:t>
            </w:r>
          </w:p>
        </w:tc>
        <w:tc>
          <w:tcPr>
            <w:tcW w:w="6488" w:type="dxa"/>
            <w:gridSpan w:val="5"/>
            <w:tcBorders>
              <w:top w:val="nil"/>
              <w:left w:val="nil"/>
              <w:bottom w:val="single" w:sz="4" w:space="0" w:color="auto"/>
              <w:right w:val="single" w:sz="4" w:space="0" w:color="auto"/>
            </w:tcBorders>
            <w:shd w:val="clear" w:color="auto" w:fill="auto"/>
            <w:noWrap/>
            <w:vAlign w:val="center"/>
            <w:hideMark/>
          </w:tcPr>
          <w:p w14:paraId="7AD5BFAF" w14:textId="77777777" w:rsidR="00DE1F0C" w:rsidRPr="00EE249E" w:rsidRDefault="00DE1F0C" w:rsidP="00713770">
            <w:pPr>
              <w:jc w:val="center"/>
              <w:rPr>
                <w:rFonts w:ascii="Arial" w:eastAsia="Times New Roman" w:hAnsi="Arial" w:cs="Arial"/>
                <w:snapToGrid w:val="0"/>
                <w:sz w:val="12"/>
                <w:szCs w:val="12"/>
                <w:lang w:eastAsia="de-DE" w:bidi="en-US"/>
              </w:rPr>
            </w:pPr>
            <w:proofErr w:type="spellStart"/>
            <w:r w:rsidRPr="00EE249E">
              <w:rPr>
                <w:rFonts w:ascii="Arial" w:eastAsia="Times New Roman" w:hAnsi="Arial" w:cs="Arial"/>
                <w:snapToGrid w:val="0"/>
                <w:sz w:val="12"/>
                <w:szCs w:val="12"/>
                <w:lang w:eastAsia="de-DE" w:bidi="en-US"/>
              </w:rPr>
              <w:t>n.a.</w:t>
            </w:r>
            <w:proofErr w:type="spellEnd"/>
            <w:r w:rsidRPr="00EE249E">
              <w:rPr>
                <w:rFonts w:ascii="Arial" w:eastAsia="Times New Roman" w:hAnsi="Arial" w:cs="Arial"/>
                <w:snapToGrid w:val="0"/>
                <w:sz w:val="12"/>
                <w:szCs w:val="12"/>
                <w:lang w:eastAsia="de-DE" w:bidi="en-US"/>
              </w:rPr>
              <w:t xml:space="preserve"> (19.30 µg/mL)</w:t>
            </w:r>
          </w:p>
        </w:tc>
        <w:tc>
          <w:tcPr>
            <w:tcW w:w="1525" w:type="dxa"/>
            <w:tcBorders>
              <w:top w:val="nil"/>
              <w:left w:val="single" w:sz="4" w:space="0" w:color="auto"/>
              <w:bottom w:val="single" w:sz="4" w:space="0" w:color="auto"/>
              <w:right w:val="nil"/>
            </w:tcBorders>
            <w:vAlign w:val="center"/>
          </w:tcPr>
          <w:p w14:paraId="752795CE"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nil"/>
              <w:left w:val="nil"/>
              <w:bottom w:val="nil"/>
              <w:right w:val="nil"/>
            </w:tcBorders>
            <w:vAlign w:val="center"/>
          </w:tcPr>
          <w:p w14:paraId="0AAAFBFF" w14:textId="77777777" w:rsidR="00DE1F0C" w:rsidRPr="00EE249E" w:rsidRDefault="00DE1F0C" w:rsidP="00713770">
            <w:pPr>
              <w:jc w:val="center"/>
              <w:rPr>
                <w:rFonts w:ascii="Arial" w:eastAsia="Times New Roman" w:hAnsi="Arial" w:cs="Arial"/>
                <w:snapToGrid w:val="0"/>
                <w:sz w:val="12"/>
                <w:szCs w:val="12"/>
                <w:lang w:eastAsia="de-DE" w:bidi="en-US"/>
              </w:rPr>
            </w:pPr>
          </w:p>
        </w:tc>
      </w:tr>
      <w:tr w:rsidR="00DE1F0C" w:rsidRPr="00EE249E" w14:paraId="349CB67F" w14:textId="77777777" w:rsidTr="00713770">
        <w:trPr>
          <w:trHeight w:val="295"/>
          <w:jc w:val="center"/>
        </w:trPr>
        <w:tc>
          <w:tcPr>
            <w:tcW w:w="1276" w:type="dxa"/>
            <w:vMerge/>
            <w:tcBorders>
              <w:top w:val="single" w:sz="4" w:space="0" w:color="auto"/>
              <w:left w:val="nil"/>
              <w:bottom w:val="single" w:sz="4" w:space="0" w:color="auto"/>
              <w:right w:val="single" w:sz="4" w:space="0" w:color="auto"/>
            </w:tcBorders>
            <w:shd w:val="clear" w:color="auto" w:fill="auto"/>
            <w:vAlign w:val="center"/>
          </w:tcPr>
          <w:p w14:paraId="6BBD807F"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333" w:type="dxa"/>
            <w:vMerge w:val="restart"/>
            <w:tcBorders>
              <w:top w:val="single" w:sz="4" w:space="0" w:color="auto"/>
              <w:left w:val="single" w:sz="4" w:space="0" w:color="auto"/>
              <w:bottom w:val="nil"/>
              <w:right w:val="nil"/>
            </w:tcBorders>
            <w:shd w:val="clear" w:color="auto" w:fill="auto"/>
            <w:noWrap/>
            <w:vAlign w:val="center"/>
          </w:tcPr>
          <w:p w14:paraId="5FF78ABC"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Total (201)</w:t>
            </w:r>
          </w:p>
        </w:tc>
        <w:tc>
          <w:tcPr>
            <w:tcW w:w="1573" w:type="dxa"/>
            <w:vMerge w:val="restart"/>
            <w:tcBorders>
              <w:top w:val="single" w:sz="4" w:space="0" w:color="auto"/>
              <w:left w:val="nil"/>
              <w:bottom w:val="nil"/>
              <w:right w:val="nil"/>
            </w:tcBorders>
            <w:shd w:val="clear" w:color="auto" w:fill="auto"/>
            <w:noWrap/>
            <w:vAlign w:val="center"/>
          </w:tcPr>
          <w:p w14:paraId="36923F37"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12.45 (11.36-13.00)</w:t>
            </w:r>
          </w:p>
        </w:tc>
        <w:tc>
          <w:tcPr>
            <w:tcW w:w="1075" w:type="dxa"/>
            <w:vMerge w:val="restart"/>
            <w:tcBorders>
              <w:top w:val="single" w:sz="4" w:space="0" w:color="auto"/>
              <w:left w:val="nil"/>
              <w:bottom w:val="nil"/>
              <w:right w:val="nil"/>
            </w:tcBorders>
            <w:shd w:val="clear" w:color="auto" w:fill="auto"/>
            <w:noWrap/>
            <w:vAlign w:val="center"/>
          </w:tcPr>
          <w:p w14:paraId="238FF08E"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7.37-15.05</w:t>
            </w:r>
          </w:p>
        </w:tc>
        <w:tc>
          <w:tcPr>
            <w:tcW w:w="1075" w:type="dxa"/>
            <w:vMerge w:val="restart"/>
            <w:tcBorders>
              <w:top w:val="single" w:sz="4" w:space="0" w:color="auto"/>
              <w:left w:val="nil"/>
              <w:bottom w:val="nil"/>
              <w:right w:val="nil"/>
            </w:tcBorders>
            <w:shd w:val="clear" w:color="auto" w:fill="auto"/>
            <w:noWrap/>
            <w:vAlign w:val="center"/>
          </w:tcPr>
          <w:p w14:paraId="640C4DAD"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3.66-18.80</w:t>
            </w:r>
          </w:p>
        </w:tc>
        <w:tc>
          <w:tcPr>
            <w:tcW w:w="1573" w:type="dxa"/>
            <w:vMerge w:val="restart"/>
            <w:tcBorders>
              <w:top w:val="single" w:sz="4" w:space="0" w:color="auto"/>
              <w:left w:val="nil"/>
              <w:bottom w:val="nil"/>
              <w:right w:val="nil"/>
            </w:tcBorders>
            <w:shd w:val="clear" w:color="auto" w:fill="auto"/>
            <w:noWrap/>
            <w:vAlign w:val="center"/>
          </w:tcPr>
          <w:p w14:paraId="470CDABC"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11.46 (10.78-12.14)</w:t>
            </w:r>
          </w:p>
        </w:tc>
        <w:tc>
          <w:tcPr>
            <w:tcW w:w="1192" w:type="dxa"/>
            <w:vMerge w:val="restart"/>
            <w:tcBorders>
              <w:top w:val="single" w:sz="4" w:space="0" w:color="auto"/>
              <w:left w:val="nil"/>
              <w:bottom w:val="nil"/>
              <w:right w:val="single" w:sz="4" w:space="0" w:color="auto"/>
            </w:tcBorders>
            <w:shd w:val="clear" w:color="auto" w:fill="auto"/>
            <w:noWrap/>
            <w:vAlign w:val="center"/>
          </w:tcPr>
          <w:p w14:paraId="533045EC"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4.88</w:t>
            </w:r>
          </w:p>
        </w:tc>
        <w:tc>
          <w:tcPr>
            <w:tcW w:w="1525" w:type="dxa"/>
            <w:vMerge w:val="restart"/>
            <w:tcBorders>
              <w:top w:val="single" w:sz="4" w:space="0" w:color="auto"/>
              <w:left w:val="single" w:sz="4" w:space="0" w:color="auto"/>
              <w:bottom w:val="nil"/>
              <w:right w:val="nil"/>
            </w:tcBorders>
            <w:vAlign w:val="center"/>
          </w:tcPr>
          <w:p w14:paraId="7DF75096"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0.21</w:t>
            </w:r>
          </w:p>
          <w:p w14:paraId="13DB933D"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(p= 0.0037)</w:t>
            </w:r>
          </w:p>
        </w:tc>
        <w:tc>
          <w:tcPr>
            <w:tcW w:w="1210" w:type="dxa"/>
            <w:gridSpan w:val="2"/>
            <w:tcBorders>
              <w:top w:val="single" w:sz="4" w:space="0" w:color="auto"/>
              <w:left w:val="nil"/>
              <w:bottom w:val="nil"/>
              <w:right w:val="nil"/>
            </w:tcBorders>
            <w:vAlign w:val="center"/>
          </w:tcPr>
          <w:p w14:paraId="69AC51AA"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12.55</w:t>
            </w:r>
          </w:p>
          <w:p w14:paraId="12C5E40A"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(11.30-13.55)</w:t>
            </w:r>
          </w:p>
        </w:tc>
        <w:tc>
          <w:tcPr>
            <w:tcW w:w="1172" w:type="dxa"/>
            <w:tcBorders>
              <w:top w:val="single" w:sz="4" w:space="0" w:color="auto"/>
              <w:left w:val="nil"/>
              <w:bottom w:val="nil"/>
              <w:right w:val="nil"/>
            </w:tcBorders>
            <w:vAlign w:val="center"/>
          </w:tcPr>
          <w:p w14:paraId="4CCA2215"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12.70</w:t>
            </w:r>
          </w:p>
          <w:p w14:paraId="018A604A"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(11.05-13.75)</w:t>
            </w:r>
          </w:p>
        </w:tc>
      </w:tr>
      <w:tr w:rsidR="00DE1F0C" w:rsidRPr="00EE249E" w14:paraId="10F9853B" w14:textId="77777777" w:rsidTr="00713770">
        <w:trPr>
          <w:trHeight w:val="45"/>
          <w:jc w:val="center"/>
        </w:trPr>
        <w:tc>
          <w:tcPr>
            <w:tcW w:w="1276" w:type="dxa"/>
            <w:vMerge/>
            <w:tcBorders>
              <w:top w:val="nil"/>
              <w:left w:val="nil"/>
              <w:bottom w:val="single" w:sz="4" w:space="0" w:color="auto"/>
              <w:right w:val="single" w:sz="4" w:space="0" w:color="auto"/>
            </w:tcBorders>
            <w:shd w:val="clear" w:color="auto" w:fill="auto"/>
            <w:vAlign w:val="center"/>
          </w:tcPr>
          <w:p w14:paraId="7B120824"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333" w:type="dxa"/>
            <w:vMerge/>
            <w:tcBorders>
              <w:top w:val="nil"/>
              <w:left w:val="single" w:sz="4" w:space="0" w:color="auto"/>
              <w:bottom w:val="single" w:sz="4" w:space="0" w:color="auto"/>
              <w:right w:val="nil"/>
            </w:tcBorders>
            <w:shd w:val="clear" w:color="auto" w:fill="auto"/>
            <w:noWrap/>
            <w:vAlign w:val="center"/>
          </w:tcPr>
          <w:p w14:paraId="7DCF48E5"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573" w:type="dxa"/>
            <w:vMerge/>
            <w:tcBorders>
              <w:top w:val="nil"/>
              <w:left w:val="nil"/>
              <w:bottom w:val="single" w:sz="4" w:space="0" w:color="auto"/>
              <w:right w:val="nil"/>
            </w:tcBorders>
            <w:shd w:val="clear" w:color="auto" w:fill="auto"/>
            <w:noWrap/>
            <w:vAlign w:val="center"/>
          </w:tcPr>
          <w:p w14:paraId="142C6C5C"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075" w:type="dxa"/>
            <w:vMerge/>
            <w:tcBorders>
              <w:top w:val="nil"/>
              <w:left w:val="nil"/>
              <w:bottom w:val="single" w:sz="4" w:space="0" w:color="auto"/>
              <w:right w:val="nil"/>
            </w:tcBorders>
            <w:shd w:val="clear" w:color="auto" w:fill="auto"/>
            <w:noWrap/>
            <w:vAlign w:val="center"/>
          </w:tcPr>
          <w:p w14:paraId="0745BFF2"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075" w:type="dxa"/>
            <w:vMerge/>
            <w:tcBorders>
              <w:top w:val="nil"/>
              <w:left w:val="nil"/>
              <w:bottom w:val="single" w:sz="4" w:space="0" w:color="auto"/>
              <w:right w:val="nil"/>
            </w:tcBorders>
            <w:shd w:val="clear" w:color="auto" w:fill="auto"/>
            <w:noWrap/>
            <w:vAlign w:val="center"/>
          </w:tcPr>
          <w:p w14:paraId="19E15513"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573" w:type="dxa"/>
            <w:vMerge/>
            <w:tcBorders>
              <w:top w:val="nil"/>
              <w:left w:val="nil"/>
              <w:bottom w:val="single" w:sz="4" w:space="0" w:color="auto"/>
              <w:right w:val="nil"/>
            </w:tcBorders>
            <w:shd w:val="clear" w:color="auto" w:fill="auto"/>
            <w:noWrap/>
            <w:vAlign w:val="center"/>
          </w:tcPr>
          <w:p w14:paraId="7489692E"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192" w:type="dxa"/>
            <w:vMerge/>
            <w:tcBorders>
              <w:top w:val="nil"/>
              <w:left w:val="nil"/>
              <w:bottom w:val="single" w:sz="4" w:space="0" w:color="auto"/>
              <w:right w:val="single" w:sz="4" w:space="0" w:color="auto"/>
            </w:tcBorders>
            <w:shd w:val="clear" w:color="auto" w:fill="auto"/>
            <w:noWrap/>
            <w:vAlign w:val="center"/>
          </w:tcPr>
          <w:p w14:paraId="5694FB27"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525" w:type="dxa"/>
            <w:vMerge/>
            <w:tcBorders>
              <w:top w:val="nil"/>
              <w:left w:val="single" w:sz="4" w:space="0" w:color="auto"/>
              <w:bottom w:val="nil"/>
              <w:right w:val="nil"/>
            </w:tcBorders>
            <w:vAlign w:val="center"/>
          </w:tcPr>
          <w:p w14:paraId="2C73E129"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nil"/>
              <w:left w:val="nil"/>
              <w:bottom w:val="single" w:sz="4" w:space="0" w:color="auto"/>
              <w:right w:val="nil"/>
            </w:tcBorders>
            <w:vAlign w:val="center"/>
          </w:tcPr>
          <w:p w14:paraId="74919B23"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p= 0.67</w:t>
            </w:r>
          </w:p>
        </w:tc>
      </w:tr>
      <w:tr w:rsidR="00DE1F0C" w:rsidRPr="00EE249E" w14:paraId="19970530" w14:textId="77777777" w:rsidTr="00713770">
        <w:trPr>
          <w:trHeight w:val="43"/>
          <w:jc w:val="center"/>
        </w:trPr>
        <w:tc>
          <w:tcPr>
            <w:tcW w:w="1276" w:type="dxa"/>
            <w:vMerge w:val="restart"/>
            <w:tcBorders>
              <w:top w:val="single" w:sz="4" w:space="0" w:color="auto"/>
              <w:left w:val="nil"/>
              <w:bottom w:val="nil"/>
              <w:right w:val="single" w:sz="4" w:space="0" w:color="auto"/>
            </w:tcBorders>
            <w:shd w:val="clear" w:color="auto" w:fill="auto"/>
            <w:vAlign w:val="center"/>
          </w:tcPr>
          <w:p w14:paraId="4F78D11E"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FHR-1/2</w:t>
            </w:r>
          </w:p>
        </w:tc>
        <w:tc>
          <w:tcPr>
            <w:tcW w:w="1333" w:type="dxa"/>
            <w:tcBorders>
              <w:top w:val="single" w:sz="4" w:space="0" w:color="auto"/>
              <w:left w:val="single" w:sz="4" w:space="0" w:color="auto"/>
              <w:bottom w:val="nil"/>
              <w:right w:val="nil"/>
            </w:tcBorders>
            <w:shd w:val="clear" w:color="auto" w:fill="auto"/>
            <w:noWrap/>
            <w:vAlign w:val="center"/>
          </w:tcPr>
          <w:p w14:paraId="68FB5DF0"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 (9)</w:t>
            </w:r>
          </w:p>
        </w:tc>
        <w:tc>
          <w:tcPr>
            <w:tcW w:w="6488" w:type="dxa"/>
            <w:gridSpan w:val="5"/>
            <w:tcBorders>
              <w:top w:val="single" w:sz="4" w:space="0" w:color="auto"/>
              <w:left w:val="nil"/>
              <w:bottom w:val="nil"/>
              <w:right w:val="single" w:sz="4" w:space="0" w:color="auto"/>
            </w:tcBorders>
            <w:shd w:val="clear" w:color="auto" w:fill="auto"/>
            <w:noWrap/>
            <w:vAlign w:val="center"/>
          </w:tcPr>
          <w:p w14:paraId="0E4FAB90"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&lt;LOD= 0.27 µg/mL</w:t>
            </w:r>
          </w:p>
        </w:tc>
        <w:tc>
          <w:tcPr>
            <w:tcW w:w="1525" w:type="dxa"/>
            <w:tcBorders>
              <w:top w:val="single" w:sz="4" w:space="0" w:color="auto"/>
              <w:left w:val="single" w:sz="4" w:space="0" w:color="auto"/>
              <w:bottom w:val="nil"/>
              <w:right w:val="nil"/>
            </w:tcBorders>
            <w:vAlign w:val="center"/>
          </w:tcPr>
          <w:p w14:paraId="217571F4"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single" w:sz="4" w:space="0" w:color="auto"/>
              <w:left w:val="nil"/>
              <w:bottom w:val="nil"/>
              <w:right w:val="nil"/>
            </w:tcBorders>
            <w:vAlign w:val="center"/>
          </w:tcPr>
          <w:p w14:paraId="31A171C9" w14:textId="77777777" w:rsidR="00DE1F0C" w:rsidRPr="00EE249E" w:rsidRDefault="00DE1F0C" w:rsidP="00713770">
            <w:pPr>
              <w:jc w:val="center"/>
              <w:rPr>
                <w:rFonts w:ascii="Arial" w:eastAsia="Times New Roman" w:hAnsi="Arial" w:cs="Arial"/>
                <w:snapToGrid w:val="0"/>
                <w:sz w:val="12"/>
                <w:szCs w:val="12"/>
                <w:lang w:eastAsia="de-DE" w:bidi="en-US"/>
              </w:rPr>
            </w:pPr>
          </w:p>
        </w:tc>
      </w:tr>
      <w:tr w:rsidR="00DE1F0C" w:rsidRPr="00EE249E" w14:paraId="13F66505" w14:textId="77777777" w:rsidTr="00713770">
        <w:trPr>
          <w:trHeight w:val="43"/>
          <w:jc w:val="center"/>
        </w:trPr>
        <w:tc>
          <w:tcPr>
            <w:tcW w:w="1276" w:type="dxa"/>
            <w:vMerge/>
            <w:tcBorders>
              <w:top w:val="nil"/>
              <w:left w:val="nil"/>
              <w:bottom w:val="nil"/>
              <w:right w:val="single" w:sz="4" w:space="0" w:color="auto"/>
            </w:tcBorders>
            <w:shd w:val="clear" w:color="auto" w:fill="auto"/>
            <w:vAlign w:val="center"/>
          </w:tcPr>
          <w:p w14:paraId="51AEBBC2"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333" w:type="dxa"/>
            <w:tcBorders>
              <w:top w:val="nil"/>
              <w:left w:val="single" w:sz="4" w:space="0" w:color="auto"/>
              <w:bottom w:val="nil"/>
              <w:right w:val="nil"/>
            </w:tcBorders>
            <w:shd w:val="clear" w:color="auto" w:fill="auto"/>
            <w:noWrap/>
            <w:vAlign w:val="center"/>
          </w:tcPr>
          <w:p w14:paraId="3765D998"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 (58)</w:t>
            </w:r>
          </w:p>
        </w:tc>
        <w:tc>
          <w:tcPr>
            <w:tcW w:w="1573" w:type="dxa"/>
            <w:tcBorders>
              <w:top w:val="nil"/>
              <w:left w:val="nil"/>
              <w:bottom w:val="nil"/>
              <w:right w:val="nil"/>
            </w:tcBorders>
            <w:shd w:val="clear" w:color="auto" w:fill="auto"/>
            <w:noWrap/>
            <w:vAlign w:val="center"/>
          </w:tcPr>
          <w:p w14:paraId="59596712"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3.72 (3.30-4.18)</w:t>
            </w:r>
          </w:p>
        </w:tc>
        <w:tc>
          <w:tcPr>
            <w:tcW w:w="1075" w:type="dxa"/>
            <w:tcBorders>
              <w:top w:val="nil"/>
              <w:left w:val="nil"/>
              <w:bottom w:val="nil"/>
              <w:right w:val="nil"/>
            </w:tcBorders>
            <w:shd w:val="clear" w:color="auto" w:fill="auto"/>
            <w:noWrap/>
            <w:vAlign w:val="center"/>
          </w:tcPr>
          <w:p w14:paraId="55D408FC"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2.89-4.60</w:t>
            </w:r>
          </w:p>
        </w:tc>
        <w:tc>
          <w:tcPr>
            <w:tcW w:w="1075" w:type="dxa"/>
            <w:tcBorders>
              <w:top w:val="nil"/>
              <w:left w:val="nil"/>
              <w:bottom w:val="nil"/>
              <w:right w:val="nil"/>
            </w:tcBorders>
            <w:shd w:val="clear" w:color="auto" w:fill="auto"/>
            <w:noWrap/>
            <w:vAlign w:val="center"/>
          </w:tcPr>
          <w:p w14:paraId="42699785"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1.93-5.73</w:t>
            </w:r>
          </w:p>
        </w:tc>
        <w:tc>
          <w:tcPr>
            <w:tcW w:w="1573" w:type="dxa"/>
            <w:tcBorders>
              <w:top w:val="nil"/>
              <w:left w:val="nil"/>
              <w:bottom w:val="nil"/>
              <w:right w:val="nil"/>
            </w:tcBorders>
            <w:shd w:val="clear" w:color="auto" w:fill="auto"/>
            <w:noWrap/>
            <w:vAlign w:val="center"/>
          </w:tcPr>
          <w:p w14:paraId="67E69956"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3.76 (3.45-4.07)</w:t>
            </w:r>
          </w:p>
        </w:tc>
        <w:tc>
          <w:tcPr>
            <w:tcW w:w="1192" w:type="dxa"/>
            <w:tcBorders>
              <w:top w:val="nil"/>
              <w:left w:val="nil"/>
              <w:bottom w:val="nil"/>
              <w:right w:val="single" w:sz="4" w:space="0" w:color="auto"/>
            </w:tcBorders>
            <w:shd w:val="clear" w:color="auto" w:fill="auto"/>
            <w:noWrap/>
            <w:vAlign w:val="center"/>
          </w:tcPr>
          <w:p w14:paraId="14957826"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1.18</w:t>
            </w:r>
          </w:p>
        </w:tc>
        <w:tc>
          <w:tcPr>
            <w:tcW w:w="1525" w:type="dxa"/>
            <w:tcBorders>
              <w:top w:val="nil"/>
              <w:left w:val="single" w:sz="4" w:space="0" w:color="auto"/>
              <w:bottom w:val="nil"/>
              <w:right w:val="nil"/>
            </w:tcBorders>
            <w:vAlign w:val="center"/>
          </w:tcPr>
          <w:p w14:paraId="452EFF9A"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nil"/>
              <w:left w:val="nil"/>
              <w:bottom w:val="nil"/>
              <w:right w:val="nil"/>
            </w:tcBorders>
            <w:vAlign w:val="center"/>
          </w:tcPr>
          <w:p w14:paraId="3710A0D2" w14:textId="77777777" w:rsidR="00DE1F0C" w:rsidRPr="00EE249E" w:rsidRDefault="00DE1F0C" w:rsidP="00713770">
            <w:pPr>
              <w:jc w:val="center"/>
              <w:rPr>
                <w:rFonts w:ascii="Arial" w:eastAsia="Times New Roman" w:hAnsi="Arial" w:cs="Arial"/>
                <w:snapToGrid w:val="0"/>
                <w:sz w:val="12"/>
                <w:szCs w:val="12"/>
                <w:lang w:eastAsia="de-DE" w:bidi="en-US"/>
              </w:rPr>
            </w:pPr>
          </w:p>
        </w:tc>
      </w:tr>
      <w:tr w:rsidR="00DE1F0C" w:rsidRPr="00EE249E" w14:paraId="102C6CAB" w14:textId="77777777" w:rsidTr="00713770">
        <w:trPr>
          <w:trHeight w:val="43"/>
          <w:jc w:val="center"/>
        </w:trPr>
        <w:tc>
          <w:tcPr>
            <w:tcW w:w="1276" w:type="dxa"/>
            <w:vMerge/>
            <w:tcBorders>
              <w:top w:val="nil"/>
              <w:left w:val="nil"/>
              <w:bottom w:val="nil"/>
              <w:right w:val="single" w:sz="4" w:space="0" w:color="auto"/>
            </w:tcBorders>
            <w:shd w:val="clear" w:color="auto" w:fill="auto"/>
            <w:vAlign w:val="center"/>
          </w:tcPr>
          <w:p w14:paraId="6E8E244A"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333" w:type="dxa"/>
            <w:tcBorders>
              <w:top w:val="nil"/>
              <w:left w:val="single" w:sz="4" w:space="0" w:color="auto"/>
              <w:bottom w:val="nil"/>
              <w:right w:val="nil"/>
            </w:tcBorders>
            <w:shd w:val="clear" w:color="auto" w:fill="auto"/>
            <w:noWrap/>
            <w:vAlign w:val="center"/>
          </w:tcPr>
          <w:p w14:paraId="5E1322EB"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2 (133)</w:t>
            </w:r>
          </w:p>
        </w:tc>
        <w:tc>
          <w:tcPr>
            <w:tcW w:w="1573" w:type="dxa"/>
            <w:tcBorders>
              <w:top w:val="nil"/>
              <w:left w:val="nil"/>
              <w:bottom w:val="nil"/>
              <w:right w:val="nil"/>
            </w:tcBorders>
            <w:shd w:val="clear" w:color="auto" w:fill="auto"/>
            <w:noWrap/>
            <w:vAlign w:val="center"/>
          </w:tcPr>
          <w:p w14:paraId="1F2F6AC3"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4.88 (4.58-5.29)</w:t>
            </w:r>
          </w:p>
        </w:tc>
        <w:tc>
          <w:tcPr>
            <w:tcW w:w="1075" w:type="dxa"/>
            <w:tcBorders>
              <w:top w:val="nil"/>
              <w:left w:val="nil"/>
              <w:bottom w:val="nil"/>
              <w:right w:val="nil"/>
            </w:tcBorders>
            <w:shd w:val="clear" w:color="auto" w:fill="auto"/>
            <w:noWrap/>
            <w:vAlign w:val="center"/>
          </w:tcPr>
          <w:p w14:paraId="791F8910"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3.68-6.17</w:t>
            </w:r>
          </w:p>
        </w:tc>
        <w:tc>
          <w:tcPr>
            <w:tcW w:w="1075" w:type="dxa"/>
            <w:tcBorders>
              <w:top w:val="nil"/>
              <w:left w:val="nil"/>
              <w:bottom w:val="nil"/>
              <w:right w:val="nil"/>
            </w:tcBorders>
            <w:shd w:val="clear" w:color="auto" w:fill="auto"/>
            <w:noWrap/>
            <w:vAlign w:val="center"/>
          </w:tcPr>
          <w:p w14:paraId="49DA1CEE"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1.57-7.81</w:t>
            </w:r>
          </w:p>
        </w:tc>
        <w:tc>
          <w:tcPr>
            <w:tcW w:w="1573" w:type="dxa"/>
            <w:tcBorders>
              <w:top w:val="nil"/>
              <w:left w:val="nil"/>
              <w:bottom w:val="nil"/>
              <w:right w:val="nil"/>
            </w:tcBorders>
            <w:shd w:val="clear" w:color="auto" w:fill="auto"/>
            <w:noWrap/>
            <w:vAlign w:val="center"/>
          </w:tcPr>
          <w:p w14:paraId="4F94A283"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4.81 (4.49-5.13)</w:t>
            </w:r>
          </w:p>
        </w:tc>
        <w:tc>
          <w:tcPr>
            <w:tcW w:w="1192" w:type="dxa"/>
            <w:tcBorders>
              <w:top w:val="nil"/>
              <w:left w:val="nil"/>
              <w:bottom w:val="nil"/>
              <w:right w:val="single" w:sz="4" w:space="0" w:color="auto"/>
            </w:tcBorders>
            <w:shd w:val="clear" w:color="auto" w:fill="auto"/>
            <w:noWrap/>
            <w:vAlign w:val="center"/>
          </w:tcPr>
          <w:p w14:paraId="142B6372"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1.87</w:t>
            </w:r>
          </w:p>
        </w:tc>
        <w:tc>
          <w:tcPr>
            <w:tcW w:w="1525" w:type="dxa"/>
            <w:tcBorders>
              <w:top w:val="nil"/>
              <w:left w:val="single" w:sz="4" w:space="0" w:color="auto"/>
              <w:bottom w:val="nil"/>
              <w:right w:val="nil"/>
            </w:tcBorders>
            <w:vAlign w:val="center"/>
          </w:tcPr>
          <w:p w14:paraId="5F92B672"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nil"/>
              <w:left w:val="nil"/>
              <w:bottom w:val="nil"/>
              <w:right w:val="nil"/>
            </w:tcBorders>
            <w:vAlign w:val="center"/>
          </w:tcPr>
          <w:p w14:paraId="1A6E2FCC" w14:textId="77777777" w:rsidR="00DE1F0C" w:rsidRPr="00EE249E" w:rsidRDefault="00DE1F0C" w:rsidP="00713770">
            <w:pPr>
              <w:jc w:val="center"/>
              <w:rPr>
                <w:rFonts w:ascii="Arial" w:eastAsia="Times New Roman" w:hAnsi="Arial" w:cs="Arial"/>
                <w:snapToGrid w:val="0"/>
                <w:sz w:val="12"/>
                <w:szCs w:val="12"/>
                <w:lang w:eastAsia="de-DE" w:bidi="en-US"/>
              </w:rPr>
            </w:pPr>
          </w:p>
        </w:tc>
      </w:tr>
      <w:tr w:rsidR="00DE1F0C" w:rsidRPr="00EE249E" w14:paraId="2FC8B84A" w14:textId="77777777" w:rsidTr="00713770">
        <w:trPr>
          <w:trHeight w:val="55"/>
          <w:jc w:val="center"/>
        </w:trPr>
        <w:tc>
          <w:tcPr>
            <w:tcW w:w="1276" w:type="dxa"/>
            <w:vMerge/>
            <w:tcBorders>
              <w:top w:val="nil"/>
              <w:left w:val="nil"/>
              <w:bottom w:val="nil"/>
              <w:right w:val="single" w:sz="4" w:space="0" w:color="auto"/>
            </w:tcBorders>
            <w:shd w:val="clear" w:color="auto" w:fill="auto"/>
            <w:vAlign w:val="center"/>
          </w:tcPr>
          <w:p w14:paraId="1351A182"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333" w:type="dxa"/>
            <w:tcBorders>
              <w:top w:val="nil"/>
              <w:left w:val="single" w:sz="4" w:space="0" w:color="auto"/>
              <w:bottom w:val="single" w:sz="4" w:space="0" w:color="auto"/>
              <w:right w:val="nil"/>
            </w:tcBorders>
            <w:shd w:val="clear" w:color="auto" w:fill="auto"/>
            <w:noWrap/>
            <w:vAlign w:val="center"/>
          </w:tcPr>
          <w:p w14:paraId="3DADB358"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3 (1)</w:t>
            </w:r>
          </w:p>
        </w:tc>
        <w:tc>
          <w:tcPr>
            <w:tcW w:w="6488" w:type="dxa"/>
            <w:gridSpan w:val="5"/>
            <w:tcBorders>
              <w:top w:val="nil"/>
              <w:left w:val="nil"/>
              <w:bottom w:val="single" w:sz="4" w:space="0" w:color="auto"/>
              <w:right w:val="single" w:sz="4" w:space="0" w:color="auto"/>
            </w:tcBorders>
            <w:shd w:val="clear" w:color="auto" w:fill="auto"/>
            <w:noWrap/>
            <w:vAlign w:val="center"/>
          </w:tcPr>
          <w:p w14:paraId="4BC61CDF" w14:textId="77777777" w:rsidR="00DE1F0C" w:rsidRPr="00EE249E" w:rsidRDefault="00DE1F0C" w:rsidP="00713770">
            <w:pPr>
              <w:jc w:val="center"/>
              <w:rPr>
                <w:rFonts w:ascii="Arial" w:eastAsia="Times New Roman" w:hAnsi="Arial" w:cs="Arial"/>
                <w:snapToGrid w:val="0"/>
                <w:sz w:val="12"/>
                <w:szCs w:val="12"/>
                <w:lang w:eastAsia="de-DE" w:bidi="en-US"/>
              </w:rPr>
            </w:pPr>
            <w:proofErr w:type="spellStart"/>
            <w:r w:rsidRPr="00EE249E">
              <w:rPr>
                <w:rFonts w:ascii="Arial" w:eastAsia="Times New Roman" w:hAnsi="Arial" w:cs="Arial"/>
                <w:snapToGrid w:val="0"/>
                <w:sz w:val="12"/>
                <w:szCs w:val="12"/>
                <w:lang w:eastAsia="de-DE" w:bidi="en-US"/>
              </w:rPr>
              <w:t>n.a.</w:t>
            </w:r>
            <w:proofErr w:type="spellEnd"/>
            <w:r w:rsidRPr="00EE249E">
              <w:rPr>
                <w:rFonts w:ascii="Arial" w:eastAsia="Times New Roman" w:hAnsi="Arial" w:cs="Arial"/>
                <w:snapToGrid w:val="0"/>
                <w:sz w:val="12"/>
                <w:szCs w:val="12"/>
                <w:lang w:eastAsia="de-DE" w:bidi="en-US"/>
              </w:rPr>
              <w:t xml:space="preserve"> (3.67 µg/mL)</w:t>
            </w:r>
          </w:p>
        </w:tc>
        <w:tc>
          <w:tcPr>
            <w:tcW w:w="1525" w:type="dxa"/>
            <w:tcBorders>
              <w:top w:val="nil"/>
              <w:left w:val="single" w:sz="4" w:space="0" w:color="auto"/>
              <w:bottom w:val="nil"/>
              <w:right w:val="nil"/>
            </w:tcBorders>
            <w:vAlign w:val="center"/>
          </w:tcPr>
          <w:p w14:paraId="0A4E720E"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nil"/>
              <w:left w:val="nil"/>
              <w:bottom w:val="single" w:sz="4" w:space="0" w:color="auto"/>
              <w:right w:val="nil"/>
            </w:tcBorders>
            <w:vAlign w:val="center"/>
          </w:tcPr>
          <w:p w14:paraId="7E7A2ACB" w14:textId="77777777" w:rsidR="00DE1F0C" w:rsidRPr="00EE249E" w:rsidRDefault="00DE1F0C" w:rsidP="00713770">
            <w:pPr>
              <w:jc w:val="center"/>
              <w:rPr>
                <w:rFonts w:ascii="Arial" w:eastAsia="Times New Roman" w:hAnsi="Arial" w:cs="Arial"/>
                <w:snapToGrid w:val="0"/>
                <w:sz w:val="12"/>
                <w:szCs w:val="12"/>
                <w:lang w:eastAsia="de-DE" w:bidi="en-US"/>
              </w:rPr>
            </w:pPr>
          </w:p>
        </w:tc>
      </w:tr>
      <w:tr w:rsidR="00DE1F0C" w:rsidRPr="00EE249E" w14:paraId="0AFB251F" w14:textId="77777777" w:rsidTr="00713770">
        <w:trPr>
          <w:trHeight w:val="295"/>
          <w:jc w:val="center"/>
        </w:trPr>
        <w:tc>
          <w:tcPr>
            <w:tcW w:w="1276" w:type="dxa"/>
            <w:vMerge/>
            <w:tcBorders>
              <w:top w:val="nil"/>
              <w:left w:val="nil"/>
              <w:bottom w:val="nil"/>
              <w:right w:val="single" w:sz="4" w:space="0" w:color="auto"/>
            </w:tcBorders>
            <w:shd w:val="clear" w:color="auto" w:fill="auto"/>
            <w:vAlign w:val="center"/>
          </w:tcPr>
          <w:p w14:paraId="4252C32D"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333" w:type="dxa"/>
            <w:vMerge w:val="restart"/>
            <w:tcBorders>
              <w:top w:val="single" w:sz="4" w:space="0" w:color="auto"/>
              <w:left w:val="single" w:sz="4" w:space="0" w:color="auto"/>
              <w:bottom w:val="nil"/>
              <w:right w:val="nil"/>
            </w:tcBorders>
            <w:shd w:val="clear" w:color="auto" w:fill="auto"/>
            <w:noWrap/>
            <w:vAlign w:val="center"/>
          </w:tcPr>
          <w:p w14:paraId="7C167C72"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Total (201)</w:t>
            </w:r>
          </w:p>
        </w:tc>
        <w:tc>
          <w:tcPr>
            <w:tcW w:w="1573" w:type="dxa"/>
            <w:vMerge w:val="restart"/>
            <w:tcBorders>
              <w:top w:val="single" w:sz="4" w:space="0" w:color="auto"/>
              <w:left w:val="nil"/>
              <w:bottom w:val="nil"/>
              <w:right w:val="nil"/>
            </w:tcBorders>
            <w:shd w:val="clear" w:color="auto" w:fill="auto"/>
            <w:noWrap/>
            <w:vAlign w:val="center"/>
          </w:tcPr>
          <w:p w14:paraId="05B11F39"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4.34 (4.10-4.64)</w:t>
            </w:r>
          </w:p>
        </w:tc>
        <w:tc>
          <w:tcPr>
            <w:tcW w:w="1075" w:type="dxa"/>
            <w:vMerge w:val="restart"/>
            <w:tcBorders>
              <w:top w:val="single" w:sz="4" w:space="0" w:color="auto"/>
              <w:left w:val="nil"/>
              <w:bottom w:val="nil"/>
              <w:right w:val="nil"/>
            </w:tcBorders>
            <w:shd w:val="clear" w:color="auto" w:fill="auto"/>
            <w:noWrap/>
            <w:vAlign w:val="center"/>
          </w:tcPr>
          <w:p w14:paraId="77078048"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3.04-5.41</w:t>
            </w:r>
          </w:p>
        </w:tc>
        <w:tc>
          <w:tcPr>
            <w:tcW w:w="1075" w:type="dxa"/>
            <w:vMerge w:val="restart"/>
            <w:tcBorders>
              <w:top w:val="single" w:sz="4" w:space="0" w:color="auto"/>
              <w:left w:val="nil"/>
              <w:bottom w:val="nil"/>
              <w:right w:val="nil"/>
            </w:tcBorders>
            <w:shd w:val="clear" w:color="auto" w:fill="auto"/>
            <w:noWrap/>
            <w:vAlign w:val="center"/>
          </w:tcPr>
          <w:p w14:paraId="75D13B4C"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0.27-7.60</w:t>
            </w:r>
          </w:p>
        </w:tc>
        <w:tc>
          <w:tcPr>
            <w:tcW w:w="1573" w:type="dxa"/>
            <w:vMerge w:val="restart"/>
            <w:tcBorders>
              <w:top w:val="single" w:sz="4" w:space="0" w:color="auto"/>
              <w:left w:val="nil"/>
              <w:bottom w:val="nil"/>
              <w:right w:val="nil"/>
            </w:tcBorders>
            <w:shd w:val="clear" w:color="auto" w:fill="auto"/>
            <w:noWrap/>
            <w:vAlign w:val="center"/>
          </w:tcPr>
          <w:p w14:paraId="76DCB716"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4.30 (4.03-4.57)</w:t>
            </w:r>
          </w:p>
        </w:tc>
        <w:tc>
          <w:tcPr>
            <w:tcW w:w="1192" w:type="dxa"/>
            <w:vMerge w:val="restart"/>
            <w:tcBorders>
              <w:top w:val="single" w:sz="4" w:space="0" w:color="auto"/>
              <w:left w:val="nil"/>
              <w:bottom w:val="nil"/>
              <w:right w:val="single" w:sz="4" w:space="0" w:color="auto"/>
            </w:tcBorders>
            <w:shd w:val="clear" w:color="auto" w:fill="auto"/>
            <w:noWrap/>
            <w:vAlign w:val="center"/>
          </w:tcPr>
          <w:p w14:paraId="0C68B72A"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1.92</w:t>
            </w:r>
          </w:p>
        </w:tc>
        <w:tc>
          <w:tcPr>
            <w:tcW w:w="1525" w:type="dxa"/>
            <w:vMerge w:val="restart"/>
            <w:tcBorders>
              <w:top w:val="single" w:sz="4" w:space="0" w:color="auto"/>
              <w:left w:val="single" w:sz="4" w:space="0" w:color="auto"/>
              <w:bottom w:val="nil"/>
              <w:right w:val="nil"/>
            </w:tcBorders>
            <w:vAlign w:val="center"/>
          </w:tcPr>
          <w:p w14:paraId="28477697"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0.12</w:t>
            </w:r>
          </w:p>
          <w:p w14:paraId="589D3866"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(p= 0.11)</w:t>
            </w:r>
          </w:p>
        </w:tc>
        <w:tc>
          <w:tcPr>
            <w:tcW w:w="1181" w:type="dxa"/>
            <w:tcBorders>
              <w:top w:val="single" w:sz="4" w:space="0" w:color="auto"/>
              <w:left w:val="nil"/>
              <w:bottom w:val="nil"/>
              <w:right w:val="nil"/>
            </w:tcBorders>
            <w:vAlign w:val="center"/>
          </w:tcPr>
          <w:p w14:paraId="22898E14"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4.59</w:t>
            </w:r>
          </w:p>
          <w:p w14:paraId="121C53C2"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(3.98-5.13)</w:t>
            </w:r>
          </w:p>
        </w:tc>
        <w:tc>
          <w:tcPr>
            <w:tcW w:w="1201" w:type="dxa"/>
            <w:gridSpan w:val="2"/>
            <w:tcBorders>
              <w:top w:val="single" w:sz="4" w:space="0" w:color="auto"/>
              <w:left w:val="nil"/>
              <w:bottom w:val="nil"/>
              <w:right w:val="nil"/>
            </w:tcBorders>
            <w:vAlign w:val="center"/>
          </w:tcPr>
          <w:p w14:paraId="63C5FFAF"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4.48</w:t>
            </w:r>
          </w:p>
          <w:p w14:paraId="3DEEBDFB"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(4.21-4.67)</w:t>
            </w:r>
          </w:p>
        </w:tc>
      </w:tr>
      <w:tr w:rsidR="00DE1F0C" w:rsidRPr="00EE249E" w14:paraId="778913EA" w14:textId="77777777" w:rsidTr="00713770">
        <w:trPr>
          <w:trHeight w:val="43"/>
          <w:jc w:val="center"/>
        </w:trPr>
        <w:tc>
          <w:tcPr>
            <w:tcW w:w="1276" w:type="dxa"/>
            <w:vMerge/>
            <w:tcBorders>
              <w:top w:val="nil"/>
              <w:left w:val="nil"/>
              <w:bottom w:val="single" w:sz="4" w:space="0" w:color="auto"/>
              <w:right w:val="single" w:sz="4" w:space="0" w:color="auto"/>
            </w:tcBorders>
            <w:shd w:val="clear" w:color="auto" w:fill="auto"/>
            <w:vAlign w:val="center"/>
          </w:tcPr>
          <w:p w14:paraId="5FCBCF0E"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333" w:type="dxa"/>
            <w:vMerge/>
            <w:tcBorders>
              <w:top w:val="nil"/>
              <w:left w:val="single" w:sz="4" w:space="0" w:color="auto"/>
              <w:bottom w:val="single" w:sz="4" w:space="0" w:color="auto"/>
              <w:right w:val="nil"/>
            </w:tcBorders>
            <w:shd w:val="clear" w:color="auto" w:fill="auto"/>
            <w:noWrap/>
            <w:vAlign w:val="center"/>
          </w:tcPr>
          <w:p w14:paraId="28D34027"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573" w:type="dxa"/>
            <w:vMerge/>
            <w:tcBorders>
              <w:top w:val="nil"/>
              <w:left w:val="nil"/>
              <w:bottom w:val="single" w:sz="4" w:space="0" w:color="auto"/>
              <w:right w:val="nil"/>
            </w:tcBorders>
            <w:shd w:val="clear" w:color="auto" w:fill="auto"/>
            <w:noWrap/>
            <w:vAlign w:val="center"/>
          </w:tcPr>
          <w:p w14:paraId="4B50D981"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075" w:type="dxa"/>
            <w:vMerge/>
            <w:tcBorders>
              <w:top w:val="nil"/>
              <w:left w:val="nil"/>
              <w:bottom w:val="single" w:sz="4" w:space="0" w:color="auto"/>
              <w:right w:val="nil"/>
            </w:tcBorders>
            <w:shd w:val="clear" w:color="auto" w:fill="auto"/>
            <w:noWrap/>
            <w:vAlign w:val="center"/>
          </w:tcPr>
          <w:p w14:paraId="77B512AF"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075" w:type="dxa"/>
            <w:vMerge/>
            <w:tcBorders>
              <w:top w:val="nil"/>
              <w:left w:val="nil"/>
              <w:bottom w:val="single" w:sz="4" w:space="0" w:color="auto"/>
              <w:right w:val="nil"/>
            </w:tcBorders>
            <w:shd w:val="clear" w:color="auto" w:fill="auto"/>
            <w:noWrap/>
            <w:vAlign w:val="center"/>
          </w:tcPr>
          <w:p w14:paraId="789AC832"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573" w:type="dxa"/>
            <w:vMerge/>
            <w:tcBorders>
              <w:top w:val="nil"/>
              <w:left w:val="nil"/>
              <w:bottom w:val="single" w:sz="4" w:space="0" w:color="auto"/>
              <w:right w:val="nil"/>
            </w:tcBorders>
            <w:shd w:val="clear" w:color="auto" w:fill="auto"/>
            <w:noWrap/>
            <w:vAlign w:val="center"/>
          </w:tcPr>
          <w:p w14:paraId="64FF1355"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192" w:type="dxa"/>
            <w:vMerge/>
            <w:tcBorders>
              <w:top w:val="nil"/>
              <w:left w:val="nil"/>
              <w:bottom w:val="single" w:sz="4" w:space="0" w:color="auto"/>
              <w:right w:val="single" w:sz="4" w:space="0" w:color="auto"/>
            </w:tcBorders>
            <w:shd w:val="clear" w:color="auto" w:fill="auto"/>
            <w:noWrap/>
            <w:vAlign w:val="center"/>
          </w:tcPr>
          <w:p w14:paraId="289596BF"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525" w:type="dxa"/>
            <w:vMerge/>
            <w:tcBorders>
              <w:top w:val="nil"/>
              <w:left w:val="single" w:sz="4" w:space="0" w:color="auto"/>
              <w:bottom w:val="nil"/>
              <w:right w:val="nil"/>
            </w:tcBorders>
            <w:vAlign w:val="center"/>
          </w:tcPr>
          <w:p w14:paraId="0DC4E253"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nil"/>
              <w:left w:val="nil"/>
              <w:bottom w:val="single" w:sz="4" w:space="0" w:color="auto"/>
              <w:right w:val="nil"/>
            </w:tcBorders>
            <w:vAlign w:val="center"/>
          </w:tcPr>
          <w:p w14:paraId="552B41D3"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p= 0.19</w:t>
            </w:r>
          </w:p>
        </w:tc>
      </w:tr>
      <w:tr w:rsidR="00DE1F0C" w:rsidRPr="00EE249E" w14:paraId="31D65436" w14:textId="77777777" w:rsidTr="00713770">
        <w:trPr>
          <w:trHeight w:val="43"/>
          <w:jc w:val="center"/>
        </w:trPr>
        <w:tc>
          <w:tcPr>
            <w:tcW w:w="1276" w:type="dxa"/>
            <w:vMerge w:val="restart"/>
            <w:tcBorders>
              <w:top w:val="single" w:sz="4" w:space="0" w:color="auto"/>
              <w:left w:val="nil"/>
              <w:bottom w:val="nil"/>
              <w:right w:val="single" w:sz="4" w:space="0" w:color="auto"/>
            </w:tcBorders>
            <w:shd w:val="clear" w:color="auto" w:fill="auto"/>
            <w:vAlign w:val="center"/>
          </w:tcPr>
          <w:p w14:paraId="60CDF729"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FHR-2/2</w:t>
            </w:r>
          </w:p>
        </w:tc>
        <w:tc>
          <w:tcPr>
            <w:tcW w:w="1333" w:type="dxa"/>
            <w:tcBorders>
              <w:top w:val="single" w:sz="4" w:space="0" w:color="auto"/>
              <w:left w:val="single" w:sz="4" w:space="0" w:color="auto"/>
              <w:bottom w:val="nil"/>
              <w:right w:val="nil"/>
            </w:tcBorders>
            <w:shd w:val="clear" w:color="auto" w:fill="auto"/>
            <w:noWrap/>
            <w:vAlign w:val="center"/>
          </w:tcPr>
          <w:p w14:paraId="588FC32C"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 (9)</w:t>
            </w:r>
          </w:p>
        </w:tc>
        <w:tc>
          <w:tcPr>
            <w:tcW w:w="1573" w:type="dxa"/>
            <w:tcBorders>
              <w:top w:val="single" w:sz="4" w:space="0" w:color="auto"/>
              <w:left w:val="nil"/>
              <w:bottom w:val="nil"/>
              <w:right w:val="nil"/>
            </w:tcBorders>
            <w:shd w:val="clear" w:color="auto" w:fill="auto"/>
            <w:noWrap/>
            <w:vAlign w:val="center"/>
          </w:tcPr>
          <w:p w14:paraId="1E3F62AD"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4.09 (2.76-4.56)</w:t>
            </w:r>
          </w:p>
        </w:tc>
        <w:tc>
          <w:tcPr>
            <w:tcW w:w="1075" w:type="dxa"/>
            <w:tcBorders>
              <w:top w:val="single" w:sz="4" w:space="0" w:color="auto"/>
              <w:left w:val="nil"/>
              <w:bottom w:val="nil"/>
              <w:right w:val="nil"/>
            </w:tcBorders>
            <w:shd w:val="clear" w:color="auto" w:fill="auto"/>
            <w:noWrap/>
            <w:vAlign w:val="center"/>
          </w:tcPr>
          <w:p w14:paraId="00B94BB6"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3.20-4.49</w:t>
            </w:r>
          </w:p>
        </w:tc>
        <w:tc>
          <w:tcPr>
            <w:tcW w:w="1075" w:type="dxa"/>
            <w:tcBorders>
              <w:top w:val="single" w:sz="4" w:space="0" w:color="auto"/>
              <w:left w:val="nil"/>
              <w:bottom w:val="nil"/>
              <w:right w:val="nil"/>
            </w:tcBorders>
            <w:shd w:val="clear" w:color="auto" w:fill="auto"/>
            <w:noWrap/>
            <w:vAlign w:val="center"/>
          </w:tcPr>
          <w:p w14:paraId="5F9A35D2"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1.83-5.67</w:t>
            </w:r>
          </w:p>
        </w:tc>
        <w:tc>
          <w:tcPr>
            <w:tcW w:w="1573" w:type="dxa"/>
            <w:tcBorders>
              <w:top w:val="single" w:sz="4" w:space="0" w:color="auto"/>
              <w:left w:val="nil"/>
              <w:bottom w:val="nil"/>
              <w:right w:val="nil"/>
            </w:tcBorders>
            <w:shd w:val="clear" w:color="auto" w:fill="auto"/>
            <w:noWrap/>
            <w:vAlign w:val="center"/>
          </w:tcPr>
          <w:p w14:paraId="3A0F95AD"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3.87 (3.03-4.71)</w:t>
            </w:r>
          </w:p>
        </w:tc>
        <w:tc>
          <w:tcPr>
            <w:tcW w:w="1192" w:type="dxa"/>
            <w:tcBorders>
              <w:top w:val="single" w:sz="4" w:space="0" w:color="auto"/>
              <w:left w:val="nil"/>
              <w:bottom w:val="nil"/>
              <w:right w:val="single" w:sz="4" w:space="0" w:color="auto"/>
            </w:tcBorders>
            <w:shd w:val="clear" w:color="auto" w:fill="auto"/>
            <w:noWrap/>
            <w:vAlign w:val="center"/>
          </w:tcPr>
          <w:p w14:paraId="02EDF1BB"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1.10</w:t>
            </w:r>
          </w:p>
        </w:tc>
        <w:tc>
          <w:tcPr>
            <w:tcW w:w="1525" w:type="dxa"/>
            <w:tcBorders>
              <w:top w:val="single" w:sz="4" w:space="0" w:color="auto"/>
              <w:left w:val="single" w:sz="4" w:space="0" w:color="auto"/>
              <w:bottom w:val="nil"/>
              <w:right w:val="nil"/>
            </w:tcBorders>
            <w:vAlign w:val="center"/>
          </w:tcPr>
          <w:p w14:paraId="7D5F4B47"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single" w:sz="4" w:space="0" w:color="auto"/>
              <w:left w:val="nil"/>
              <w:bottom w:val="nil"/>
              <w:right w:val="nil"/>
            </w:tcBorders>
            <w:vAlign w:val="center"/>
          </w:tcPr>
          <w:p w14:paraId="4BD7D36A" w14:textId="77777777" w:rsidR="00DE1F0C" w:rsidRPr="00EE249E" w:rsidRDefault="00DE1F0C" w:rsidP="00713770">
            <w:pPr>
              <w:jc w:val="center"/>
              <w:rPr>
                <w:rFonts w:ascii="Arial" w:eastAsia="Times New Roman" w:hAnsi="Arial" w:cs="Arial"/>
                <w:snapToGrid w:val="0"/>
                <w:sz w:val="12"/>
                <w:szCs w:val="12"/>
                <w:lang w:eastAsia="de-DE" w:bidi="en-US"/>
              </w:rPr>
            </w:pPr>
          </w:p>
        </w:tc>
      </w:tr>
      <w:tr w:rsidR="00DE1F0C" w:rsidRPr="00EE249E" w14:paraId="7E7F9A4D" w14:textId="77777777" w:rsidTr="00713770">
        <w:trPr>
          <w:trHeight w:val="43"/>
          <w:jc w:val="center"/>
        </w:trPr>
        <w:tc>
          <w:tcPr>
            <w:tcW w:w="1276" w:type="dxa"/>
            <w:vMerge/>
            <w:tcBorders>
              <w:top w:val="nil"/>
              <w:left w:val="nil"/>
              <w:bottom w:val="nil"/>
              <w:right w:val="single" w:sz="4" w:space="0" w:color="auto"/>
            </w:tcBorders>
            <w:shd w:val="clear" w:color="auto" w:fill="auto"/>
            <w:vAlign w:val="center"/>
          </w:tcPr>
          <w:p w14:paraId="06697922"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333" w:type="dxa"/>
            <w:tcBorders>
              <w:top w:val="nil"/>
              <w:left w:val="single" w:sz="4" w:space="0" w:color="auto"/>
              <w:bottom w:val="nil"/>
              <w:right w:val="nil"/>
            </w:tcBorders>
            <w:shd w:val="clear" w:color="auto" w:fill="auto"/>
            <w:noWrap/>
            <w:vAlign w:val="center"/>
          </w:tcPr>
          <w:p w14:paraId="1758B4D7"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 (58)</w:t>
            </w:r>
          </w:p>
        </w:tc>
        <w:tc>
          <w:tcPr>
            <w:tcW w:w="1573" w:type="dxa"/>
            <w:tcBorders>
              <w:top w:val="nil"/>
              <w:left w:val="nil"/>
              <w:bottom w:val="nil"/>
              <w:right w:val="nil"/>
            </w:tcBorders>
            <w:shd w:val="clear" w:color="auto" w:fill="auto"/>
            <w:noWrap/>
            <w:vAlign w:val="center"/>
          </w:tcPr>
          <w:p w14:paraId="411E6B61"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1.36 (1.13-1.83)</w:t>
            </w:r>
          </w:p>
        </w:tc>
        <w:tc>
          <w:tcPr>
            <w:tcW w:w="1075" w:type="dxa"/>
            <w:tcBorders>
              <w:top w:val="nil"/>
              <w:left w:val="nil"/>
              <w:bottom w:val="nil"/>
              <w:right w:val="nil"/>
            </w:tcBorders>
            <w:shd w:val="clear" w:color="auto" w:fill="auto"/>
            <w:noWrap/>
            <w:vAlign w:val="center"/>
          </w:tcPr>
          <w:p w14:paraId="470A48D2"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0.94-2.06</w:t>
            </w:r>
          </w:p>
        </w:tc>
        <w:tc>
          <w:tcPr>
            <w:tcW w:w="1075" w:type="dxa"/>
            <w:tcBorders>
              <w:top w:val="nil"/>
              <w:left w:val="nil"/>
              <w:bottom w:val="nil"/>
              <w:right w:val="nil"/>
            </w:tcBorders>
            <w:shd w:val="clear" w:color="auto" w:fill="auto"/>
            <w:noWrap/>
            <w:vAlign w:val="center"/>
          </w:tcPr>
          <w:p w14:paraId="70987F4C"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0.34-2.48</w:t>
            </w:r>
          </w:p>
        </w:tc>
        <w:tc>
          <w:tcPr>
            <w:tcW w:w="1573" w:type="dxa"/>
            <w:tcBorders>
              <w:top w:val="nil"/>
              <w:left w:val="nil"/>
              <w:bottom w:val="nil"/>
              <w:right w:val="nil"/>
            </w:tcBorders>
            <w:shd w:val="clear" w:color="auto" w:fill="auto"/>
            <w:noWrap/>
            <w:vAlign w:val="center"/>
          </w:tcPr>
          <w:p w14:paraId="25586CBD"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1.46 (1.28-1.64)</w:t>
            </w:r>
          </w:p>
        </w:tc>
        <w:tc>
          <w:tcPr>
            <w:tcW w:w="1192" w:type="dxa"/>
            <w:tcBorders>
              <w:top w:val="nil"/>
              <w:left w:val="nil"/>
              <w:bottom w:val="nil"/>
              <w:right w:val="single" w:sz="4" w:space="0" w:color="auto"/>
            </w:tcBorders>
            <w:shd w:val="clear" w:color="auto" w:fill="auto"/>
            <w:noWrap/>
            <w:vAlign w:val="center"/>
          </w:tcPr>
          <w:p w14:paraId="4C505850"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0.67</w:t>
            </w:r>
          </w:p>
        </w:tc>
        <w:tc>
          <w:tcPr>
            <w:tcW w:w="1525" w:type="dxa"/>
            <w:tcBorders>
              <w:top w:val="nil"/>
              <w:left w:val="single" w:sz="4" w:space="0" w:color="auto"/>
              <w:bottom w:val="nil"/>
              <w:right w:val="nil"/>
            </w:tcBorders>
            <w:vAlign w:val="center"/>
          </w:tcPr>
          <w:p w14:paraId="4158E41B"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nil"/>
              <w:left w:val="nil"/>
              <w:bottom w:val="nil"/>
              <w:right w:val="nil"/>
            </w:tcBorders>
            <w:vAlign w:val="center"/>
          </w:tcPr>
          <w:p w14:paraId="0A33C0FF" w14:textId="77777777" w:rsidR="00DE1F0C" w:rsidRPr="00EE249E" w:rsidRDefault="00DE1F0C" w:rsidP="00713770">
            <w:pPr>
              <w:jc w:val="center"/>
              <w:rPr>
                <w:rFonts w:ascii="Arial" w:eastAsia="Times New Roman" w:hAnsi="Arial" w:cs="Arial"/>
                <w:snapToGrid w:val="0"/>
                <w:sz w:val="12"/>
                <w:szCs w:val="12"/>
                <w:lang w:eastAsia="de-DE" w:bidi="en-US"/>
              </w:rPr>
            </w:pPr>
          </w:p>
        </w:tc>
      </w:tr>
      <w:tr w:rsidR="00DE1F0C" w:rsidRPr="00EE249E" w14:paraId="600314D1" w14:textId="77777777" w:rsidTr="00713770">
        <w:trPr>
          <w:trHeight w:val="43"/>
          <w:jc w:val="center"/>
        </w:trPr>
        <w:tc>
          <w:tcPr>
            <w:tcW w:w="1276" w:type="dxa"/>
            <w:vMerge/>
            <w:tcBorders>
              <w:top w:val="nil"/>
              <w:left w:val="nil"/>
              <w:bottom w:val="nil"/>
              <w:right w:val="single" w:sz="4" w:space="0" w:color="auto"/>
            </w:tcBorders>
            <w:shd w:val="clear" w:color="auto" w:fill="auto"/>
            <w:vAlign w:val="center"/>
          </w:tcPr>
          <w:p w14:paraId="004F6780"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333" w:type="dxa"/>
            <w:tcBorders>
              <w:top w:val="nil"/>
              <w:left w:val="single" w:sz="4" w:space="0" w:color="auto"/>
              <w:bottom w:val="nil"/>
              <w:right w:val="nil"/>
            </w:tcBorders>
            <w:shd w:val="clear" w:color="auto" w:fill="auto"/>
            <w:noWrap/>
            <w:vAlign w:val="center"/>
          </w:tcPr>
          <w:p w14:paraId="01423FCB"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2 (133)</w:t>
            </w:r>
          </w:p>
        </w:tc>
        <w:tc>
          <w:tcPr>
            <w:tcW w:w="1573" w:type="dxa"/>
            <w:tcBorders>
              <w:top w:val="nil"/>
              <w:left w:val="nil"/>
              <w:bottom w:val="nil"/>
              <w:right w:val="nil"/>
            </w:tcBorders>
            <w:shd w:val="clear" w:color="auto" w:fill="auto"/>
            <w:noWrap/>
            <w:vAlign w:val="center"/>
          </w:tcPr>
          <w:p w14:paraId="6595FB41"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0.96 (0.82-1.29)</w:t>
            </w:r>
          </w:p>
        </w:tc>
        <w:tc>
          <w:tcPr>
            <w:tcW w:w="1075" w:type="dxa"/>
            <w:tcBorders>
              <w:top w:val="nil"/>
              <w:left w:val="nil"/>
              <w:bottom w:val="nil"/>
              <w:right w:val="nil"/>
            </w:tcBorders>
            <w:shd w:val="clear" w:color="auto" w:fill="auto"/>
            <w:noWrap/>
            <w:vAlign w:val="center"/>
          </w:tcPr>
          <w:p w14:paraId="45D4D0C8"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0.61-1.57</w:t>
            </w:r>
          </w:p>
        </w:tc>
        <w:tc>
          <w:tcPr>
            <w:tcW w:w="1075" w:type="dxa"/>
            <w:tcBorders>
              <w:top w:val="nil"/>
              <w:left w:val="nil"/>
              <w:bottom w:val="nil"/>
              <w:right w:val="nil"/>
            </w:tcBorders>
            <w:shd w:val="clear" w:color="auto" w:fill="auto"/>
            <w:noWrap/>
            <w:vAlign w:val="center"/>
          </w:tcPr>
          <w:p w14:paraId="105A517D"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0.17-1.87</w:t>
            </w:r>
          </w:p>
        </w:tc>
        <w:tc>
          <w:tcPr>
            <w:tcW w:w="1573" w:type="dxa"/>
            <w:tcBorders>
              <w:top w:val="nil"/>
              <w:left w:val="nil"/>
              <w:bottom w:val="nil"/>
              <w:right w:val="nil"/>
            </w:tcBorders>
            <w:shd w:val="clear" w:color="auto" w:fill="auto"/>
            <w:noWrap/>
            <w:vAlign w:val="center"/>
          </w:tcPr>
          <w:p w14:paraId="73F4F12A"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1.05 (0.95-1.17)</w:t>
            </w:r>
          </w:p>
        </w:tc>
        <w:tc>
          <w:tcPr>
            <w:tcW w:w="1192" w:type="dxa"/>
            <w:tcBorders>
              <w:top w:val="nil"/>
              <w:left w:val="nil"/>
              <w:bottom w:val="nil"/>
              <w:right w:val="single" w:sz="4" w:space="0" w:color="auto"/>
            </w:tcBorders>
            <w:shd w:val="clear" w:color="auto" w:fill="auto"/>
            <w:noWrap/>
            <w:vAlign w:val="center"/>
          </w:tcPr>
          <w:p w14:paraId="16D4C069"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0.58</w:t>
            </w:r>
          </w:p>
        </w:tc>
        <w:tc>
          <w:tcPr>
            <w:tcW w:w="1525" w:type="dxa"/>
            <w:tcBorders>
              <w:top w:val="nil"/>
              <w:left w:val="single" w:sz="4" w:space="0" w:color="auto"/>
              <w:bottom w:val="nil"/>
              <w:right w:val="nil"/>
            </w:tcBorders>
            <w:vAlign w:val="center"/>
          </w:tcPr>
          <w:p w14:paraId="7AE6420D"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nil"/>
              <w:left w:val="nil"/>
              <w:bottom w:val="nil"/>
              <w:right w:val="nil"/>
            </w:tcBorders>
            <w:vAlign w:val="center"/>
          </w:tcPr>
          <w:p w14:paraId="6E80D89E" w14:textId="77777777" w:rsidR="00DE1F0C" w:rsidRPr="00EE249E" w:rsidRDefault="00DE1F0C" w:rsidP="00713770">
            <w:pPr>
              <w:jc w:val="center"/>
              <w:rPr>
                <w:rFonts w:ascii="Arial" w:eastAsia="Times New Roman" w:hAnsi="Arial" w:cs="Arial"/>
                <w:snapToGrid w:val="0"/>
                <w:sz w:val="12"/>
                <w:szCs w:val="12"/>
                <w:lang w:eastAsia="de-DE" w:bidi="en-US"/>
              </w:rPr>
            </w:pPr>
          </w:p>
        </w:tc>
      </w:tr>
      <w:tr w:rsidR="00DE1F0C" w:rsidRPr="00EE249E" w14:paraId="71EEF4AA" w14:textId="77777777" w:rsidTr="00713770">
        <w:trPr>
          <w:trHeight w:val="55"/>
          <w:jc w:val="center"/>
        </w:trPr>
        <w:tc>
          <w:tcPr>
            <w:tcW w:w="1276" w:type="dxa"/>
            <w:vMerge/>
            <w:tcBorders>
              <w:top w:val="nil"/>
              <w:left w:val="nil"/>
              <w:bottom w:val="nil"/>
              <w:right w:val="single" w:sz="4" w:space="0" w:color="auto"/>
            </w:tcBorders>
            <w:shd w:val="clear" w:color="auto" w:fill="auto"/>
            <w:vAlign w:val="center"/>
          </w:tcPr>
          <w:p w14:paraId="714273A9"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333" w:type="dxa"/>
            <w:tcBorders>
              <w:top w:val="nil"/>
              <w:left w:val="single" w:sz="4" w:space="0" w:color="auto"/>
              <w:bottom w:val="single" w:sz="4" w:space="0" w:color="auto"/>
              <w:right w:val="nil"/>
            </w:tcBorders>
            <w:shd w:val="clear" w:color="auto" w:fill="auto"/>
            <w:noWrap/>
            <w:vAlign w:val="center"/>
          </w:tcPr>
          <w:p w14:paraId="1D5BFD27"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3 (1)</w:t>
            </w:r>
          </w:p>
        </w:tc>
        <w:tc>
          <w:tcPr>
            <w:tcW w:w="6488" w:type="dxa"/>
            <w:gridSpan w:val="5"/>
            <w:tcBorders>
              <w:top w:val="nil"/>
              <w:left w:val="nil"/>
              <w:bottom w:val="single" w:sz="4" w:space="0" w:color="auto"/>
              <w:right w:val="single" w:sz="4" w:space="0" w:color="auto"/>
            </w:tcBorders>
            <w:shd w:val="clear" w:color="auto" w:fill="auto"/>
            <w:noWrap/>
            <w:vAlign w:val="center"/>
          </w:tcPr>
          <w:p w14:paraId="6D0B8414" w14:textId="77777777" w:rsidR="00DE1F0C" w:rsidRPr="00EE249E" w:rsidRDefault="00DE1F0C" w:rsidP="00713770">
            <w:pPr>
              <w:jc w:val="center"/>
              <w:rPr>
                <w:rFonts w:ascii="Arial" w:eastAsia="Times New Roman" w:hAnsi="Arial" w:cs="Arial"/>
                <w:snapToGrid w:val="0"/>
                <w:sz w:val="12"/>
                <w:szCs w:val="12"/>
                <w:lang w:eastAsia="de-DE" w:bidi="en-US"/>
              </w:rPr>
            </w:pPr>
            <w:proofErr w:type="spellStart"/>
            <w:r w:rsidRPr="00EE249E">
              <w:rPr>
                <w:rFonts w:ascii="Arial" w:eastAsia="Times New Roman" w:hAnsi="Arial" w:cs="Arial"/>
                <w:snapToGrid w:val="0"/>
                <w:sz w:val="12"/>
                <w:szCs w:val="12"/>
                <w:lang w:eastAsia="de-DE" w:bidi="en-US"/>
              </w:rPr>
              <w:t>n.a.</w:t>
            </w:r>
            <w:proofErr w:type="spellEnd"/>
            <w:r w:rsidRPr="00EE249E">
              <w:rPr>
                <w:rFonts w:ascii="Arial" w:eastAsia="Times New Roman" w:hAnsi="Arial" w:cs="Arial"/>
                <w:snapToGrid w:val="0"/>
                <w:sz w:val="12"/>
                <w:szCs w:val="12"/>
                <w:lang w:eastAsia="de-DE" w:bidi="en-US"/>
              </w:rPr>
              <w:t xml:space="preserve"> (0.32 µg/mL)</w:t>
            </w:r>
          </w:p>
        </w:tc>
        <w:tc>
          <w:tcPr>
            <w:tcW w:w="1525" w:type="dxa"/>
            <w:tcBorders>
              <w:top w:val="nil"/>
              <w:left w:val="single" w:sz="4" w:space="0" w:color="auto"/>
              <w:bottom w:val="nil"/>
              <w:right w:val="nil"/>
            </w:tcBorders>
            <w:vAlign w:val="center"/>
          </w:tcPr>
          <w:p w14:paraId="6DD6D4F8"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nil"/>
              <w:left w:val="nil"/>
              <w:bottom w:val="single" w:sz="4" w:space="0" w:color="auto"/>
              <w:right w:val="nil"/>
            </w:tcBorders>
            <w:vAlign w:val="center"/>
          </w:tcPr>
          <w:p w14:paraId="65B528E6" w14:textId="77777777" w:rsidR="00DE1F0C" w:rsidRPr="00EE249E" w:rsidRDefault="00DE1F0C" w:rsidP="00713770">
            <w:pPr>
              <w:jc w:val="center"/>
              <w:rPr>
                <w:rFonts w:ascii="Arial" w:eastAsia="Times New Roman" w:hAnsi="Arial" w:cs="Arial"/>
                <w:snapToGrid w:val="0"/>
                <w:sz w:val="12"/>
                <w:szCs w:val="12"/>
                <w:lang w:eastAsia="de-DE" w:bidi="en-US"/>
              </w:rPr>
            </w:pPr>
          </w:p>
        </w:tc>
      </w:tr>
      <w:tr w:rsidR="00DE1F0C" w:rsidRPr="00EE249E" w14:paraId="66EE97D1" w14:textId="77777777" w:rsidTr="00713770">
        <w:trPr>
          <w:trHeight w:val="295"/>
          <w:jc w:val="center"/>
        </w:trPr>
        <w:tc>
          <w:tcPr>
            <w:tcW w:w="1276" w:type="dxa"/>
            <w:vMerge/>
            <w:tcBorders>
              <w:top w:val="nil"/>
              <w:left w:val="nil"/>
              <w:bottom w:val="nil"/>
              <w:right w:val="single" w:sz="4" w:space="0" w:color="auto"/>
            </w:tcBorders>
            <w:shd w:val="clear" w:color="auto" w:fill="auto"/>
            <w:vAlign w:val="center"/>
          </w:tcPr>
          <w:p w14:paraId="772D1A49"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333" w:type="dxa"/>
            <w:vMerge w:val="restart"/>
            <w:tcBorders>
              <w:top w:val="single" w:sz="4" w:space="0" w:color="auto"/>
              <w:left w:val="single" w:sz="4" w:space="0" w:color="auto"/>
              <w:bottom w:val="nil"/>
              <w:right w:val="nil"/>
            </w:tcBorders>
            <w:shd w:val="clear" w:color="auto" w:fill="auto"/>
            <w:noWrap/>
            <w:vAlign w:val="center"/>
          </w:tcPr>
          <w:p w14:paraId="18565E61"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Total (201)</w:t>
            </w:r>
          </w:p>
        </w:tc>
        <w:tc>
          <w:tcPr>
            <w:tcW w:w="1573" w:type="dxa"/>
            <w:vMerge w:val="restart"/>
            <w:tcBorders>
              <w:top w:val="single" w:sz="4" w:space="0" w:color="auto"/>
              <w:left w:val="nil"/>
              <w:bottom w:val="nil"/>
              <w:right w:val="nil"/>
            </w:tcBorders>
            <w:shd w:val="clear" w:color="auto" w:fill="auto"/>
            <w:noWrap/>
            <w:vAlign w:val="center"/>
          </w:tcPr>
          <w:p w14:paraId="446F6C74" w14:textId="77777777" w:rsidR="00DE1F0C" w:rsidRPr="00EE249E" w:rsidRDefault="00DE1F0C" w:rsidP="00713770">
            <w:pPr>
              <w:jc w:val="center"/>
              <w:rPr>
                <w:rFonts w:ascii="Arial" w:eastAsia="Times New Roman" w:hAnsi="Arial" w:cs="Arial"/>
                <w:snapToGrid w:val="0"/>
                <w:sz w:val="12"/>
                <w:szCs w:val="12"/>
                <w:lang w:eastAsia="de-DE" w:bidi="en-US"/>
              </w:rPr>
            </w:pPr>
            <w:bookmarkStart w:id="1" w:name="OLE_LINK9"/>
            <w:r w:rsidRPr="00EE249E">
              <w:rPr>
                <w:rFonts w:ascii="Arial" w:eastAsia="Times New Roman" w:hAnsi="Arial" w:cs="Arial"/>
                <w:snapToGrid w:val="0"/>
                <w:sz w:val="12"/>
                <w:szCs w:val="12"/>
                <w:lang w:eastAsia="de-DE" w:bidi="en-US"/>
              </w:rPr>
              <w:t>1.20 (1.02-1.36)</w:t>
            </w:r>
            <w:bookmarkEnd w:id="1"/>
          </w:p>
        </w:tc>
        <w:tc>
          <w:tcPr>
            <w:tcW w:w="1075" w:type="dxa"/>
            <w:vMerge w:val="restart"/>
            <w:tcBorders>
              <w:top w:val="single" w:sz="4" w:space="0" w:color="auto"/>
              <w:left w:val="nil"/>
              <w:bottom w:val="nil"/>
              <w:right w:val="nil"/>
            </w:tcBorders>
            <w:shd w:val="clear" w:color="auto" w:fill="auto"/>
            <w:noWrap/>
            <w:vAlign w:val="center"/>
          </w:tcPr>
          <w:p w14:paraId="01A08758"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0.71-1.71</w:t>
            </w:r>
          </w:p>
        </w:tc>
        <w:tc>
          <w:tcPr>
            <w:tcW w:w="1075" w:type="dxa"/>
            <w:vMerge w:val="restart"/>
            <w:tcBorders>
              <w:top w:val="single" w:sz="4" w:space="0" w:color="auto"/>
              <w:left w:val="nil"/>
              <w:bottom w:val="nil"/>
              <w:right w:val="nil"/>
            </w:tcBorders>
            <w:shd w:val="clear" w:color="auto" w:fill="auto"/>
            <w:noWrap/>
            <w:vAlign w:val="center"/>
          </w:tcPr>
          <w:p w14:paraId="0674EF59"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0.19-2.72</w:t>
            </w:r>
          </w:p>
        </w:tc>
        <w:tc>
          <w:tcPr>
            <w:tcW w:w="1573" w:type="dxa"/>
            <w:vMerge w:val="restart"/>
            <w:tcBorders>
              <w:top w:val="single" w:sz="4" w:space="0" w:color="auto"/>
              <w:left w:val="nil"/>
              <w:bottom w:val="nil"/>
              <w:right w:val="nil"/>
            </w:tcBorders>
            <w:shd w:val="clear" w:color="auto" w:fill="auto"/>
            <w:noWrap/>
            <w:vAlign w:val="center"/>
          </w:tcPr>
          <w:p w14:paraId="4F0EDB89"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1.29 (1.17-1.41)</w:t>
            </w:r>
          </w:p>
        </w:tc>
        <w:tc>
          <w:tcPr>
            <w:tcW w:w="1192" w:type="dxa"/>
            <w:vMerge w:val="restart"/>
            <w:tcBorders>
              <w:top w:val="single" w:sz="4" w:space="0" w:color="auto"/>
              <w:left w:val="nil"/>
              <w:bottom w:val="nil"/>
              <w:right w:val="single" w:sz="4" w:space="0" w:color="auto"/>
            </w:tcBorders>
            <w:shd w:val="clear" w:color="auto" w:fill="auto"/>
            <w:noWrap/>
            <w:vAlign w:val="center"/>
          </w:tcPr>
          <w:p w14:paraId="0808F093"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0.86</w:t>
            </w:r>
          </w:p>
        </w:tc>
        <w:tc>
          <w:tcPr>
            <w:tcW w:w="1525" w:type="dxa"/>
            <w:vMerge w:val="restart"/>
            <w:tcBorders>
              <w:top w:val="single" w:sz="4" w:space="0" w:color="auto"/>
              <w:left w:val="single" w:sz="4" w:space="0" w:color="auto"/>
              <w:bottom w:val="nil"/>
              <w:right w:val="nil"/>
            </w:tcBorders>
            <w:vAlign w:val="center"/>
          </w:tcPr>
          <w:p w14:paraId="5A01F272"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-0.022</w:t>
            </w:r>
          </w:p>
          <w:p w14:paraId="17BEDE5A"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(p= 0.77)</w:t>
            </w:r>
          </w:p>
        </w:tc>
        <w:tc>
          <w:tcPr>
            <w:tcW w:w="1181" w:type="dxa"/>
            <w:tcBorders>
              <w:top w:val="single" w:sz="4" w:space="0" w:color="auto"/>
              <w:left w:val="nil"/>
              <w:bottom w:val="nil"/>
              <w:right w:val="nil"/>
            </w:tcBorders>
            <w:vAlign w:val="center"/>
          </w:tcPr>
          <w:p w14:paraId="1064DB7F"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1.29</w:t>
            </w:r>
          </w:p>
          <w:p w14:paraId="08453E7A"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(1.11-1.49)</w:t>
            </w:r>
          </w:p>
        </w:tc>
        <w:tc>
          <w:tcPr>
            <w:tcW w:w="1201" w:type="dxa"/>
            <w:gridSpan w:val="2"/>
            <w:tcBorders>
              <w:top w:val="single" w:sz="4" w:space="0" w:color="auto"/>
              <w:left w:val="nil"/>
              <w:bottom w:val="nil"/>
              <w:right w:val="nil"/>
            </w:tcBorders>
            <w:vAlign w:val="center"/>
          </w:tcPr>
          <w:p w14:paraId="637A8FA8"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1.02</w:t>
            </w:r>
          </w:p>
          <w:p w14:paraId="6FE608DA"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(0.84-1.37)</w:t>
            </w:r>
          </w:p>
        </w:tc>
      </w:tr>
      <w:tr w:rsidR="00DE1F0C" w:rsidRPr="00EE249E" w14:paraId="01CD150A" w14:textId="77777777" w:rsidTr="00713770">
        <w:trPr>
          <w:trHeight w:val="55"/>
          <w:jc w:val="center"/>
        </w:trPr>
        <w:tc>
          <w:tcPr>
            <w:tcW w:w="1276" w:type="dxa"/>
            <w:vMerge/>
            <w:tcBorders>
              <w:top w:val="nil"/>
              <w:left w:val="nil"/>
              <w:bottom w:val="single" w:sz="4" w:space="0" w:color="auto"/>
              <w:right w:val="single" w:sz="4" w:space="0" w:color="auto"/>
            </w:tcBorders>
            <w:shd w:val="clear" w:color="auto" w:fill="auto"/>
            <w:vAlign w:val="center"/>
          </w:tcPr>
          <w:p w14:paraId="6A431A18"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333" w:type="dxa"/>
            <w:vMerge/>
            <w:tcBorders>
              <w:top w:val="nil"/>
              <w:left w:val="single" w:sz="4" w:space="0" w:color="auto"/>
              <w:bottom w:val="single" w:sz="4" w:space="0" w:color="auto"/>
              <w:right w:val="nil"/>
            </w:tcBorders>
            <w:shd w:val="clear" w:color="auto" w:fill="auto"/>
            <w:noWrap/>
            <w:vAlign w:val="center"/>
          </w:tcPr>
          <w:p w14:paraId="2B4CFD83"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573" w:type="dxa"/>
            <w:vMerge/>
            <w:tcBorders>
              <w:top w:val="nil"/>
              <w:left w:val="nil"/>
              <w:bottom w:val="single" w:sz="4" w:space="0" w:color="auto"/>
              <w:right w:val="nil"/>
            </w:tcBorders>
            <w:shd w:val="clear" w:color="auto" w:fill="auto"/>
            <w:noWrap/>
            <w:vAlign w:val="center"/>
          </w:tcPr>
          <w:p w14:paraId="43A6488E"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075" w:type="dxa"/>
            <w:vMerge/>
            <w:tcBorders>
              <w:top w:val="nil"/>
              <w:left w:val="nil"/>
              <w:bottom w:val="single" w:sz="4" w:space="0" w:color="auto"/>
              <w:right w:val="nil"/>
            </w:tcBorders>
            <w:shd w:val="clear" w:color="auto" w:fill="auto"/>
            <w:noWrap/>
            <w:vAlign w:val="center"/>
          </w:tcPr>
          <w:p w14:paraId="5D3A51BE"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075" w:type="dxa"/>
            <w:vMerge/>
            <w:tcBorders>
              <w:top w:val="nil"/>
              <w:left w:val="nil"/>
              <w:bottom w:val="single" w:sz="4" w:space="0" w:color="auto"/>
              <w:right w:val="nil"/>
            </w:tcBorders>
            <w:shd w:val="clear" w:color="auto" w:fill="auto"/>
            <w:noWrap/>
            <w:vAlign w:val="center"/>
          </w:tcPr>
          <w:p w14:paraId="215EBDEB"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573" w:type="dxa"/>
            <w:vMerge/>
            <w:tcBorders>
              <w:top w:val="nil"/>
              <w:left w:val="nil"/>
              <w:bottom w:val="single" w:sz="4" w:space="0" w:color="auto"/>
              <w:right w:val="nil"/>
            </w:tcBorders>
            <w:shd w:val="clear" w:color="auto" w:fill="auto"/>
            <w:noWrap/>
            <w:vAlign w:val="center"/>
          </w:tcPr>
          <w:p w14:paraId="4AA89652"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192" w:type="dxa"/>
            <w:vMerge/>
            <w:tcBorders>
              <w:top w:val="nil"/>
              <w:left w:val="nil"/>
              <w:bottom w:val="single" w:sz="4" w:space="0" w:color="auto"/>
              <w:right w:val="single" w:sz="4" w:space="0" w:color="auto"/>
            </w:tcBorders>
            <w:shd w:val="clear" w:color="auto" w:fill="auto"/>
            <w:noWrap/>
            <w:vAlign w:val="center"/>
          </w:tcPr>
          <w:p w14:paraId="409B993D"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525" w:type="dxa"/>
            <w:vMerge/>
            <w:tcBorders>
              <w:top w:val="nil"/>
              <w:left w:val="single" w:sz="4" w:space="0" w:color="auto"/>
              <w:bottom w:val="nil"/>
              <w:right w:val="nil"/>
            </w:tcBorders>
            <w:vAlign w:val="center"/>
          </w:tcPr>
          <w:p w14:paraId="2C527DA5"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nil"/>
              <w:left w:val="nil"/>
              <w:bottom w:val="single" w:sz="4" w:space="0" w:color="auto"/>
              <w:right w:val="nil"/>
            </w:tcBorders>
            <w:vAlign w:val="center"/>
          </w:tcPr>
          <w:p w14:paraId="73AAFD87"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p= 0.091</w:t>
            </w:r>
          </w:p>
        </w:tc>
      </w:tr>
      <w:tr w:rsidR="00DE1F0C" w:rsidRPr="00EE249E" w14:paraId="71E7BE76" w14:textId="77777777" w:rsidTr="00713770">
        <w:trPr>
          <w:trHeight w:val="43"/>
          <w:jc w:val="center"/>
        </w:trPr>
        <w:tc>
          <w:tcPr>
            <w:tcW w:w="1276" w:type="dxa"/>
            <w:vMerge w:val="restart"/>
            <w:tcBorders>
              <w:top w:val="single" w:sz="4" w:space="0" w:color="auto"/>
              <w:left w:val="nil"/>
              <w:bottom w:val="nil"/>
              <w:right w:val="single" w:sz="4" w:space="0" w:color="auto"/>
            </w:tcBorders>
            <w:shd w:val="clear" w:color="auto" w:fill="auto"/>
            <w:vAlign w:val="center"/>
          </w:tcPr>
          <w:p w14:paraId="33ACD0D0"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Total FHR-1</w:t>
            </w:r>
          </w:p>
          <w:p w14:paraId="07D38D8A"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(calculated)</w:t>
            </w:r>
          </w:p>
        </w:tc>
        <w:tc>
          <w:tcPr>
            <w:tcW w:w="1333" w:type="dxa"/>
            <w:tcBorders>
              <w:top w:val="single" w:sz="4" w:space="0" w:color="auto"/>
              <w:left w:val="single" w:sz="4" w:space="0" w:color="auto"/>
              <w:bottom w:val="nil"/>
              <w:right w:val="nil"/>
            </w:tcBorders>
            <w:shd w:val="clear" w:color="auto" w:fill="auto"/>
            <w:noWrap/>
            <w:vAlign w:val="center"/>
          </w:tcPr>
          <w:p w14:paraId="59E9A6AC"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 (9)</w:t>
            </w:r>
          </w:p>
        </w:tc>
        <w:tc>
          <w:tcPr>
            <w:tcW w:w="6488" w:type="dxa"/>
            <w:gridSpan w:val="5"/>
            <w:tcBorders>
              <w:top w:val="single" w:sz="4" w:space="0" w:color="auto"/>
              <w:left w:val="nil"/>
              <w:bottom w:val="nil"/>
              <w:right w:val="single" w:sz="4" w:space="0" w:color="auto"/>
            </w:tcBorders>
            <w:shd w:val="clear" w:color="auto" w:fill="auto"/>
            <w:noWrap/>
            <w:vAlign w:val="center"/>
          </w:tcPr>
          <w:p w14:paraId="73ABEF85"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&lt;LOD= 0.70 µg/mL</w:t>
            </w:r>
          </w:p>
        </w:tc>
        <w:tc>
          <w:tcPr>
            <w:tcW w:w="1525" w:type="dxa"/>
            <w:tcBorders>
              <w:top w:val="single" w:sz="4" w:space="0" w:color="auto"/>
              <w:left w:val="single" w:sz="4" w:space="0" w:color="auto"/>
              <w:bottom w:val="nil"/>
              <w:right w:val="nil"/>
            </w:tcBorders>
            <w:vAlign w:val="center"/>
          </w:tcPr>
          <w:p w14:paraId="2610B5C2"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single" w:sz="4" w:space="0" w:color="auto"/>
              <w:left w:val="nil"/>
              <w:bottom w:val="nil"/>
              <w:right w:val="nil"/>
            </w:tcBorders>
            <w:vAlign w:val="center"/>
          </w:tcPr>
          <w:p w14:paraId="6A19914A" w14:textId="77777777" w:rsidR="00DE1F0C" w:rsidRPr="00EE249E" w:rsidRDefault="00DE1F0C" w:rsidP="00713770">
            <w:pPr>
              <w:jc w:val="center"/>
              <w:rPr>
                <w:rFonts w:ascii="Arial" w:eastAsia="Times New Roman" w:hAnsi="Arial" w:cs="Arial"/>
                <w:snapToGrid w:val="0"/>
                <w:sz w:val="12"/>
                <w:szCs w:val="12"/>
                <w:lang w:eastAsia="de-DE" w:bidi="en-US"/>
              </w:rPr>
            </w:pPr>
          </w:p>
        </w:tc>
      </w:tr>
      <w:tr w:rsidR="00DE1F0C" w:rsidRPr="00EE249E" w14:paraId="57356C32" w14:textId="77777777" w:rsidTr="00713770">
        <w:trPr>
          <w:trHeight w:val="43"/>
          <w:jc w:val="center"/>
        </w:trPr>
        <w:tc>
          <w:tcPr>
            <w:tcW w:w="1276" w:type="dxa"/>
            <w:vMerge/>
            <w:tcBorders>
              <w:top w:val="nil"/>
              <w:left w:val="nil"/>
              <w:bottom w:val="nil"/>
              <w:right w:val="single" w:sz="4" w:space="0" w:color="auto"/>
            </w:tcBorders>
            <w:shd w:val="clear" w:color="auto" w:fill="auto"/>
            <w:vAlign w:val="center"/>
          </w:tcPr>
          <w:p w14:paraId="6282BB5D"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333" w:type="dxa"/>
            <w:tcBorders>
              <w:top w:val="nil"/>
              <w:left w:val="single" w:sz="4" w:space="0" w:color="auto"/>
              <w:bottom w:val="nil"/>
              <w:right w:val="nil"/>
            </w:tcBorders>
            <w:shd w:val="clear" w:color="auto" w:fill="auto"/>
            <w:noWrap/>
            <w:vAlign w:val="center"/>
          </w:tcPr>
          <w:p w14:paraId="4C5ABA6C"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 (58)</w:t>
            </w:r>
          </w:p>
        </w:tc>
        <w:tc>
          <w:tcPr>
            <w:tcW w:w="1573" w:type="dxa"/>
            <w:tcBorders>
              <w:top w:val="nil"/>
              <w:left w:val="nil"/>
              <w:bottom w:val="nil"/>
              <w:right w:val="nil"/>
            </w:tcBorders>
            <w:shd w:val="clear" w:color="auto" w:fill="auto"/>
            <w:noWrap/>
            <w:vAlign w:val="center"/>
          </w:tcPr>
          <w:p w14:paraId="4FAEA0B1"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8.89 (7.99-9.48)</w:t>
            </w:r>
          </w:p>
        </w:tc>
        <w:tc>
          <w:tcPr>
            <w:tcW w:w="1075" w:type="dxa"/>
            <w:tcBorders>
              <w:top w:val="nil"/>
              <w:left w:val="nil"/>
              <w:bottom w:val="nil"/>
              <w:right w:val="nil"/>
            </w:tcBorders>
            <w:shd w:val="clear" w:color="auto" w:fill="auto"/>
            <w:noWrap/>
            <w:vAlign w:val="center"/>
          </w:tcPr>
          <w:p w14:paraId="79578FDF"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7.15-10.15</w:t>
            </w:r>
          </w:p>
        </w:tc>
        <w:tc>
          <w:tcPr>
            <w:tcW w:w="1075" w:type="dxa"/>
            <w:tcBorders>
              <w:top w:val="nil"/>
              <w:left w:val="nil"/>
              <w:bottom w:val="nil"/>
              <w:right w:val="nil"/>
            </w:tcBorders>
            <w:shd w:val="clear" w:color="auto" w:fill="auto"/>
            <w:noWrap/>
            <w:vAlign w:val="center"/>
          </w:tcPr>
          <w:p w14:paraId="2F375B98"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5.78-12.02</w:t>
            </w:r>
          </w:p>
        </w:tc>
        <w:tc>
          <w:tcPr>
            <w:tcW w:w="1573" w:type="dxa"/>
            <w:tcBorders>
              <w:top w:val="nil"/>
              <w:left w:val="nil"/>
              <w:bottom w:val="nil"/>
              <w:right w:val="nil"/>
            </w:tcBorders>
            <w:shd w:val="clear" w:color="auto" w:fill="auto"/>
            <w:noWrap/>
            <w:vAlign w:val="center"/>
          </w:tcPr>
          <w:p w14:paraId="79C19A2D"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8.76 (8.28-9.24)</w:t>
            </w:r>
          </w:p>
        </w:tc>
        <w:tc>
          <w:tcPr>
            <w:tcW w:w="1192" w:type="dxa"/>
            <w:tcBorders>
              <w:top w:val="nil"/>
              <w:left w:val="nil"/>
              <w:bottom w:val="nil"/>
              <w:right w:val="single" w:sz="4" w:space="0" w:color="auto"/>
            </w:tcBorders>
            <w:shd w:val="clear" w:color="auto" w:fill="auto"/>
            <w:noWrap/>
            <w:vAlign w:val="center"/>
          </w:tcPr>
          <w:p w14:paraId="1344A6E3"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1.84</w:t>
            </w:r>
          </w:p>
        </w:tc>
        <w:tc>
          <w:tcPr>
            <w:tcW w:w="1525" w:type="dxa"/>
            <w:tcBorders>
              <w:top w:val="nil"/>
              <w:left w:val="single" w:sz="4" w:space="0" w:color="auto"/>
              <w:bottom w:val="nil"/>
              <w:right w:val="nil"/>
            </w:tcBorders>
            <w:vAlign w:val="center"/>
          </w:tcPr>
          <w:p w14:paraId="4BC31394"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nil"/>
              <w:left w:val="nil"/>
              <w:bottom w:val="nil"/>
              <w:right w:val="nil"/>
            </w:tcBorders>
            <w:vAlign w:val="center"/>
          </w:tcPr>
          <w:p w14:paraId="15D2E8B0" w14:textId="77777777" w:rsidR="00DE1F0C" w:rsidRPr="00EE249E" w:rsidRDefault="00DE1F0C" w:rsidP="00713770">
            <w:pPr>
              <w:jc w:val="center"/>
              <w:rPr>
                <w:rFonts w:ascii="Arial" w:eastAsia="Times New Roman" w:hAnsi="Arial" w:cs="Arial"/>
                <w:snapToGrid w:val="0"/>
                <w:sz w:val="12"/>
                <w:szCs w:val="12"/>
                <w:lang w:eastAsia="de-DE" w:bidi="en-US"/>
              </w:rPr>
            </w:pPr>
          </w:p>
        </w:tc>
      </w:tr>
      <w:tr w:rsidR="00DE1F0C" w:rsidRPr="00EE249E" w14:paraId="698F8B98" w14:textId="77777777" w:rsidTr="00713770">
        <w:trPr>
          <w:trHeight w:val="43"/>
          <w:jc w:val="center"/>
        </w:trPr>
        <w:tc>
          <w:tcPr>
            <w:tcW w:w="1276" w:type="dxa"/>
            <w:vMerge/>
            <w:tcBorders>
              <w:top w:val="nil"/>
              <w:left w:val="nil"/>
              <w:bottom w:val="nil"/>
              <w:right w:val="single" w:sz="4" w:space="0" w:color="auto"/>
            </w:tcBorders>
            <w:shd w:val="clear" w:color="auto" w:fill="auto"/>
            <w:vAlign w:val="center"/>
          </w:tcPr>
          <w:p w14:paraId="3784A636"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333" w:type="dxa"/>
            <w:tcBorders>
              <w:top w:val="nil"/>
              <w:left w:val="single" w:sz="4" w:space="0" w:color="auto"/>
              <w:bottom w:val="nil"/>
              <w:right w:val="nil"/>
            </w:tcBorders>
            <w:shd w:val="clear" w:color="auto" w:fill="auto"/>
            <w:noWrap/>
            <w:vAlign w:val="center"/>
          </w:tcPr>
          <w:p w14:paraId="76E93C9B"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2 (133)</w:t>
            </w:r>
          </w:p>
        </w:tc>
        <w:tc>
          <w:tcPr>
            <w:tcW w:w="1573" w:type="dxa"/>
            <w:tcBorders>
              <w:top w:val="nil"/>
              <w:left w:val="nil"/>
              <w:bottom w:val="nil"/>
              <w:right w:val="nil"/>
            </w:tcBorders>
            <w:shd w:val="clear" w:color="auto" w:fill="auto"/>
            <w:noWrap/>
            <w:vAlign w:val="center"/>
          </w:tcPr>
          <w:p w14:paraId="6CC70216"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17.21 (16.79-17.66)</w:t>
            </w:r>
          </w:p>
        </w:tc>
        <w:tc>
          <w:tcPr>
            <w:tcW w:w="1075" w:type="dxa"/>
            <w:tcBorders>
              <w:top w:val="nil"/>
              <w:left w:val="nil"/>
              <w:bottom w:val="nil"/>
              <w:right w:val="nil"/>
            </w:tcBorders>
            <w:shd w:val="clear" w:color="auto" w:fill="auto"/>
            <w:noWrap/>
            <w:vAlign w:val="center"/>
          </w:tcPr>
          <w:p w14:paraId="29A808E5"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14.55-19.47</w:t>
            </w:r>
          </w:p>
        </w:tc>
        <w:tc>
          <w:tcPr>
            <w:tcW w:w="1075" w:type="dxa"/>
            <w:tcBorders>
              <w:top w:val="nil"/>
              <w:left w:val="nil"/>
              <w:bottom w:val="nil"/>
              <w:right w:val="nil"/>
            </w:tcBorders>
            <w:shd w:val="clear" w:color="auto" w:fill="auto"/>
            <w:noWrap/>
            <w:vAlign w:val="center"/>
          </w:tcPr>
          <w:p w14:paraId="2E69F942"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11.98-22.89</w:t>
            </w:r>
          </w:p>
        </w:tc>
        <w:tc>
          <w:tcPr>
            <w:tcW w:w="1573" w:type="dxa"/>
            <w:tcBorders>
              <w:top w:val="nil"/>
              <w:left w:val="nil"/>
              <w:bottom w:val="nil"/>
              <w:right w:val="nil"/>
            </w:tcBorders>
            <w:shd w:val="clear" w:color="auto" w:fill="auto"/>
            <w:noWrap/>
            <w:vAlign w:val="center"/>
          </w:tcPr>
          <w:p w14:paraId="328C1811"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17.16 (16.57-17.75)</w:t>
            </w:r>
          </w:p>
        </w:tc>
        <w:tc>
          <w:tcPr>
            <w:tcW w:w="1192" w:type="dxa"/>
            <w:tcBorders>
              <w:top w:val="nil"/>
              <w:left w:val="nil"/>
              <w:bottom w:val="nil"/>
              <w:right w:val="single" w:sz="4" w:space="0" w:color="auto"/>
            </w:tcBorders>
            <w:shd w:val="clear" w:color="auto" w:fill="auto"/>
            <w:noWrap/>
            <w:vAlign w:val="center"/>
          </w:tcPr>
          <w:p w14:paraId="43841BC4"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3.45</w:t>
            </w:r>
          </w:p>
        </w:tc>
        <w:tc>
          <w:tcPr>
            <w:tcW w:w="1525" w:type="dxa"/>
            <w:tcBorders>
              <w:top w:val="nil"/>
              <w:left w:val="single" w:sz="4" w:space="0" w:color="auto"/>
              <w:bottom w:val="nil"/>
              <w:right w:val="nil"/>
            </w:tcBorders>
            <w:vAlign w:val="center"/>
          </w:tcPr>
          <w:p w14:paraId="3E2A1501"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nil"/>
              <w:left w:val="nil"/>
              <w:bottom w:val="nil"/>
              <w:right w:val="nil"/>
            </w:tcBorders>
            <w:vAlign w:val="center"/>
          </w:tcPr>
          <w:p w14:paraId="6F74A94B" w14:textId="77777777" w:rsidR="00DE1F0C" w:rsidRPr="00EE249E" w:rsidRDefault="00DE1F0C" w:rsidP="00713770">
            <w:pPr>
              <w:jc w:val="center"/>
              <w:rPr>
                <w:rFonts w:ascii="Arial" w:eastAsia="Times New Roman" w:hAnsi="Arial" w:cs="Arial"/>
                <w:snapToGrid w:val="0"/>
                <w:sz w:val="12"/>
                <w:szCs w:val="12"/>
                <w:lang w:eastAsia="de-DE" w:bidi="en-US"/>
              </w:rPr>
            </w:pPr>
          </w:p>
        </w:tc>
      </w:tr>
      <w:tr w:rsidR="00DE1F0C" w:rsidRPr="00EE249E" w14:paraId="14DD665F" w14:textId="77777777" w:rsidTr="00713770">
        <w:trPr>
          <w:trHeight w:val="70"/>
          <w:jc w:val="center"/>
        </w:trPr>
        <w:tc>
          <w:tcPr>
            <w:tcW w:w="1276" w:type="dxa"/>
            <w:vMerge/>
            <w:tcBorders>
              <w:top w:val="nil"/>
              <w:left w:val="nil"/>
              <w:bottom w:val="nil"/>
              <w:right w:val="single" w:sz="4" w:space="0" w:color="auto"/>
            </w:tcBorders>
            <w:shd w:val="clear" w:color="auto" w:fill="auto"/>
            <w:vAlign w:val="center"/>
          </w:tcPr>
          <w:p w14:paraId="42EB2EE5"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333" w:type="dxa"/>
            <w:tcBorders>
              <w:top w:val="nil"/>
              <w:left w:val="single" w:sz="4" w:space="0" w:color="auto"/>
              <w:bottom w:val="single" w:sz="4" w:space="0" w:color="auto"/>
              <w:right w:val="nil"/>
            </w:tcBorders>
            <w:shd w:val="clear" w:color="auto" w:fill="auto"/>
            <w:noWrap/>
            <w:vAlign w:val="center"/>
          </w:tcPr>
          <w:p w14:paraId="5372D784"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3 (1)</w:t>
            </w:r>
          </w:p>
        </w:tc>
        <w:tc>
          <w:tcPr>
            <w:tcW w:w="6488" w:type="dxa"/>
            <w:gridSpan w:val="5"/>
            <w:tcBorders>
              <w:top w:val="nil"/>
              <w:left w:val="nil"/>
              <w:bottom w:val="single" w:sz="4" w:space="0" w:color="auto"/>
              <w:right w:val="single" w:sz="4" w:space="0" w:color="auto"/>
            </w:tcBorders>
            <w:shd w:val="clear" w:color="auto" w:fill="auto"/>
            <w:noWrap/>
            <w:vAlign w:val="center"/>
          </w:tcPr>
          <w:p w14:paraId="77C2B200" w14:textId="77777777" w:rsidR="00DE1F0C" w:rsidRPr="00EE249E" w:rsidRDefault="00DE1F0C" w:rsidP="00713770">
            <w:pPr>
              <w:jc w:val="center"/>
              <w:rPr>
                <w:rFonts w:ascii="Arial" w:eastAsia="Times New Roman" w:hAnsi="Arial" w:cs="Arial"/>
                <w:snapToGrid w:val="0"/>
                <w:sz w:val="12"/>
                <w:szCs w:val="12"/>
                <w:lang w:eastAsia="de-DE" w:bidi="en-US"/>
              </w:rPr>
            </w:pPr>
            <w:proofErr w:type="spellStart"/>
            <w:r w:rsidRPr="00EE249E">
              <w:rPr>
                <w:rFonts w:ascii="Arial" w:eastAsia="Times New Roman" w:hAnsi="Arial" w:cs="Arial"/>
                <w:snapToGrid w:val="0"/>
                <w:sz w:val="12"/>
                <w:szCs w:val="12"/>
                <w:lang w:eastAsia="de-DE" w:bidi="en-US"/>
              </w:rPr>
              <w:t>n.a.</w:t>
            </w:r>
            <w:proofErr w:type="spellEnd"/>
            <w:r w:rsidRPr="00EE249E">
              <w:rPr>
                <w:rFonts w:ascii="Arial" w:eastAsia="Times New Roman" w:hAnsi="Arial" w:cs="Arial"/>
                <w:snapToGrid w:val="0"/>
                <w:sz w:val="12"/>
                <w:szCs w:val="12"/>
                <w:lang w:eastAsia="de-DE" w:bidi="en-US"/>
              </w:rPr>
              <w:t xml:space="preserve"> (21.50 µg/mL)</w:t>
            </w:r>
          </w:p>
        </w:tc>
        <w:tc>
          <w:tcPr>
            <w:tcW w:w="1525" w:type="dxa"/>
            <w:tcBorders>
              <w:top w:val="nil"/>
              <w:left w:val="single" w:sz="4" w:space="0" w:color="auto"/>
              <w:bottom w:val="nil"/>
              <w:right w:val="nil"/>
            </w:tcBorders>
            <w:vAlign w:val="center"/>
          </w:tcPr>
          <w:p w14:paraId="03339C0B"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nil"/>
              <w:left w:val="nil"/>
              <w:bottom w:val="single" w:sz="4" w:space="0" w:color="auto"/>
              <w:right w:val="nil"/>
            </w:tcBorders>
            <w:vAlign w:val="center"/>
          </w:tcPr>
          <w:p w14:paraId="6DF61701" w14:textId="77777777" w:rsidR="00DE1F0C" w:rsidRPr="00EE249E" w:rsidRDefault="00DE1F0C" w:rsidP="00713770">
            <w:pPr>
              <w:jc w:val="center"/>
              <w:rPr>
                <w:rFonts w:ascii="Arial" w:eastAsia="Times New Roman" w:hAnsi="Arial" w:cs="Arial"/>
                <w:snapToGrid w:val="0"/>
                <w:sz w:val="12"/>
                <w:szCs w:val="12"/>
                <w:lang w:eastAsia="de-DE" w:bidi="en-US"/>
              </w:rPr>
            </w:pPr>
          </w:p>
        </w:tc>
      </w:tr>
      <w:tr w:rsidR="00DE1F0C" w:rsidRPr="00EE249E" w14:paraId="3977C293" w14:textId="77777777" w:rsidTr="00713770">
        <w:trPr>
          <w:trHeight w:val="295"/>
          <w:jc w:val="center"/>
        </w:trPr>
        <w:tc>
          <w:tcPr>
            <w:tcW w:w="1276" w:type="dxa"/>
            <w:vMerge/>
            <w:tcBorders>
              <w:top w:val="nil"/>
              <w:left w:val="nil"/>
              <w:bottom w:val="nil"/>
              <w:right w:val="single" w:sz="4" w:space="0" w:color="auto"/>
            </w:tcBorders>
            <w:shd w:val="clear" w:color="auto" w:fill="auto"/>
            <w:vAlign w:val="center"/>
          </w:tcPr>
          <w:p w14:paraId="0CAD0F39"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333" w:type="dxa"/>
            <w:vMerge w:val="restart"/>
            <w:tcBorders>
              <w:top w:val="single" w:sz="4" w:space="0" w:color="auto"/>
              <w:left w:val="single" w:sz="4" w:space="0" w:color="auto"/>
              <w:bottom w:val="nil"/>
              <w:right w:val="nil"/>
            </w:tcBorders>
            <w:shd w:val="clear" w:color="auto" w:fill="auto"/>
            <w:noWrap/>
            <w:vAlign w:val="center"/>
          </w:tcPr>
          <w:p w14:paraId="662DC6D6"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Total (201)</w:t>
            </w:r>
          </w:p>
        </w:tc>
        <w:tc>
          <w:tcPr>
            <w:tcW w:w="1573" w:type="dxa"/>
            <w:vMerge w:val="restart"/>
            <w:tcBorders>
              <w:top w:val="single" w:sz="4" w:space="0" w:color="auto"/>
              <w:left w:val="nil"/>
              <w:bottom w:val="nil"/>
              <w:right w:val="nil"/>
            </w:tcBorders>
            <w:shd w:val="clear" w:color="auto" w:fill="auto"/>
            <w:noWrap/>
            <w:vAlign w:val="center"/>
          </w:tcPr>
          <w:p w14:paraId="0531E460"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14.59 (13.63-15.79)</w:t>
            </w:r>
          </w:p>
        </w:tc>
        <w:tc>
          <w:tcPr>
            <w:tcW w:w="1075" w:type="dxa"/>
            <w:vMerge w:val="restart"/>
            <w:tcBorders>
              <w:top w:val="single" w:sz="4" w:space="0" w:color="auto"/>
              <w:left w:val="nil"/>
              <w:bottom w:val="nil"/>
              <w:right w:val="nil"/>
            </w:tcBorders>
            <w:shd w:val="clear" w:color="auto" w:fill="auto"/>
            <w:noWrap/>
            <w:vAlign w:val="center"/>
          </w:tcPr>
          <w:p w14:paraId="6612E82D"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9.65-17.95</w:t>
            </w:r>
          </w:p>
        </w:tc>
        <w:tc>
          <w:tcPr>
            <w:tcW w:w="1075" w:type="dxa"/>
            <w:vMerge w:val="restart"/>
            <w:tcBorders>
              <w:top w:val="single" w:sz="4" w:space="0" w:color="auto"/>
              <w:left w:val="nil"/>
              <w:bottom w:val="nil"/>
              <w:right w:val="nil"/>
            </w:tcBorders>
            <w:shd w:val="clear" w:color="auto" w:fill="auto"/>
            <w:noWrap/>
            <w:vAlign w:val="center"/>
          </w:tcPr>
          <w:p w14:paraId="7E61F41D"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5.28-22.30</w:t>
            </w:r>
          </w:p>
        </w:tc>
        <w:tc>
          <w:tcPr>
            <w:tcW w:w="1573" w:type="dxa"/>
            <w:vMerge w:val="restart"/>
            <w:tcBorders>
              <w:top w:val="single" w:sz="4" w:space="0" w:color="auto"/>
              <w:left w:val="nil"/>
              <w:bottom w:val="nil"/>
              <w:right w:val="nil"/>
            </w:tcBorders>
            <w:shd w:val="clear" w:color="auto" w:fill="auto"/>
            <w:noWrap/>
            <w:vAlign w:val="center"/>
          </w:tcPr>
          <w:p w14:paraId="0EDF00B6"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14.02 (13.24-14.80)</w:t>
            </w:r>
          </w:p>
        </w:tc>
        <w:tc>
          <w:tcPr>
            <w:tcW w:w="1192" w:type="dxa"/>
            <w:vMerge w:val="restart"/>
            <w:tcBorders>
              <w:top w:val="single" w:sz="4" w:space="0" w:color="auto"/>
              <w:left w:val="nil"/>
              <w:bottom w:val="nil"/>
              <w:right w:val="single" w:sz="4" w:space="0" w:color="auto"/>
            </w:tcBorders>
            <w:shd w:val="clear" w:color="auto" w:fill="auto"/>
            <w:noWrap/>
            <w:vAlign w:val="center"/>
          </w:tcPr>
          <w:p w14:paraId="1C2B097B"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5.63</w:t>
            </w:r>
          </w:p>
        </w:tc>
        <w:tc>
          <w:tcPr>
            <w:tcW w:w="1525" w:type="dxa"/>
            <w:vMerge w:val="restart"/>
            <w:tcBorders>
              <w:top w:val="single" w:sz="4" w:space="0" w:color="auto"/>
              <w:left w:val="single" w:sz="4" w:space="0" w:color="auto"/>
              <w:bottom w:val="nil"/>
              <w:right w:val="nil"/>
            </w:tcBorders>
            <w:vAlign w:val="center"/>
          </w:tcPr>
          <w:p w14:paraId="3A177279"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0.21</w:t>
            </w:r>
          </w:p>
          <w:p w14:paraId="308F6E0A"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(p= 0.0039)</w:t>
            </w:r>
          </w:p>
        </w:tc>
        <w:tc>
          <w:tcPr>
            <w:tcW w:w="1181" w:type="dxa"/>
            <w:tcBorders>
              <w:top w:val="single" w:sz="4" w:space="0" w:color="auto"/>
              <w:left w:val="nil"/>
              <w:bottom w:val="nil"/>
              <w:right w:val="nil"/>
            </w:tcBorders>
            <w:vAlign w:val="center"/>
          </w:tcPr>
          <w:p w14:paraId="097D468F"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15.07</w:t>
            </w:r>
          </w:p>
          <w:p w14:paraId="26089605"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(13.63-16.83)</w:t>
            </w:r>
          </w:p>
        </w:tc>
        <w:tc>
          <w:tcPr>
            <w:tcW w:w="1201" w:type="dxa"/>
            <w:gridSpan w:val="2"/>
            <w:tcBorders>
              <w:top w:val="single" w:sz="4" w:space="0" w:color="auto"/>
              <w:left w:val="nil"/>
              <w:bottom w:val="nil"/>
              <w:right w:val="nil"/>
            </w:tcBorders>
            <w:vAlign w:val="center"/>
          </w:tcPr>
          <w:p w14:paraId="32700EE4"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15.22</w:t>
            </w:r>
          </w:p>
          <w:p w14:paraId="0FF808D6"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(13.45-16.87)</w:t>
            </w:r>
          </w:p>
        </w:tc>
      </w:tr>
      <w:tr w:rsidR="00DE1F0C" w:rsidRPr="00EE249E" w14:paraId="4C0091FD" w14:textId="77777777" w:rsidTr="00713770">
        <w:trPr>
          <w:trHeight w:val="55"/>
          <w:jc w:val="center"/>
        </w:trPr>
        <w:tc>
          <w:tcPr>
            <w:tcW w:w="1276" w:type="dxa"/>
            <w:vMerge/>
            <w:tcBorders>
              <w:top w:val="nil"/>
              <w:left w:val="nil"/>
              <w:bottom w:val="single" w:sz="4" w:space="0" w:color="auto"/>
              <w:right w:val="single" w:sz="4" w:space="0" w:color="auto"/>
            </w:tcBorders>
            <w:shd w:val="clear" w:color="auto" w:fill="auto"/>
            <w:vAlign w:val="center"/>
          </w:tcPr>
          <w:p w14:paraId="42704A28" w14:textId="77777777" w:rsidR="00DE1F0C" w:rsidRPr="00EE249E" w:rsidRDefault="00DE1F0C" w:rsidP="00713770">
            <w:pPr>
              <w:jc w:val="center"/>
              <w:rPr>
                <w:rFonts w:ascii="Arial" w:eastAsia="Times New Roman" w:hAnsi="Arial" w:cs="Arial"/>
                <w:snapToGrid w:val="0"/>
                <w:sz w:val="14"/>
                <w:szCs w:val="14"/>
                <w:lang w:eastAsia="de-DE" w:bidi="en-US"/>
              </w:rPr>
            </w:pPr>
          </w:p>
        </w:tc>
        <w:tc>
          <w:tcPr>
            <w:tcW w:w="1333" w:type="dxa"/>
            <w:vMerge/>
            <w:tcBorders>
              <w:top w:val="nil"/>
              <w:left w:val="single" w:sz="4" w:space="0" w:color="auto"/>
              <w:bottom w:val="single" w:sz="4" w:space="0" w:color="auto"/>
              <w:right w:val="nil"/>
            </w:tcBorders>
            <w:shd w:val="clear" w:color="auto" w:fill="auto"/>
            <w:noWrap/>
            <w:vAlign w:val="center"/>
          </w:tcPr>
          <w:p w14:paraId="68D9C8AE"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573" w:type="dxa"/>
            <w:vMerge/>
            <w:tcBorders>
              <w:top w:val="nil"/>
              <w:left w:val="nil"/>
              <w:bottom w:val="single" w:sz="4" w:space="0" w:color="auto"/>
              <w:right w:val="nil"/>
            </w:tcBorders>
            <w:shd w:val="clear" w:color="auto" w:fill="auto"/>
            <w:noWrap/>
            <w:vAlign w:val="center"/>
          </w:tcPr>
          <w:p w14:paraId="05F4A77C"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075" w:type="dxa"/>
            <w:vMerge/>
            <w:tcBorders>
              <w:top w:val="nil"/>
              <w:left w:val="nil"/>
              <w:bottom w:val="single" w:sz="4" w:space="0" w:color="auto"/>
              <w:right w:val="nil"/>
            </w:tcBorders>
            <w:shd w:val="clear" w:color="auto" w:fill="auto"/>
            <w:noWrap/>
            <w:vAlign w:val="center"/>
          </w:tcPr>
          <w:p w14:paraId="15CA0595"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075" w:type="dxa"/>
            <w:vMerge/>
            <w:tcBorders>
              <w:top w:val="nil"/>
              <w:left w:val="nil"/>
              <w:bottom w:val="single" w:sz="4" w:space="0" w:color="auto"/>
              <w:right w:val="nil"/>
            </w:tcBorders>
            <w:shd w:val="clear" w:color="auto" w:fill="auto"/>
            <w:noWrap/>
            <w:vAlign w:val="center"/>
          </w:tcPr>
          <w:p w14:paraId="0244EE30"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573" w:type="dxa"/>
            <w:vMerge/>
            <w:tcBorders>
              <w:top w:val="nil"/>
              <w:left w:val="nil"/>
              <w:bottom w:val="single" w:sz="4" w:space="0" w:color="auto"/>
              <w:right w:val="nil"/>
            </w:tcBorders>
            <w:shd w:val="clear" w:color="auto" w:fill="auto"/>
            <w:noWrap/>
            <w:vAlign w:val="center"/>
          </w:tcPr>
          <w:p w14:paraId="29725EBC"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192" w:type="dxa"/>
            <w:vMerge/>
            <w:tcBorders>
              <w:top w:val="nil"/>
              <w:left w:val="nil"/>
              <w:bottom w:val="single" w:sz="4" w:space="0" w:color="auto"/>
              <w:right w:val="single" w:sz="4" w:space="0" w:color="auto"/>
            </w:tcBorders>
            <w:shd w:val="clear" w:color="auto" w:fill="auto"/>
            <w:noWrap/>
            <w:vAlign w:val="center"/>
          </w:tcPr>
          <w:p w14:paraId="23A92E17"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525" w:type="dxa"/>
            <w:vMerge/>
            <w:tcBorders>
              <w:top w:val="nil"/>
              <w:left w:val="single" w:sz="4" w:space="0" w:color="auto"/>
              <w:bottom w:val="nil"/>
              <w:right w:val="nil"/>
            </w:tcBorders>
            <w:vAlign w:val="center"/>
          </w:tcPr>
          <w:p w14:paraId="2C59E007"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nil"/>
              <w:left w:val="nil"/>
              <w:bottom w:val="single" w:sz="4" w:space="0" w:color="auto"/>
              <w:right w:val="nil"/>
            </w:tcBorders>
            <w:vAlign w:val="center"/>
          </w:tcPr>
          <w:p w14:paraId="0EF444D0"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p= 0.57</w:t>
            </w:r>
          </w:p>
        </w:tc>
      </w:tr>
      <w:tr w:rsidR="00DE1F0C" w:rsidRPr="00EE249E" w14:paraId="221F3F6E" w14:textId="77777777" w:rsidTr="00713770">
        <w:trPr>
          <w:trHeight w:val="43"/>
          <w:jc w:val="center"/>
        </w:trPr>
        <w:tc>
          <w:tcPr>
            <w:tcW w:w="1276" w:type="dxa"/>
            <w:vMerge w:val="restart"/>
            <w:tcBorders>
              <w:top w:val="single" w:sz="4" w:space="0" w:color="auto"/>
              <w:left w:val="nil"/>
              <w:bottom w:val="nil"/>
              <w:right w:val="single" w:sz="4" w:space="0" w:color="auto"/>
            </w:tcBorders>
            <w:shd w:val="clear" w:color="auto" w:fill="auto"/>
            <w:vAlign w:val="center"/>
          </w:tcPr>
          <w:p w14:paraId="4CED7A1D"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Total FHR-2</w:t>
            </w:r>
          </w:p>
          <w:p w14:paraId="4D729741"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(calculated)</w:t>
            </w:r>
          </w:p>
        </w:tc>
        <w:tc>
          <w:tcPr>
            <w:tcW w:w="1333" w:type="dxa"/>
            <w:tcBorders>
              <w:top w:val="single" w:sz="4" w:space="0" w:color="auto"/>
              <w:left w:val="single" w:sz="4" w:space="0" w:color="auto"/>
              <w:bottom w:val="nil"/>
              <w:right w:val="nil"/>
            </w:tcBorders>
            <w:shd w:val="clear" w:color="auto" w:fill="auto"/>
            <w:noWrap/>
            <w:vAlign w:val="center"/>
          </w:tcPr>
          <w:p w14:paraId="402187F5"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 (9)</w:t>
            </w:r>
          </w:p>
        </w:tc>
        <w:tc>
          <w:tcPr>
            <w:tcW w:w="1573" w:type="dxa"/>
            <w:tcBorders>
              <w:top w:val="single" w:sz="4" w:space="0" w:color="auto"/>
              <w:left w:val="nil"/>
              <w:bottom w:val="nil"/>
              <w:right w:val="nil"/>
            </w:tcBorders>
            <w:shd w:val="clear" w:color="auto" w:fill="auto"/>
            <w:noWrap/>
            <w:vAlign w:val="center"/>
          </w:tcPr>
          <w:p w14:paraId="616998B2"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4.09 (2.76-4.56)</w:t>
            </w:r>
          </w:p>
        </w:tc>
        <w:tc>
          <w:tcPr>
            <w:tcW w:w="1075" w:type="dxa"/>
            <w:tcBorders>
              <w:top w:val="single" w:sz="4" w:space="0" w:color="auto"/>
              <w:left w:val="nil"/>
              <w:bottom w:val="nil"/>
              <w:right w:val="nil"/>
            </w:tcBorders>
            <w:shd w:val="clear" w:color="auto" w:fill="auto"/>
            <w:noWrap/>
            <w:vAlign w:val="center"/>
          </w:tcPr>
          <w:p w14:paraId="2B13C493"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3.20-4.49</w:t>
            </w:r>
          </w:p>
        </w:tc>
        <w:tc>
          <w:tcPr>
            <w:tcW w:w="1075" w:type="dxa"/>
            <w:tcBorders>
              <w:top w:val="single" w:sz="4" w:space="0" w:color="auto"/>
              <w:left w:val="nil"/>
              <w:bottom w:val="nil"/>
              <w:right w:val="nil"/>
            </w:tcBorders>
            <w:shd w:val="clear" w:color="auto" w:fill="auto"/>
            <w:noWrap/>
            <w:vAlign w:val="center"/>
          </w:tcPr>
          <w:p w14:paraId="30690210"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1.83-5.67</w:t>
            </w:r>
          </w:p>
        </w:tc>
        <w:tc>
          <w:tcPr>
            <w:tcW w:w="1573" w:type="dxa"/>
            <w:tcBorders>
              <w:top w:val="single" w:sz="4" w:space="0" w:color="auto"/>
              <w:left w:val="nil"/>
              <w:bottom w:val="nil"/>
              <w:right w:val="nil"/>
            </w:tcBorders>
            <w:shd w:val="clear" w:color="auto" w:fill="auto"/>
            <w:noWrap/>
            <w:vAlign w:val="center"/>
          </w:tcPr>
          <w:p w14:paraId="4780DE4D"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3.87 (3.03-4.71)</w:t>
            </w:r>
          </w:p>
        </w:tc>
        <w:tc>
          <w:tcPr>
            <w:tcW w:w="1192" w:type="dxa"/>
            <w:tcBorders>
              <w:top w:val="single" w:sz="4" w:space="0" w:color="auto"/>
              <w:left w:val="nil"/>
              <w:bottom w:val="nil"/>
              <w:right w:val="single" w:sz="4" w:space="0" w:color="auto"/>
            </w:tcBorders>
            <w:shd w:val="clear" w:color="auto" w:fill="auto"/>
            <w:noWrap/>
            <w:vAlign w:val="center"/>
          </w:tcPr>
          <w:p w14:paraId="35DD1C8B"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1.10</w:t>
            </w:r>
          </w:p>
        </w:tc>
        <w:tc>
          <w:tcPr>
            <w:tcW w:w="1525" w:type="dxa"/>
            <w:tcBorders>
              <w:top w:val="single" w:sz="4" w:space="0" w:color="auto"/>
              <w:left w:val="single" w:sz="4" w:space="0" w:color="auto"/>
              <w:bottom w:val="nil"/>
              <w:right w:val="nil"/>
            </w:tcBorders>
            <w:vAlign w:val="center"/>
          </w:tcPr>
          <w:p w14:paraId="7E9CE1E6"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single" w:sz="4" w:space="0" w:color="auto"/>
              <w:left w:val="nil"/>
              <w:bottom w:val="nil"/>
              <w:right w:val="nil"/>
            </w:tcBorders>
            <w:vAlign w:val="center"/>
          </w:tcPr>
          <w:p w14:paraId="639339DA" w14:textId="77777777" w:rsidR="00DE1F0C" w:rsidRPr="00EE249E" w:rsidRDefault="00DE1F0C" w:rsidP="00713770">
            <w:pPr>
              <w:jc w:val="center"/>
              <w:rPr>
                <w:rFonts w:ascii="Arial" w:eastAsia="Times New Roman" w:hAnsi="Arial" w:cs="Arial"/>
                <w:snapToGrid w:val="0"/>
                <w:sz w:val="12"/>
                <w:szCs w:val="12"/>
                <w:lang w:eastAsia="de-DE" w:bidi="en-US"/>
              </w:rPr>
            </w:pPr>
          </w:p>
        </w:tc>
      </w:tr>
      <w:tr w:rsidR="00DE1F0C" w:rsidRPr="00EE249E" w14:paraId="6D9DFC2C" w14:textId="77777777" w:rsidTr="00713770">
        <w:trPr>
          <w:trHeight w:val="43"/>
          <w:jc w:val="center"/>
        </w:trPr>
        <w:tc>
          <w:tcPr>
            <w:tcW w:w="1276" w:type="dxa"/>
            <w:vMerge/>
            <w:tcBorders>
              <w:top w:val="nil"/>
              <w:left w:val="nil"/>
              <w:bottom w:val="nil"/>
              <w:right w:val="single" w:sz="4" w:space="0" w:color="auto"/>
            </w:tcBorders>
            <w:shd w:val="clear" w:color="auto" w:fill="auto"/>
            <w:vAlign w:val="center"/>
          </w:tcPr>
          <w:p w14:paraId="23D133A2" w14:textId="77777777" w:rsidR="00DE1F0C" w:rsidRPr="00EE249E" w:rsidRDefault="00DE1F0C" w:rsidP="00713770">
            <w:pPr>
              <w:jc w:val="center"/>
              <w:rPr>
                <w:rFonts w:ascii="Arial" w:eastAsia="Times New Roman" w:hAnsi="Arial" w:cs="Arial"/>
                <w:sz w:val="14"/>
                <w:szCs w:val="14"/>
                <w:highlight w:val="yellow"/>
                <w:lang w:eastAsia="en-GB"/>
              </w:rPr>
            </w:pPr>
          </w:p>
        </w:tc>
        <w:tc>
          <w:tcPr>
            <w:tcW w:w="1333" w:type="dxa"/>
            <w:tcBorders>
              <w:top w:val="nil"/>
              <w:left w:val="single" w:sz="4" w:space="0" w:color="auto"/>
              <w:bottom w:val="nil"/>
              <w:right w:val="nil"/>
            </w:tcBorders>
            <w:shd w:val="clear" w:color="auto" w:fill="auto"/>
            <w:noWrap/>
            <w:vAlign w:val="center"/>
          </w:tcPr>
          <w:p w14:paraId="2BB68B12"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 (58)</w:t>
            </w:r>
          </w:p>
        </w:tc>
        <w:tc>
          <w:tcPr>
            <w:tcW w:w="1573" w:type="dxa"/>
            <w:tcBorders>
              <w:top w:val="nil"/>
              <w:left w:val="nil"/>
              <w:bottom w:val="nil"/>
              <w:right w:val="nil"/>
            </w:tcBorders>
            <w:shd w:val="clear" w:color="auto" w:fill="auto"/>
            <w:noWrap/>
            <w:vAlign w:val="center"/>
          </w:tcPr>
          <w:p w14:paraId="1501F461"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2.84 (2.43-3.55)</w:t>
            </w:r>
          </w:p>
        </w:tc>
        <w:tc>
          <w:tcPr>
            <w:tcW w:w="1075" w:type="dxa"/>
            <w:tcBorders>
              <w:top w:val="nil"/>
              <w:left w:val="nil"/>
              <w:bottom w:val="nil"/>
              <w:right w:val="nil"/>
            </w:tcBorders>
            <w:shd w:val="clear" w:color="auto" w:fill="auto"/>
            <w:noWrap/>
            <w:vAlign w:val="center"/>
          </w:tcPr>
          <w:p w14:paraId="0708E19E"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2.06-3.91</w:t>
            </w:r>
          </w:p>
        </w:tc>
        <w:tc>
          <w:tcPr>
            <w:tcW w:w="1075" w:type="dxa"/>
            <w:tcBorders>
              <w:top w:val="nil"/>
              <w:left w:val="nil"/>
              <w:bottom w:val="nil"/>
              <w:right w:val="nil"/>
            </w:tcBorders>
            <w:shd w:val="clear" w:color="auto" w:fill="auto"/>
            <w:noWrap/>
            <w:vAlign w:val="center"/>
          </w:tcPr>
          <w:p w14:paraId="7AC41C99"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1.16-4.52</w:t>
            </w:r>
          </w:p>
        </w:tc>
        <w:tc>
          <w:tcPr>
            <w:tcW w:w="1573" w:type="dxa"/>
            <w:tcBorders>
              <w:top w:val="nil"/>
              <w:left w:val="nil"/>
              <w:bottom w:val="nil"/>
              <w:right w:val="nil"/>
            </w:tcBorders>
            <w:shd w:val="clear" w:color="auto" w:fill="auto"/>
            <w:noWrap/>
            <w:vAlign w:val="center"/>
          </w:tcPr>
          <w:p w14:paraId="508A0E3F"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2.97 (2.68-3.26)</w:t>
            </w:r>
          </w:p>
        </w:tc>
        <w:tc>
          <w:tcPr>
            <w:tcW w:w="1192" w:type="dxa"/>
            <w:tcBorders>
              <w:top w:val="nil"/>
              <w:left w:val="nil"/>
              <w:bottom w:val="nil"/>
              <w:right w:val="single" w:sz="4" w:space="0" w:color="auto"/>
            </w:tcBorders>
            <w:shd w:val="clear" w:color="auto" w:fill="auto"/>
            <w:noWrap/>
            <w:vAlign w:val="center"/>
          </w:tcPr>
          <w:p w14:paraId="5B5159AE"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1.09</w:t>
            </w:r>
          </w:p>
        </w:tc>
        <w:tc>
          <w:tcPr>
            <w:tcW w:w="1525" w:type="dxa"/>
            <w:tcBorders>
              <w:top w:val="nil"/>
              <w:left w:val="single" w:sz="4" w:space="0" w:color="auto"/>
              <w:bottom w:val="nil"/>
              <w:right w:val="nil"/>
            </w:tcBorders>
            <w:vAlign w:val="center"/>
          </w:tcPr>
          <w:p w14:paraId="5AEA5D66"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nil"/>
              <w:left w:val="nil"/>
              <w:bottom w:val="nil"/>
              <w:right w:val="nil"/>
            </w:tcBorders>
            <w:vAlign w:val="center"/>
          </w:tcPr>
          <w:p w14:paraId="6C0DEF30" w14:textId="77777777" w:rsidR="00DE1F0C" w:rsidRPr="00EE249E" w:rsidRDefault="00DE1F0C" w:rsidP="00713770">
            <w:pPr>
              <w:jc w:val="center"/>
              <w:rPr>
                <w:rFonts w:ascii="Arial" w:eastAsia="Times New Roman" w:hAnsi="Arial" w:cs="Arial"/>
                <w:snapToGrid w:val="0"/>
                <w:sz w:val="12"/>
                <w:szCs w:val="12"/>
                <w:lang w:eastAsia="de-DE" w:bidi="en-US"/>
              </w:rPr>
            </w:pPr>
          </w:p>
        </w:tc>
      </w:tr>
      <w:tr w:rsidR="00DE1F0C" w:rsidRPr="00EE249E" w14:paraId="67F4947B" w14:textId="77777777" w:rsidTr="00713770">
        <w:trPr>
          <w:trHeight w:val="43"/>
          <w:jc w:val="center"/>
        </w:trPr>
        <w:tc>
          <w:tcPr>
            <w:tcW w:w="1276" w:type="dxa"/>
            <w:vMerge/>
            <w:tcBorders>
              <w:top w:val="nil"/>
              <w:left w:val="nil"/>
              <w:bottom w:val="nil"/>
              <w:right w:val="single" w:sz="4" w:space="0" w:color="auto"/>
            </w:tcBorders>
            <w:shd w:val="clear" w:color="auto" w:fill="auto"/>
            <w:vAlign w:val="center"/>
          </w:tcPr>
          <w:p w14:paraId="60E007DD" w14:textId="77777777" w:rsidR="00DE1F0C" w:rsidRPr="00EE249E" w:rsidRDefault="00DE1F0C" w:rsidP="00713770">
            <w:pPr>
              <w:jc w:val="center"/>
              <w:rPr>
                <w:rFonts w:ascii="Arial" w:eastAsia="Times New Roman" w:hAnsi="Arial" w:cs="Arial"/>
                <w:sz w:val="14"/>
                <w:szCs w:val="14"/>
                <w:highlight w:val="yellow"/>
                <w:lang w:eastAsia="en-GB"/>
              </w:rPr>
            </w:pPr>
          </w:p>
        </w:tc>
        <w:tc>
          <w:tcPr>
            <w:tcW w:w="1333" w:type="dxa"/>
            <w:tcBorders>
              <w:top w:val="nil"/>
              <w:left w:val="single" w:sz="4" w:space="0" w:color="auto"/>
              <w:bottom w:val="nil"/>
              <w:right w:val="nil"/>
            </w:tcBorders>
            <w:shd w:val="clear" w:color="auto" w:fill="auto"/>
            <w:noWrap/>
            <w:vAlign w:val="center"/>
          </w:tcPr>
          <w:p w14:paraId="0D9A8813"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2 (133)</w:t>
            </w:r>
          </w:p>
        </w:tc>
        <w:tc>
          <w:tcPr>
            <w:tcW w:w="1573" w:type="dxa"/>
            <w:tcBorders>
              <w:top w:val="nil"/>
              <w:left w:val="nil"/>
              <w:bottom w:val="nil"/>
              <w:right w:val="nil"/>
            </w:tcBorders>
            <w:shd w:val="clear" w:color="auto" w:fill="auto"/>
            <w:noWrap/>
            <w:vAlign w:val="center"/>
          </w:tcPr>
          <w:p w14:paraId="7C62EBC2"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2.92 (2.65-3.39)</w:t>
            </w:r>
          </w:p>
        </w:tc>
        <w:tc>
          <w:tcPr>
            <w:tcW w:w="1075" w:type="dxa"/>
            <w:tcBorders>
              <w:top w:val="nil"/>
              <w:left w:val="nil"/>
              <w:bottom w:val="nil"/>
              <w:right w:val="nil"/>
            </w:tcBorders>
            <w:shd w:val="clear" w:color="auto" w:fill="auto"/>
            <w:noWrap/>
            <w:vAlign w:val="center"/>
          </w:tcPr>
          <w:p w14:paraId="79FB6DC8"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2.21-3.98</w:t>
            </w:r>
          </w:p>
        </w:tc>
        <w:tc>
          <w:tcPr>
            <w:tcW w:w="1075" w:type="dxa"/>
            <w:tcBorders>
              <w:top w:val="nil"/>
              <w:left w:val="nil"/>
              <w:bottom w:val="nil"/>
              <w:right w:val="nil"/>
            </w:tcBorders>
            <w:shd w:val="clear" w:color="auto" w:fill="auto"/>
            <w:noWrap/>
            <w:vAlign w:val="center"/>
          </w:tcPr>
          <w:p w14:paraId="3DAF78AF"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0.80-4.97</w:t>
            </w:r>
          </w:p>
        </w:tc>
        <w:tc>
          <w:tcPr>
            <w:tcW w:w="1573" w:type="dxa"/>
            <w:tcBorders>
              <w:top w:val="nil"/>
              <w:left w:val="nil"/>
              <w:bottom w:val="nil"/>
              <w:right w:val="nil"/>
            </w:tcBorders>
            <w:shd w:val="clear" w:color="auto" w:fill="auto"/>
            <w:noWrap/>
            <w:vAlign w:val="center"/>
          </w:tcPr>
          <w:p w14:paraId="0FB5A220"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2.99 (2.76-3.21)</w:t>
            </w:r>
          </w:p>
        </w:tc>
        <w:tc>
          <w:tcPr>
            <w:tcW w:w="1192" w:type="dxa"/>
            <w:tcBorders>
              <w:top w:val="nil"/>
              <w:left w:val="nil"/>
              <w:bottom w:val="nil"/>
              <w:right w:val="single" w:sz="4" w:space="0" w:color="auto"/>
            </w:tcBorders>
            <w:shd w:val="clear" w:color="auto" w:fill="auto"/>
            <w:noWrap/>
            <w:vAlign w:val="center"/>
          </w:tcPr>
          <w:p w14:paraId="46196337"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1.29</w:t>
            </w:r>
          </w:p>
        </w:tc>
        <w:tc>
          <w:tcPr>
            <w:tcW w:w="1525" w:type="dxa"/>
            <w:tcBorders>
              <w:top w:val="nil"/>
              <w:left w:val="single" w:sz="4" w:space="0" w:color="auto"/>
              <w:bottom w:val="nil"/>
              <w:right w:val="nil"/>
            </w:tcBorders>
            <w:vAlign w:val="center"/>
          </w:tcPr>
          <w:p w14:paraId="57001AA8"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nil"/>
              <w:left w:val="nil"/>
              <w:bottom w:val="nil"/>
              <w:right w:val="nil"/>
            </w:tcBorders>
            <w:vAlign w:val="center"/>
          </w:tcPr>
          <w:p w14:paraId="3A0B8B87" w14:textId="77777777" w:rsidR="00DE1F0C" w:rsidRPr="00EE249E" w:rsidRDefault="00DE1F0C" w:rsidP="00713770">
            <w:pPr>
              <w:jc w:val="center"/>
              <w:rPr>
                <w:rFonts w:ascii="Arial" w:eastAsia="Times New Roman" w:hAnsi="Arial" w:cs="Arial"/>
                <w:snapToGrid w:val="0"/>
                <w:sz w:val="12"/>
                <w:szCs w:val="12"/>
                <w:lang w:eastAsia="de-DE" w:bidi="en-US"/>
              </w:rPr>
            </w:pPr>
          </w:p>
        </w:tc>
      </w:tr>
      <w:tr w:rsidR="00DE1F0C" w:rsidRPr="00EE249E" w14:paraId="4FED1A8D" w14:textId="77777777" w:rsidTr="00713770">
        <w:trPr>
          <w:trHeight w:val="57"/>
          <w:jc w:val="center"/>
        </w:trPr>
        <w:tc>
          <w:tcPr>
            <w:tcW w:w="1276" w:type="dxa"/>
            <w:vMerge/>
            <w:tcBorders>
              <w:top w:val="nil"/>
              <w:left w:val="nil"/>
              <w:bottom w:val="nil"/>
              <w:right w:val="single" w:sz="4" w:space="0" w:color="auto"/>
            </w:tcBorders>
            <w:shd w:val="clear" w:color="auto" w:fill="auto"/>
            <w:vAlign w:val="center"/>
          </w:tcPr>
          <w:p w14:paraId="2CF115BE" w14:textId="77777777" w:rsidR="00DE1F0C" w:rsidRPr="00EE249E" w:rsidRDefault="00DE1F0C" w:rsidP="00713770">
            <w:pPr>
              <w:jc w:val="center"/>
              <w:rPr>
                <w:rFonts w:ascii="Arial" w:eastAsia="Times New Roman" w:hAnsi="Arial" w:cs="Arial"/>
                <w:sz w:val="14"/>
                <w:szCs w:val="14"/>
                <w:highlight w:val="yellow"/>
                <w:lang w:eastAsia="en-GB"/>
              </w:rPr>
            </w:pPr>
          </w:p>
        </w:tc>
        <w:tc>
          <w:tcPr>
            <w:tcW w:w="1333" w:type="dxa"/>
            <w:tcBorders>
              <w:top w:val="nil"/>
              <w:left w:val="single" w:sz="4" w:space="0" w:color="auto"/>
              <w:bottom w:val="single" w:sz="4" w:space="0" w:color="auto"/>
              <w:right w:val="nil"/>
            </w:tcBorders>
            <w:shd w:val="clear" w:color="auto" w:fill="auto"/>
            <w:noWrap/>
            <w:vAlign w:val="center"/>
          </w:tcPr>
          <w:p w14:paraId="37DBD272"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3 (1)</w:t>
            </w:r>
          </w:p>
        </w:tc>
        <w:tc>
          <w:tcPr>
            <w:tcW w:w="6488" w:type="dxa"/>
            <w:gridSpan w:val="5"/>
            <w:tcBorders>
              <w:top w:val="nil"/>
              <w:left w:val="nil"/>
              <w:bottom w:val="single" w:sz="4" w:space="0" w:color="auto"/>
              <w:right w:val="single" w:sz="4" w:space="0" w:color="auto"/>
            </w:tcBorders>
            <w:shd w:val="clear" w:color="auto" w:fill="auto"/>
            <w:noWrap/>
            <w:vAlign w:val="center"/>
          </w:tcPr>
          <w:p w14:paraId="072530A4" w14:textId="77777777" w:rsidR="00DE1F0C" w:rsidRPr="00EE249E" w:rsidRDefault="00DE1F0C" w:rsidP="00713770">
            <w:pPr>
              <w:jc w:val="center"/>
              <w:rPr>
                <w:rFonts w:ascii="Arial" w:eastAsia="Times New Roman" w:hAnsi="Arial" w:cs="Arial"/>
                <w:snapToGrid w:val="0"/>
                <w:sz w:val="12"/>
                <w:szCs w:val="12"/>
                <w:lang w:eastAsia="de-DE" w:bidi="en-US"/>
              </w:rPr>
            </w:pPr>
            <w:proofErr w:type="spellStart"/>
            <w:r w:rsidRPr="00EE249E">
              <w:rPr>
                <w:rFonts w:ascii="Arial" w:eastAsia="Times New Roman" w:hAnsi="Arial" w:cs="Arial"/>
                <w:snapToGrid w:val="0"/>
                <w:sz w:val="12"/>
                <w:szCs w:val="12"/>
                <w:lang w:eastAsia="de-DE" w:bidi="en-US"/>
              </w:rPr>
              <w:t>n.a.</w:t>
            </w:r>
            <w:proofErr w:type="spellEnd"/>
            <w:r w:rsidRPr="00EE249E">
              <w:rPr>
                <w:rFonts w:ascii="Arial" w:eastAsia="Times New Roman" w:hAnsi="Arial" w:cs="Arial"/>
                <w:snapToGrid w:val="0"/>
                <w:sz w:val="12"/>
                <w:szCs w:val="12"/>
                <w:lang w:eastAsia="de-DE" w:bidi="en-US"/>
              </w:rPr>
              <w:t xml:space="preserve"> (1.76 µg/mL)</w:t>
            </w:r>
          </w:p>
        </w:tc>
        <w:tc>
          <w:tcPr>
            <w:tcW w:w="1525" w:type="dxa"/>
            <w:tcBorders>
              <w:top w:val="nil"/>
              <w:left w:val="single" w:sz="4" w:space="0" w:color="auto"/>
              <w:bottom w:val="single" w:sz="4" w:space="0" w:color="auto"/>
              <w:right w:val="nil"/>
            </w:tcBorders>
            <w:vAlign w:val="center"/>
          </w:tcPr>
          <w:p w14:paraId="38C7B329"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nil"/>
              <w:left w:val="nil"/>
              <w:bottom w:val="single" w:sz="4" w:space="0" w:color="auto"/>
              <w:right w:val="nil"/>
            </w:tcBorders>
            <w:vAlign w:val="center"/>
          </w:tcPr>
          <w:p w14:paraId="6030EC7B" w14:textId="77777777" w:rsidR="00DE1F0C" w:rsidRPr="00EE249E" w:rsidRDefault="00DE1F0C" w:rsidP="00713770">
            <w:pPr>
              <w:jc w:val="center"/>
              <w:rPr>
                <w:rFonts w:ascii="Arial" w:eastAsia="Times New Roman" w:hAnsi="Arial" w:cs="Arial"/>
                <w:snapToGrid w:val="0"/>
                <w:sz w:val="12"/>
                <w:szCs w:val="12"/>
                <w:lang w:eastAsia="de-DE" w:bidi="en-US"/>
              </w:rPr>
            </w:pPr>
          </w:p>
        </w:tc>
      </w:tr>
      <w:tr w:rsidR="00DE1F0C" w:rsidRPr="00EE249E" w14:paraId="05193AD6" w14:textId="77777777" w:rsidTr="00713770">
        <w:trPr>
          <w:trHeight w:val="295"/>
          <w:jc w:val="center"/>
        </w:trPr>
        <w:tc>
          <w:tcPr>
            <w:tcW w:w="1276" w:type="dxa"/>
            <w:vMerge/>
            <w:tcBorders>
              <w:top w:val="nil"/>
              <w:left w:val="nil"/>
              <w:bottom w:val="nil"/>
              <w:right w:val="single" w:sz="4" w:space="0" w:color="auto"/>
            </w:tcBorders>
            <w:shd w:val="clear" w:color="auto" w:fill="auto"/>
            <w:vAlign w:val="center"/>
          </w:tcPr>
          <w:p w14:paraId="56207454" w14:textId="77777777" w:rsidR="00DE1F0C" w:rsidRPr="00EE249E" w:rsidRDefault="00DE1F0C" w:rsidP="00713770">
            <w:pPr>
              <w:jc w:val="center"/>
              <w:rPr>
                <w:rFonts w:ascii="Arial" w:eastAsia="Times New Roman" w:hAnsi="Arial" w:cs="Arial"/>
                <w:sz w:val="14"/>
                <w:szCs w:val="14"/>
                <w:highlight w:val="yellow"/>
                <w:lang w:eastAsia="en-GB"/>
              </w:rPr>
            </w:pPr>
          </w:p>
        </w:tc>
        <w:tc>
          <w:tcPr>
            <w:tcW w:w="1333" w:type="dxa"/>
            <w:vMerge w:val="restart"/>
            <w:tcBorders>
              <w:top w:val="single" w:sz="4" w:space="0" w:color="auto"/>
              <w:left w:val="single" w:sz="4" w:space="0" w:color="auto"/>
              <w:bottom w:val="nil"/>
              <w:right w:val="nil"/>
            </w:tcBorders>
            <w:shd w:val="clear" w:color="auto" w:fill="auto"/>
            <w:noWrap/>
            <w:vAlign w:val="center"/>
          </w:tcPr>
          <w:p w14:paraId="361BA3F1"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Total (201)</w:t>
            </w:r>
          </w:p>
        </w:tc>
        <w:tc>
          <w:tcPr>
            <w:tcW w:w="1573" w:type="dxa"/>
            <w:vMerge w:val="restart"/>
            <w:tcBorders>
              <w:top w:val="single" w:sz="4" w:space="0" w:color="auto"/>
              <w:left w:val="nil"/>
              <w:bottom w:val="nil"/>
              <w:right w:val="nil"/>
            </w:tcBorders>
            <w:shd w:val="clear" w:color="auto" w:fill="auto"/>
            <w:noWrap/>
            <w:vAlign w:val="center"/>
          </w:tcPr>
          <w:p w14:paraId="5D6D1DD4"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3.03 (2.74-3.39)</w:t>
            </w:r>
          </w:p>
        </w:tc>
        <w:tc>
          <w:tcPr>
            <w:tcW w:w="1075" w:type="dxa"/>
            <w:vMerge w:val="restart"/>
            <w:tcBorders>
              <w:top w:val="single" w:sz="4" w:space="0" w:color="auto"/>
              <w:left w:val="nil"/>
              <w:bottom w:val="nil"/>
              <w:right w:val="nil"/>
            </w:tcBorders>
            <w:shd w:val="clear" w:color="auto" w:fill="auto"/>
            <w:noWrap/>
            <w:vAlign w:val="center"/>
          </w:tcPr>
          <w:p w14:paraId="3E1E4095"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2.19-3.96</w:t>
            </w:r>
          </w:p>
        </w:tc>
        <w:tc>
          <w:tcPr>
            <w:tcW w:w="1075" w:type="dxa"/>
            <w:vMerge w:val="restart"/>
            <w:tcBorders>
              <w:top w:val="single" w:sz="4" w:space="0" w:color="auto"/>
              <w:left w:val="nil"/>
              <w:bottom w:val="nil"/>
              <w:right w:val="nil"/>
            </w:tcBorders>
            <w:shd w:val="clear" w:color="auto" w:fill="auto"/>
            <w:noWrap/>
            <w:vAlign w:val="center"/>
          </w:tcPr>
          <w:p w14:paraId="29A0638E"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0.91-4.92</w:t>
            </w:r>
          </w:p>
        </w:tc>
        <w:tc>
          <w:tcPr>
            <w:tcW w:w="1573" w:type="dxa"/>
            <w:vMerge w:val="restart"/>
            <w:tcBorders>
              <w:top w:val="single" w:sz="4" w:space="0" w:color="auto"/>
              <w:left w:val="nil"/>
              <w:bottom w:val="nil"/>
              <w:right w:val="nil"/>
            </w:tcBorders>
            <w:shd w:val="clear" w:color="auto" w:fill="auto"/>
            <w:noWrap/>
            <w:vAlign w:val="center"/>
          </w:tcPr>
          <w:p w14:paraId="091806BF"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3.01 (2.84-3.19)</w:t>
            </w:r>
          </w:p>
        </w:tc>
        <w:tc>
          <w:tcPr>
            <w:tcW w:w="1192" w:type="dxa"/>
            <w:vMerge w:val="restart"/>
            <w:tcBorders>
              <w:top w:val="single" w:sz="4" w:space="0" w:color="auto"/>
              <w:left w:val="nil"/>
              <w:bottom w:val="nil"/>
              <w:right w:val="single" w:sz="4" w:space="0" w:color="auto"/>
            </w:tcBorders>
            <w:shd w:val="clear" w:color="auto" w:fill="auto"/>
            <w:noWrap/>
            <w:vAlign w:val="center"/>
          </w:tcPr>
          <w:p w14:paraId="79C77DCA"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1.24</w:t>
            </w:r>
          </w:p>
        </w:tc>
        <w:tc>
          <w:tcPr>
            <w:tcW w:w="1525" w:type="dxa"/>
            <w:vMerge w:val="restart"/>
            <w:tcBorders>
              <w:top w:val="single" w:sz="4" w:space="0" w:color="auto"/>
              <w:left w:val="single" w:sz="4" w:space="0" w:color="auto"/>
              <w:bottom w:val="single" w:sz="4" w:space="0" w:color="auto"/>
              <w:right w:val="nil"/>
            </w:tcBorders>
            <w:vAlign w:val="center"/>
          </w:tcPr>
          <w:p w14:paraId="75319542"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0.074</w:t>
            </w:r>
          </w:p>
          <w:p w14:paraId="0A37EDF4"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(p= 0.32)</w:t>
            </w:r>
          </w:p>
        </w:tc>
        <w:tc>
          <w:tcPr>
            <w:tcW w:w="1181" w:type="dxa"/>
            <w:tcBorders>
              <w:top w:val="single" w:sz="4" w:space="0" w:color="auto"/>
              <w:left w:val="nil"/>
              <w:bottom w:val="nil"/>
              <w:right w:val="nil"/>
            </w:tcBorders>
            <w:vAlign w:val="center"/>
          </w:tcPr>
          <w:p w14:paraId="1EB06F8D"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3.19</w:t>
            </w:r>
          </w:p>
          <w:p w14:paraId="71B439C1"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(2.76-3.64)</w:t>
            </w:r>
          </w:p>
        </w:tc>
        <w:tc>
          <w:tcPr>
            <w:tcW w:w="1201" w:type="dxa"/>
            <w:gridSpan w:val="2"/>
            <w:tcBorders>
              <w:top w:val="single" w:sz="4" w:space="0" w:color="auto"/>
              <w:left w:val="nil"/>
              <w:bottom w:val="nil"/>
              <w:right w:val="nil"/>
            </w:tcBorders>
            <w:vAlign w:val="center"/>
          </w:tcPr>
          <w:p w14:paraId="2A189089"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2.75</w:t>
            </w:r>
          </w:p>
          <w:p w14:paraId="0B6D8F25" w14:textId="77777777" w:rsidR="00DE1F0C" w:rsidRPr="00EE249E" w:rsidRDefault="00DE1F0C" w:rsidP="00713770">
            <w:pPr>
              <w:jc w:val="center"/>
              <w:rPr>
                <w:rFonts w:ascii="Arial" w:eastAsia="Times New Roman" w:hAnsi="Arial" w:cs="Arial"/>
                <w:snapToGrid w:val="0"/>
                <w:sz w:val="14"/>
                <w:szCs w:val="14"/>
                <w:lang w:eastAsia="de-DE" w:bidi="en-US"/>
              </w:rPr>
            </w:pPr>
            <w:r w:rsidRPr="00EE249E">
              <w:rPr>
                <w:rFonts w:ascii="Arial" w:eastAsia="Times New Roman" w:hAnsi="Arial" w:cs="Arial"/>
                <w:snapToGrid w:val="0"/>
                <w:sz w:val="14"/>
                <w:szCs w:val="14"/>
                <w:lang w:eastAsia="de-DE" w:bidi="en-US"/>
              </w:rPr>
              <w:t>(2.52-3.40)</w:t>
            </w:r>
          </w:p>
        </w:tc>
      </w:tr>
      <w:tr w:rsidR="00DE1F0C" w:rsidRPr="00EE249E" w14:paraId="37C134F4" w14:textId="77777777" w:rsidTr="00713770">
        <w:trPr>
          <w:trHeight w:val="295"/>
          <w:jc w:val="center"/>
        </w:trPr>
        <w:tc>
          <w:tcPr>
            <w:tcW w:w="1276" w:type="dxa"/>
            <w:vMerge/>
            <w:tcBorders>
              <w:top w:val="nil"/>
              <w:left w:val="nil"/>
              <w:bottom w:val="single" w:sz="8" w:space="0" w:color="auto"/>
              <w:right w:val="single" w:sz="4" w:space="0" w:color="auto"/>
            </w:tcBorders>
            <w:shd w:val="clear" w:color="auto" w:fill="auto"/>
            <w:vAlign w:val="center"/>
          </w:tcPr>
          <w:p w14:paraId="33F2E6A7" w14:textId="77777777" w:rsidR="00DE1F0C" w:rsidRPr="00EE249E" w:rsidRDefault="00DE1F0C" w:rsidP="00713770">
            <w:pPr>
              <w:jc w:val="center"/>
              <w:rPr>
                <w:rFonts w:ascii="Arial" w:eastAsia="Times New Roman" w:hAnsi="Arial" w:cs="Arial"/>
                <w:sz w:val="14"/>
                <w:szCs w:val="14"/>
                <w:highlight w:val="yellow"/>
                <w:lang w:eastAsia="en-GB"/>
              </w:rPr>
            </w:pPr>
          </w:p>
        </w:tc>
        <w:tc>
          <w:tcPr>
            <w:tcW w:w="1333" w:type="dxa"/>
            <w:vMerge/>
            <w:tcBorders>
              <w:top w:val="nil"/>
              <w:left w:val="single" w:sz="4" w:space="0" w:color="auto"/>
              <w:bottom w:val="single" w:sz="8" w:space="0" w:color="auto"/>
              <w:right w:val="nil"/>
            </w:tcBorders>
            <w:shd w:val="clear" w:color="auto" w:fill="auto"/>
            <w:noWrap/>
            <w:vAlign w:val="center"/>
          </w:tcPr>
          <w:p w14:paraId="08877661"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573" w:type="dxa"/>
            <w:vMerge/>
            <w:tcBorders>
              <w:top w:val="nil"/>
              <w:left w:val="nil"/>
              <w:bottom w:val="single" w:sz="8" w:space="0" w:color="auto"/>
              <w:right w:val="nil"/>
            </w:tcBorders>
            <w:shd w:val="clear" w:color="auto" w:fill="auto"/>
            <w:noWrap/>
            <w:vAlign w:val="center"/>
          </w:tcPr>
          <w:p w14:paraId="4FD51552"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075" w:type="dxa"/>
            <w:vMerge/>
            <w:tcBorders>
              <w:top w:val="nil"/>
              <w:left w:val="nil"/>
              <w:bottom w:val="single" w:sz="8" w:space="0" w:color="auto"/>
              <w:right w:val="nil"/>
            </w:tcBorders>
            <w:shd w:val="clear" w:color="auto" w:fill="auto"/>
            <w:noWrap/>
            <w:vAlign w:val="center"/>
          </w:tcPr>
          <w:p w14:paraId="3C9FB977"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075" w:type="dxa"/>
            <w:vMerge/>
            <w:tcBorders>
              <w:top w:val="nil"/>
              <w:left w:val="nil"/>
              <w:bottom w:val="single" w:sz="8" w:space="0" w:color="auto"/>
              <w:right w:val="nil"/>
            </w:tcBorders>
            <w:shd w:val="clear" w:color="auto" w:fill="auto"/>
            <w:noWrap/>
            <w:vAlign w:val="center"/>
          </w:tcPr>
          <w:p w14:paraId="569AD96E"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573" w:type="dxa"/>
            <w:vMerge/>
            <w:tcBorders>
              <w:top w:val="nil"/>
              <w:left w:val="nil"/>
              <w:bottom w:val="single" w:sz="8" w:space="0" w:color="auto"/>
              <w:right w:val="nil"/>
            </w:tcBorders>
            <w:shd w:val="clear" w:color="auto" w:fill="auto"/>
            <w:noWrap/>
            <w:vAlign w:val="center"/>
          </w:tcPr>
          <w:p w14:paraId="0D942A94"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192" w:type="dxa"/>
            <w:vMerge/>
            <w:tcBorders>
              <w:top w:val="nil"/>
              <w:left w:val="nil"/>
              <w:bottom w:val="single" w:sz="8" w:space="0" w:color="auto"/>
              <w:right w:val="single" w:sz="4" w:space="0" w:color="auto"/>
            </w:tcBorders>
            <w:shd w:val="clear" w:color="auto" w:fill="auto"/>
            <w:noWrap/>
            <w:vAlign w:val="center"/>
          </w:tcPr>
          <w:p w14:paraId="08322C89"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1525" w:type="dxa"/>
            <w:vMerge/>
            <w:tcBorders>
              <w:top w:val="nil"/>
              <w:left w:val="single" w:sz="4" w:space="0" w:color="auto"/>
              <w:bottom w:val="single" w:sz="8" w:space="0" w:color="auto"/>
              <w:right w:val="nil"/>
            </w:tcBorders>
            <w:vAlign w:val="center"/>
          </w:tcPr>
          <w:p w14:paraId="07E3432A" w14:textId="77777777" w:rsidR="00DE1F0C" w:rsidRPr="00EE249E" w:rsidRDefault="00DE1F0C" w:rsidP="00713770">
            <w:pPr>
              <w:jc w:val="center"/>
              <w:rPr>
                <w:rFonts w:ascii="Arial" w:eastAsia="Times New Roman" w:hAnsi="Arial" w:cs="Arial"/>
                <w:snapToGrid w:val="0"/>
                <w:sz w:val="12"/>
                <w:szCs w:val="12"/>
                <w:lang w:eastAsia="de-DE" w:bidi="en-US"/>
              </w:rPr>
            </w:pPr>
          </w:p>
        </w:tc>
        <w:tc>
          <w:tcPr>
            <w:tcW w:w="2382" w:type="dxa"/>
            <w:gridSpan w:val="3"/>
            <w:tcBorders>
              <w:top w:val="nil"/>
              <w:left w:val="nil"/>
              <w:bottom w:val="single" w:sz="8" w:space="0" w:color="auto"/>
              <w:right w:val="nil"/>
            </w:tcBorders>
            <w:vAlign w:val="center"/>
          </w:tcPr>
          <w:p w14:paraId="349448FF" w14:textId="77777777" w:rsidR="00DE1F0C" w:rsidRPr="00EE249E" w:rsidRDefault="00DE1F0C" w:rsidP="00713770">
            <w:pPr>
              <w:jc w:val="center"/>
              <w:rPr>
                <w:rFonts w:ascii="Arial" w:eastAsia="Times New Roman" w:hAnsi="Arial" w:cs="Arial"/>
                <w:snapToGrid w:val="0"/>
                <w:sz w:val="12"/>
                <w:szCs w:val="12"/>
                <w:lang w:eastAsia="de-DE" w:bidi="en-US"/>
              </w:rPr>
            </w:pPr>
            <w:r w:rsidRPr="00EE249E">
              <w:rPr>
                <w:rFonts w:ascii="Arial" w:eastAsia="Times New Roman" w:hAnsi="Arial" w:cs="Arial"/>
                <w:snapToGrid w:val="0"/>
                <w:sz w:val="12"/>
                <w:szCs w:val="12"/>
                <w:lang w:eastAsia="de-DE" w:bidi="en-US"/>
              </w:rPr>
              <w:t>p= 0.11</w:t>
            </w:r>
          </w:p>
        </w:tc>
      </w:tr>
    </w:tbl>
    <w:p w14:paraId="77BF0791" w14:textId="6946C250" w:rsidR="001F7EDF" w:rsidRPr="00EE249E" w:rsidRDefault="00DE1F0C" w:rsidP="00F94565">
      <w:pPr>
        <w:pStyle w:val="MDPI41tablecaption"/>
        <w:ind w:left="0"/>
        <w:rPr>
          <w:rFonts w:ascii="Arial" w:hAnsi="Arial" w:cs="Arial"/>
          <w:sz w:val="16"/>
          <w:szCs w:val="20"/>
          <w:lang w:val="en-GB"/>
        </w:rPr>
        <w:sectPr w:rsidR="001F7EDF" w:rsidRPr="00EE249E" w:rsidSect="004D621C">
          <w:pgSz w:w="16838" w:h="11906" w:orient="landscape"/>
          <w:pgMar w:top="1418" w:right="1418" w:bottom="1418" w:left="1418" w:header="709" w:footer="709" w:gutter="0"/>
          <w:cols w:space="708"/>
          <w:docGrid w:linePitch="360"/>
        </w:sectPr>
      </w:pPr>
      <w:r w:rsidRPr="00EE249E">
        <w:rPr>
          <w:rFonts w:ascii="Arial" w:hAnsi="Arial" w:cs="Arial"/>
          <w:sz w:val="16"/>
          <w:szCs w:val="20"/>
          <w:lang w:val="en-GB"/>
        </w:rPr>
        <w:t>a: Donors lacking FHR-2 as previously validated by NGS were excluded in the statistical analysis.</w:t>
      </w:r>
      <w:sdt>
        <w:sdtPr>
          <w:rPr>
            <w:rFonts w:ascii="Arial" w:hAnsi="Arial" w:cs="Arial"/>
            <w:sz w:val="16"/>
            <w:szCs w:val="20"/>
            <w:vertAlign w:val="superscript"/>
            <w:lang w:val="en-GB"/>
          </w:rPr>
          <w:tag w:val="MENDELEY_CITATION_v3_eyJjaXRhdGlvbklEIjoiTUVOREVMRVlfQ0lUQVRJT05fMzcwMDg4MjktYTA2YS00YTA0LWE4NzItN2ZhMzQ2YzA0NGZmIiwicHJvcGVydGllcyI6eyJub3RlSW5kZXgiOjB9LCJpc0VkaXRlZCI6ZmFsc2UsIm1hbnVhbE92ZXJyaWRlIjp7ImlzTWFudWFsbHlPdmVycmlkZGVuIjpmYWxzZSwiY2l0ZXByb2NUZXh0IjoiPHN1cD4xMTwvc3VwPiIsIm1hbnVhbE92ZXJyaWRlVGV4dCI6IiJ9LCJjaXRhdGlvbkl0ZW1zIjpbeyJpZCI6ImJlMDUzM2U0LWNjZTYtM2ZlOS1iOTZjLTg0NTIwZWY4YmQ5NiIsIml0ZW1EYXRhIjp7InR5cGUiOiJhcnRpY2xlLWpvdXJuYWwiLCJpZCI6ImJlMDUzM2U0LWNjZTYtM2ZlOS1iOTZjLTg0NTIwZWY4YmQ5NiIsInRpdGxlIjoiRmFjdG9yIEgtcmVsYXRlZCAoRkhSKS0xIGFuZCBGSFItMiBmb3JtIGhvbW8tIGFuZCBoZXRlcm9kaW1lcnMsIHdoaWxlIEZIUi01IGNpcmN1bGF0ZXMgb25seSBhcyBob21vZGltZXIgaW4gaHVtYW4gcGxhc21hIiwiYXV0aG9yIjpbeyJmYW1pbHkiOiJCZWVrIiwiZ2l2ZW4iOiJBbm5hIEUuIiwicGFyc2UtbmFtZXMiOmZhbHNlLCJkcm9wcGluZy1wYXJ0aWNsZSI6IiIsIm5vbi1kcm9wcGluZy1wYXJ0aWNsZSI6InZhbiJ9LHsiZmFtaWx5IjoiUG91dyIsImdpdmVuIjoiUmljaGFyZCBCLiIsInBhcnNlLW5hbWVzIjpmYWxzZSwiZHJvcHBpbmctcGFydGljbGUiOiIiLCJub24tZHJvcHBpbmctcGFydGljbGUiOiIifSx7ImZhbWlseSI6IkJyb3V3ZXIiLCJnaXZlbiI6Ik1pZWtlIEMuIiwicGFyc2UtbmFtZXMiOmZhbHNlLCJkcm9wcGluZy1wYXJ0aWNsZSI6IiIsIm5vbi1kcm9wcGluZy1wYXJ0aWNsZSI6IiJ9LHsiZmFtaWx5IjoiTWllcmxvIiwiZ2l2ZW4iOiJHZXJhcmQiLCJwYXJzZS1uYW1lcyI6ZmFsc2UsImRyb3BwaW5nLXBhcnRpY2xlIjoiIiwibm9uLWRyb3BwaW5nLXBhcnRpY2xlIjoidmFuIn0seyJmYW1pbHkiOiJHZWlzc2xlciIsImdpdmVuIjoiSnVkeSIsInBhcnNlLW5hbWVzIjpmYWxzZSwiZHJvcHBpbmctcGFydGljbGUiOiIiLCJub24tZHJvcHBpbmctcGFydGljbGUiOiIifSx7ImZhbWlseSI6Ik9vaWpldmFhci1kZSBIZWVyIiwiZ2l2ZW4iOiJQbGV1bmkiLCJwYXJzZS1uYW1lcyI6ZmFsc2UsImRyb3BwaW5nLXBhcnRpY2xlIjoiIiwibm9uLWRyb3BwaW5nLXBhcnRpY2xlIjoiIn0seyJmYW1pbHkiOiJCb2VyIiwiZ2l2ZW4iOiJNYXJ0aW4iLCJwYXJzZS1uYW1lcyI6ZmFsc2UsImRyb3BwaW5nLXBhcnRpY2xlIjoiIiwibm9uLWRyb3BwaW5nLXBhcnRpY2xlIjoiZGUifSx7ImZhbWlseSI6IkxlZXV3ZW4iLCJnaXZlbiI6IkthcmluIiwicGFyc2UtbmFtZXMiOmZhbHNlLCJkcm9wcGluZy1wYXJ0aWNsZSI6IiIsIm5vbi1kcm9wcGluZy1wYXJ0aWNsZSI6InZhbiJ9LHsiZmFtaWx5IjoiUmlzcGVucyIsImdpdmVuIjoiVGhlbyIsInBhcnNlLW5hbWVzIjpmYWxzZSwiZHJvcHBpbmctcGFydGljbGUiOiIiLCJub24tZHJvcHBpbmctcGFydGljbGUiOiIifSx7ImZhbWlseSI6IldvdXRlcnMiLCJnaXZlbiI6IkRpYW5hIiwicGFyc2UtbmFtZXMiOmZhbHNlLCJkcm9wcGluZy1wYXJ0aWNsZSI6IiIsIm5vbi1kcm9wcGluZy1wYXJ0aWNsZSI6IiJ9LHsiZmFtaWx5IjoiS3VpanBlcnMiLCJnaXZlbiI6IlRhY28gVy4iLCJwYXJzZS1uYW1lcyI6ZmFsc2UsImRyb3BwaW5nLXBhcnRpY2xlIjoiIiwibm9uLWRyb3BwaW5nLXBhcnRpY2xlIjoiIn1dLCJjb250YWluZXItdGl0bGUiOiJGcm9udGllcnMgaW4gSW1tdW5vbG9neSIsImNvbnRhaW5lci10aXRsZS1zaG9ydCI6IkZyb250IEltbXVub2wiLCJET0kiOiIxMC4zMzg5L2ZpbW11LjIwMTcuMDEzMjgiLCJJU1NOIjoiMTY2NDMyMjQiLCJpc3N1ZWQiOnsiZGF0ZS1wYXJ0cyI6W1syMDE3XV19LCJhYnN0cmFjdCI6IlRoZSBjb21wbGVtZW50IGZhY3RvciBILXJlbGF0ZWQgKEZIUikgcHJvdGVpbnMgYXJlIGh5cG90aGVzaXplZCB0byBmaW5lLXR1bmUgdGhlIHJlZ3VsYXRvcnkgcm9sZSBvZiBjb21wbGVtZW50IGZhY3RvciBIIChGSCkgaW4gdGhlIGFsdGVybmF0aXZlIHBhdGh3YXkgb2YgdGhlIGNvbXBsZW1lbnQgc3lzdGVtLiBNb3Jlb3ZlciwgRkhSLTEsIEZIUi0yLCBhbmQgRkhSLTUgaGF2ZSBiZWVuIHByb3Bvc2VkIHRvIGJlIGRpbWVycywgd2hpY2ggZnVydGhlciBjb21wbGljYXRlcyBhY2N1cmF0ZSBhbmFseXNpcy4gQXMgRkhScyBhcmUgaGlnaGx5IHNpbWlsYXIgYW1vbmcgdGhlbXNlbHZlcyBhbmQgdG93YXJkIEZILCBvYnRhaW5pbmcgc3BlY2lmaWMgcmVhZ2VudHMgZm9yIHF1YW50aWZpY2F0aW9uIG9mIHNlcnVtIGxldmVscyBhbmQgZnVuY3Rpb25hbCBhbmFseXNpcyBpcyBjaGFsbGVuZ2luZy4gSW4gdGhpcyBzdHVkeSwgd2UgZ2VuZXJhdGVkIGFudGlib2RpZXMgYW5kIGRldmVsb3BlZCBFTElTQXMgdG8gbWVhc3VyZSBGSFItMSwgRkhSLTIsIGFuZCBGSFItNSBpbiBzZXJ1bS4gV2UgdXNlZCBib3RoIHJlY29tYmluYW50IGFuZCBzZXJ1bS1kZXJpdmVkIHByb3RlaW5zIHRvIHNob3cgdGhhdCBmb3VyIGRpbWVycyBvY2N1ciBpbiBodW1hbiBjaXJjdWxhdGlvbjogaG9tb2RpbWVycyBvZiBGSFItMSwgRkhSLTIsIGFuZCBGSFItNSwgYXMgd2VsbCBhcyBGSFItMS9GSFItMiBoZXRlcm9kaW1lcnMuIEhldGVyb2RpbWVycyBjb250YWluaW5nIEZIUi01IHdlcmUgbm90IGZvdW5kLiBJbiBpbmRpdmlkdWFscyB3aXRoIGhvbW96eWdvdXMgQ0ZIUjEgZGVsZXRpb25zIG9yIGNvbXBvdW5kIGhldGVyb3p5Z291cyBDRkhSMiBtaXNzZW5zZS9ub25zZW5zZSBtdXRhdGlvbnMgaWRlbnRpZmllZCBpbiB0aGlzIHN0dWR5LCB0aGUgcmVzcGVjdGl2ZSBGSFItMSBhbmQgRkhSLTIgaG9tby0gYW5kIGhldGVyb2RpbWVycyB3ZXJlIGFic2VudC4gVXNpbmcgRlJFVCwgd2UgZm91bmQgdGhhdCByZWNvbWJpbmFudCBGSFIgZGltZXJzIGV4Y2hhbmdlIG1vbm9tZXJzIHJhcGlkbHkuIFRoaXMgd2FzIGNvbmZpcm1lZCBleCB2aXZvLCB1c2luZyBGSFItMS0gYW5kIEZIUi0yLWRlZmljaWVudCBzZXJhLiBPZiBhbGwgRkhSIGRpbWVycywgRkhSLTUvNSBob21vZGltZXJzIGRlbW9uc3RyYXRlZCBzdHJvbmcgYmluZGluZyBhZmZpbml0eSB0b3dhcmQgaGVwYXJpbi4gU3BlY2lmaWMgRUxJU0FzIGRlbW9uc3RyYXRlZCB0aGF0IHNlcnVtIGxldmVscyBvZiBGSFItMS8xLCBGSFItMS8yLCBGSFItMi8yLCBhbmQgRkhSLTUvNSBkaW1lcnMgd2VyZSBsb3cgY29tcGFyZWQgdG8gRkgsIHdoaWNoIGNpcmN1bGF0ZXMgYXQgYSAxMC0gdG8gMjAwLWZvbGQgbW9sYXIgZXhjZXNzLiBJbiBzdW1tYXJ5LCBGSFItMSwgRkhSLTIsIGFuZCBGSFItNSBob21vZGltZXJpemUsIHdpdGggRkhSLTEgYW5kIEZIUi0yIGZvcm1pbmcgaGV0ZXJvZGltZXJzIGFzIHdlbGwsIGFuZCBlcXVpbGlicmF0ZSBxdWlja2x5IGluIHBsYXNtYS4iLCJpc3N1ZSI6Ik9DVCIsInZvbHVtZSI6IjgifSwiaXNUZW1wb3JhcnkiOmZhbHNlfV19"/>
          <w:id w:val="-1379698831"/>
          <w:placeholder>
            <w:docPart w:val="276248AE2ADDAA45B4439C7B8B3EBA81"/>
          </w:placeholder>
        </w:sdtPr>
        <w:sdtEndPr/>
        <w:sdtContent>
          <w:r w:rsidRPr="00EE249E">
            <w:rPr>
              <w:rFonts w:ascii="Arial" w:hAnsi="Arial" w:cs="Arial"/>
              <w:sz w:val="16"/>
              <w:szCs w:val="20"/>
              <w:vertAlign w:val="superscript"/>
              <w:lang w:val="en-GB"/>
            </w:rPr>
            <w:t>11</w:t>
          </w:r>
        </w:sdtContent>
      </w:sdt>
      <w:r w:rsidRPr="00EE249E">
        <w:rPr>
          <w:rFonts w:ascii="Arial" w:hAnsi="Arial" w:cs="Arial"/>
          <w:sz w:val="16"/>
          <w:szCs w:val="20"/>
          <w:lang w:val="en-GB"/>
        </w:rPr>
        <w:br/>
        <w:t>b: Donors lacking FHR-1 as determined by MLPA were excluded in the statistical analysis.</w:t>
      </w:r>
      <w:r w:rsidR="009B0771">
        <w:rPr>
          <w:rFonts w:ascii="Arial" w:hAnsi="Arial" w:cs="Arial"/>
          <w:sz w:val="16"/>
          <w:szCs w:val="20"/>
          <w:lang w:val="en-GB"/>
        </w:rPr>
        <w:br/>
        <w:t>Abbreviations: Gene copy number variation (CNV),</w:t>
      </w:r>
      <w:r w:rsidR="009543A6">
        <w:rPr>
          <w:rFonts w:ascii="Arial" w:hAnsi="Arial" w:cs="Arial"/>
          <w:sz w:val="16"/>
          <w:szCs w:val="20"/>
          <w:lang w:val="en-GB"/>
        </w:rPr>
        <w:t xml:space="preserve"> Interquartile range (IQR), Standard deviation (SD) </w:t>
      </w:r>
    </w:p>
    <w:p w14:paraId="115DCBDD" w14:textId="11A32792" w:rsidR="00FD1169" w:rsidRPr="00EE249E" w:rsidRDefault="00FD1169" w:rsidP="00FD1169">
      <w:pPr>
        <w:pStyle w:val="Caption"/>
        <w:keepNext/>
        <w:rPr>
          <w:rFonts w:ascii="Arial" w:hAnsi="Arial" w:cs="Arial"/>
          <w:i w:val="0"/>
          <w:iCs w:val="0"/>
          <w:color w:val="auto"/>
        </w:rPr>
      </w:pPr>
      <w:r w:rsidRPr="00EE249E">
        <w:rPr>
          <w:rFonts w:ascii="Arial" w:hAnsi="Arial" w:cs="Arial"/>
          <w:b/>
          <w:bCs/>
          <w:i w:val="0"/>
          <w:iCs w:val="0"/>
          <w:color w:val="auto"/>
        </w:rPr>
        <w:lastRenderedPageBreak/>
        <w:t>Table S</w:t>
      </w:r>
      <w:r w:rsidR="006D5158" w:rsidRPr="00EE249E">
        <w:rPr>
          <w:rFonts w:ascii="Arial" w:hAnsi="Arial" w:cs="Arial"/>
          <w:b/>
          <w:bCs/>
          <w:i w:val="0"/>
          <w:iCs w:val="0"/>
          <w:color w:val="auto"/>
        </w:rPr>
        <w:t>2</w:t>
      </w:r>
      <w:r w:rsidRPr="00EE249E">
        <w:rPr>
          <w:rFonts w:ascii="Arial" w:hAnsi="Arial" w:cs="Arial"/>
          <w:b/>
          <w:bCs/>
          <w:i w:val="0"/>
          <w:iCs w:val="0"/>
          <w:color w:val="auto"/>
        </w:rPr>
        <w:t>:</w:t>
      </w:r>
      <w:r w:rsidRPr="00EE249E">
        <w:rPr>
          <w:rFonts w:ascii="Arial" w:hAnsi="Arial" w:cs="Arial"/>
          <w:i w:val="0"/>
          <w:iCs w:val="0"/>
          <w:color w:val="auto"/>
        </w:rPr>
        <w:t xml:space="preserve"> Sequence of MLPA probe to </w:t>
      </w:r>
      <w:r w:rsidRPr="00EE249E">
        <w:rPr>
          <w:rFonts w:ascii="Arial" w:eastAsiaTheme="minorEastAsia" w:hAnsi="Arial" w:cs="Arial"/>
          <w:i w:val="0"/>
          <w:iCs w:val="0"/>
          <w:color w:val="auto"/>
          <w:sz w:val="20"/>
          <w:szCs w:val="20"/>
        </w:rPr>
        <w:t xml:space="preserve">detect the minor alle variant of the SNP </w:t>
      </w:r>
      <w:r w:rsidRPr="00EE249E">
        <w:rPr>
          <w:rFonts w:ascii="Arial" w:eastAsiaTheme="minorEastAsia" w:hAnsi="Arial" w:cs="Arial"/>
          <w:i w:val="0"/>
          <w:iCs w:val="0"/>
          <w:color w:val="auto"/>
          <w:sz w:val="20"/>
          <w:szCs w:val="20"/>
          <w:lang w:eastAsia="en-US"/>
        </w:rPr>
        <w:t xml:space="preserve">rs4085749 in </w:t>
      </w:r>
      <w:r w:rsidRPr="00EE249E">
        <w:rPr>
          <w:rFonts w:ascii="Arial" w:eastAsiaTheme="minorEastAsia" w:hAnsi="Arial" w:cs="Arial"/>
          <w:color w:val="auto"/>
          <w:sz w:val="20"/>
          <w:szCs w:val="20"/>
          <w:lang w:eastAsia="en-US"/>
        </w:rPr>
        <w:t>CFHR2</w:t>
      </w:r>
      <w:r w:rsidRPr="00EE249E">
        <w:rPr>
          <w:rFonts w:ascii="Arial" w:eastAsiaTheme="minorEastAsia" w:hAnsi="Arial" w:cs="Arial"/>
          <w:i w:val="0"/>
          <w:iCs w:val="0"/>
          <w:color w:val="auto"/>
          <w:sz w:val="20"/>
          <w:szCs w:val="20"/>
          <w:lang w:eastAsia="en-US"/>
        </w:rPr>
        <w:t>.</w:t>
      </w:r>
    </w:p>
    <w:tbl>
      <w:tblPr>
        <w:tblStyle w:val="TableGrid"/>
        <w:tblW w:w="0" w:type="auto"/>
        <w:tblLook w:val="04A0" w:firstRow="1" w:lastRow="0" w:firstColumn="1" w:lastColumn="0" w:noHBand="0" w:noVBand="1"/>
      </w:tblPr>
      <w:tblGrid>
        <w:gridCol w:w="1403"/>
        <w:gridCol w:w="5811"/>
      </w:tblGrid>
      <w:tr w:rsidR="00FD1169" w:rsidRPr="00EE249E" w14:paraId="40D9685D" w14:textId="77777777" w:rsidTr="000F4DDF">
        <w:trPr>
          <w:trHeight w:val="44"/>
        </w:trPr>
        <w:tc>
          <w:tcPr>
            <w:tcW w:w="1403" w:type="dxa"/>
          </w:tcPr>
          <w:p w14:paraId="566284D9" w14:textId="77777777" w:rsidR="00FD1169" w:rsidRPr="00EE249E" w:rsidRDefault="00FD1169" w:rsidP="000F4DDF">
            <w:pPr>
              <w:pStyle w:val="MDPI41tablecaption"/>
              <w:ind w:left="0"/>
              <w:rPr>
                <w:rFonts w:ascii="Arial" w:hAnsi="Arial" w:cs="Arial"/>
                <w:sz w:val="14"/>
                <w:szCs w:val="18"/>
                <w:lang w:val="en-GB"/>
              </w:rPr>
            </w:pPr>
            <w:r w:rsidRPr="00EE249E">
              <w:rPr>
                <w:rFonts w:ascii="Arial" w:hAnsi="Arial" w:cs="Arial"/>
                <w:sz w:val="14"/>
                <w:szCs w:val="18"/>
                <w:lang w:val="en-GB"/>
              </w:rPr>
              <w:t>Left probe oligo:</w:t>
            </w:r>
          </w:p>
        </w:tc>
        <w:tc>
          <w:tcPr>
            <w:tcW w:w="5811" w:type="dxa"/>
          </w:tcPr>
          <w:p w14:paraId="1C8F4F14" w14:textId="77777777" w:rsidR="00FD1169" w:rsidRPr="00EE249E" w:rsidRDefault="00FD1169" w:rsidP="000F4DDF">
            <w:pPr>
              <w:pStyle w:val="MDPI41tablecaption"/>
              <w:ind w:left="0"/>
              <w:rPr>
                <w:rFonts w:ascii="Arial" w:hAnsi="Arial" w:cs="Arial"/>
                <w:sz w:val="12"/>
                <w:szCs w:val="12"/>
                <w:lang w:val="en-GB"/>
              </w:rPr>
            </w:pPr>
            <w:r w:rsidRPr="00EE249E">
              <w:rPr>
                <w:rFonts w:ascii="Arial" w:hAnsi="Arial" w:cs="Arial"/>
                <w:snapToGrid w:val="0"/>
                <w:sz w:val="12"/>
                <w:szCs w:val="12"/>
                <w:lang w:val="en-GB"/>
              </w:rPr>
              <w:t>GGGTTCCCTAAGGGTTGGACCGACGTGTCTCTGAGAGAACAACATTGCACTTACTAGTGGACCTA</w:t>
            </w:r>
          </w:p>
        </w:tc>
      </w:tr>
      <w:tr w:rsidR="00FD1169" w:rsidRPr="00EE249E" w14:paraId="28F19F69" w14:textId="77777777" w:rsidTr="000F4DDF">
        <w:tc>
          <w:tcPr>
            <w:tcW w:w="1403" w:type="dxa"/>
          </w:tcPr>
          <w:p w14:paraId="6F85972B" w14:textId="77777777" w:rsidR="00FD1169" w:rsidRPr="00EE249E" w:rsidRDefault="00FD1169" w:rsidP="000F4DDF">
            <w:pPr>
              <w:pStyle w:val="MDPI41tablecaption"/>
              <w:ind w:left="0"/>
              <w:rPr>
                <w:rFonts w:ascii="Arial" w:hAnsi="Arial" w:cs="Arial"/>
                <w:sz w:val="14"/>
                <w:szCs w:val="18"/>
                <w:lang w:val="en-GB"/>
              </w:rPr>
            </w:pPr>
            <w:r w:rsidRPr="00EE249E">
              <w:rPr>
                <w:rFonts w:ascii="Arial" w:hAnsi="Arial" w:cs="Arial"/>
                <w:sz w:val="14"/>
                <w:szCs w:val="18"/>
                <w:lang w:val="en-GB"/>
              </w:rPr>
              <w:t>Right probe oligo:</w:t>
            </w:r>
          </w:p>
        </w:tc>
        <w:tc>
          <w:tcPr>
            <w:tcW w:w="5811" w:type="dxa"/>
          </w:tcPr>
          <w:p w14:paraId="73052F39" w14:textId="77777777" w:rsidR="00FD1169" w:rsidRPr="00EE249E" w:rsidRDefault="00FD1169" w:rsidP="000F4DDF">
            <w:pPr>
              <w:pStyle w:val="MDPI41tablecaption"/>
              <w:ind w:left="0"/>
              <w:rPr>
                <w:rFonts w:ascii="Arial" w:hAnsi="Arial" w:cs="Arial"/>
                <w:sz w:val="12"/>
                <w:szCs w:val="12"/>
                <w:lang w:val="en-GB"/>
              </w:rPr>
            </w:pPr>
            <w:r w:rsidRPr="00EE249E">
              <w:rPr>
                <w:rFonts w:ascii="Arial" w:hAnsi="Arial" w:cs="Arial"/>
                <w:snapToGrid w:val="0"/>
                <w:sz w:val="12"/>
                <w:szCs w:val="12"/>
                <w:lang w:val="en-GB"/>
              </w:rPr>
              <w:t>CATTTGGGAGGAGTGGACCAGCCCCGTTCTACAGCCTCTAGATTGGATCTTGCTGGCAC</w:t>
            </w:r>
          </w:p>
        </w:tc>
      </w:tr>
    </w:tbl>
    <w:p w14:paraId="1BD8BB07" w14:textId="77777777" w:rsidR="00F94565" w:rsidRPr="00EE249E" w:rsidRDefault="00F94565" w:rsidP="00E143D1">
      <w:pPr>
        <w:pStyle w:val="MDPI41tablecaption"/>
        <w:ind w:left="0"/>
        <w:rPr>
          <w:rFonts w:ascii="Arial" w:hAnsi="Arial" w:cs="Arial"/>
        </w:rPr>
      </w:pPr>
    </w:p>
    <w:sectPr w:rsidR="00F94565" w:rsidRPr="00EE249E" w:rsidSect="004D621C">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49EC1" w14:textId="77777777" w:rsidR="00D877CF" w:rsidRDefault="00D877CF" w:rsidP="000B5DBB">
      <w:r>
        <w:separator/>
      </w:r>
    </w:p>
  </w:endnote>
  <w:endnote w:type="continuationSeparator" w:id="0">
    <w:p w14:paraId="36A1F6E9" w14:textId="77777777" w:rsidR="00D877CF" w:rsidRDefault="00D877CF" w:rsidP="000B5DBB">
      <w:r>
        <w:continuationSeparator/>
      </w:r>
    </w:p>
  </w:endnote>
  <w:endnote w:type="continuationNotice" w:id="1">
    <w:p w14:paraId="13EF6582" w14:textId="77777777" w:rsidR="00D877CF" w:rsidRDefault="00D87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0758386"/>
      <w:docPartObj>
        <w:docPartGallery w:val="Page Numbers (Bottom of Page)"/>
        <w:docPartUnique/>
      </w:docPartObj>
    </w:sdtPr>
    <w:sdtEndPr>
      <w:rPr>
        <w:noProof/>
      </w:rPr>
    </w:sdtEndPr>
    <w:sdtContent>
      <w:p w14:paraId="15399C54" w14:textId="1AC25E0D" w:rsidR="000B5DBB" w:rsidRDefault="000B5D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42C21F" w14:textId="77777777" w:rsidR="000B5DBB" w:rsidRDefault="000B5D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737A8" w14:textId="77777777" w:rsidR="00D877CF" w:rsidRDefault="00D877CF" w:rsidP="000B5DBB">
      <w:r>
        <w:separator/>
      </w:r>
    </w:p>
  </w:footnote>
  <w:footnote w:type="continuationSeparator" w:id="0">
    <w:p w14:paraId="74BCED99" w14:textId="77777777" w:rsidR="00D877CF" w:rsidRDefault="00D877CF" w:rsidP="000B5DBB">
      <w:r>
        <w:continuationSeparator/>
      </w:r>
    </w:p>
  </w:footnote>
  <w:footnote w:type="continuationNotice" w:id="1">
    <w:p w14:paraId="40033DCE" w14:textId="77777777" w:rsidR="00D877CF" w:rsidRDefault="00D877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20CC1"/>
    <w:multiLevelType w:val="multilevel"/>
    <w:tmpl w:val="A2FE6F32"/>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Palatino Linotype" w:eastAsia="Times New Roman" w:hAnsi="Palatino Linotype"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941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565"/>
    <w:rsid w:val="00020F3A"/>
    <w:rsid w:val="000257CB"/>
    <w:rsid w:val="00026F40"/>
    <w:rsid w:val="000412FF"/>
    <w:rsid w:val="0005508F"/>
    <w:rsid w:val="00072326"/>
    <w:rsid w:val="00083585"/>
    <w:rsid w:val="000B27DA"/>
    <w:rsid w:val="000B5DBB"/>
    <w:rsid w:val="000C3BDB"/>
    <w:rsid w:val="000D163F"/>
    <w:rsid w:val="000F4DDF"/>
    <w:rsid w:val="001010DC"/>
    <w:rsid w:val="0011505F"/>
    <w:rsid w:val="00157DAF"/>
    <w:rsid w:val="00171625"/>
    <w:rsid w:val="0018777D"/>
    <w:rsid w:val="0019278B"/>
    <w:rsid w:val="00197F09"/>
    <w:rsid w:val="001B0ED7"/>
    <w:rsid w:val="001C3EAF"/>
    <w:rsid w:val="001D3CF3"/>
    <w:rsid w:val="001E5B0A"/>
    <w:rsid w:val="001F5393"/>
    <w:rsid w:val="001F7EDF"/>
    <w:rsid w:val="0020133B"/>
    <w:rsid w:val="00201A57"/>
    <w:rsid w:val="002033AD"/>
    <w:rsid w:val="00212192"/>
    <w:rsid w:val="00227B8C"/>
    <w:rsid w:val="00270B39"/>
    <w:rsid w:val="00271A7A"/>
    <w:rsid w:val="002847BD"/>
    <w:rsid w:val="0028608E"/>
    <w:rsid w:val="00291523"/>
    <w:rsid w:val="00297D4E"/>
    <w:rsid w:val="002A12DF"/>
    <w:rsid w:val="002B4D3B"/>
    <w:rsid w:val="002B5544"/>
    <w:rsid w:val="002C37E4"/>
    <w:rsid w:val="002E47E2"/>
    <w:rsid w:val="00304EA5"/>
    <w:rsid w:val="003067CF"/>
    <w:rsid w:val="003104F0"/>
    <w:rsid w:val="00317365"/>
    <w:rsid w:val="0033278E"/>
    <w:rsid w:val="00373156"/>
    <w:rsid w:val="003A4FCE"/>
    <w:rsid w:val="003C2D19"/>
    <w:rsid w:val="003C4351"/>
    <w:rsid w:val="003D3538"/>
    <w:rsid w:val="003F608E"/>
    <w:rsid w:val="0040696A"/>
    <w:rsid w:val="00413C38"/>
    <w:rsid w:val="004219F3"/>
    <w:rsid w:val="004231BA"/>
    <w:rsid w:val="004255B0"/>
    <w:rsid w:val="0043151D"/>
    <w:rsid w:val="00434CBD"/>
    <w:rsid w:val="004A0A5F"/>
    <w:rsid w:val="004A0DF2"/>
    <w:rsid w:val="004C415B"/>
    <w:rsid w:val="004C47AE"/>
    <w:rsid w:val="004C7324"/>
    <w:rsid w:val="004D621C"/>
    <w:rsid w:val="004E734F"/>
    <w:rsid w:val="00500C09"/>
    <w:rsid w:val="00506321"/>
    <w:rsid w:val="0052628B"/>
    <w:rsid w:val="0053373B"/>
    <w:rsid w:val="005405C0"/>
    <w:rsid w:val="005679F6"/>
    <w:rsid w:val="005718E8"/>
    <w:rsid w:val="00584450"/>
    <w:rsid w:val="0058696B"/>
    <w:rsid w:val="005D4099"/>
    <w:rsid w:val="00606BE2"/>
    <w:rsid w:val="00616B82"/>
    <w:rsid w:val="00617058"/>
    <w:rsid w:val="00634F72"/>
    <w:rsid w:val="00637041"/>
    <w:rsid w:val="00670689"/>
    <w:rsid w:val="00677AE6"/>
    <w:rsid w:val="00694F0F"/>
    <w:rsid w:val="006A370E"/>
    <w:rsid w:val="006A6491"/>
    <w:rsid w:val="006C5FCF"/>
    <w:rsid w:val="006C7C63"/>
    <w:rsid w:val="006D5158"/>
    <w:rsid w:val="00701DB3"/>
    <w:rsid w:val="007051A3"/>
    <w:rsid w:val="00713770"/>
    <w:rsid w:val="0071642E"/>
    <w:rsid w:val="00717418"/>
    <w:rsid w:val="00743FEA"/>
    <w:rsid w:val="00762288"/>
    <w:rsid w:val="00772B74"/>
    <w:rsid w:val="00796376"/>
    <w:rsid w:val="00797849"/>
    <w:rsid w:val="007A2C8C"/>
    <w:rsid w:val="007C21D6"/>
    <w:rsid w:val="007C72EA"/>
    <w:rsid w:val="007E251D"/>
    <w:rsid w:val="008021DE"/>
    <w:rsid w:val="00821471"/>
    <w:rsid w:val="00821CF5"/>
    <w:rsid w:val="00825B51"/>
    <w:rsid w:val="0085485C"/>
    <w:rsid w:val="008574F4"/>
    <w:rsid w:val="00884A7A"/>
    <w:rsid w:val="00890EB1"/>
    <w:rsid w:val="008B3041"/>
    <w:rsid w:val="008D048C"/>
    <w:rsid w:val="008F0F5B"/>
    <w:rsid w:val="00900947"/>
    <w:rsid w:val="009018ED"/>
    <w:rsid w:val="00927166"/>
    <w:rsid w:val="00936038"/>
    <w:rsid w:val="00936249"/>
    <w:rsid w:val="0094455A"/>
    <w:rsid w:val="009470C3"/>
    <w:rsid w:val="009543A6"/>
    <w:rsid w:val="00972E37"/>
    <w:rsid w:val="00976EE5"/>
    <w:rsid w:val="00995E40"/>
    <w:rsid w:val="009B0771"/>
    <w:rsid w:val="009D1E09"/>
    <w:rsid w:val="009D5868"/>
    <w:rsid w:val="009E4FC8"/>
    <w:rsid w:val="009F3568"/>
    <w:rsid w:val="00A10C24"/>
    <w:rsid w:val="00A139BD"/>
    <w:rsid w:val="00A500B0"/>
    <w:rsid w:val="00A52730"/>
    <w:rsid w:val="00A674E4"/>
    <w:rsid w:val="00A96BB0"/>
    <w:rsid w:val="00A973A6"/>
    <w:rsid w:val="00AB0228"/>
    <w:rsid w:val="00AB76AE"/>
    <w:rsid w:val="00AC11EB"/>
    <w:rsid w:val="00AC5961"/>
    <w:rsid w:val="00AE5B02"/>
    <w:rsid w:val="00B1346E"/>
    <w:rsid w:val="00B22F76"/>
    <w:rsid w:val="00B23E7E"/>
    <w:rsid w:val="00B46AA8"/>
    <w:rsid w:val="00B50C8B"/>
    <w:rsid w:val="00B511AD"/>
    <w:rsid w:val="00B6324C"/>
    <w:rsid w:val="00BB6E7A"/>
    <w:rsid w:val="00BC2520"/>
    <w:rsid w:val="00BC2B37"/>
    <w:rsid w:val="00BD42F8"/>
    <w:rsid w:val="00BE3318"/>
    <w:rsid w:val="00BE56EB"/>
    <w:rsid w:val="00BF209B"/>
    <w:rsid w:val="00BF5DE6"/>
    <w:rsid w:val="00C02013"/>
    <w:rsid w:val="00C31B37"/>
    <w:rsid w:val="00CA04F5"/>
    <w:rsid w:val="00CC5F91"/>
    <w:rsid w:val="00CE61CF"/>
    <w:rsid w:val="00D14BBB"/>
    <w:rsid w:val="00D263D2"/>
    <w:rsid w:val="00D542BF"/>
    <w:rsid w:val="00D56988"/>
    <w:rsid w:val="00D61903"/>
    <w:rsid w:val="00D75793"/>
    <w:rsid w:val="00D80EDA"/>
    <w:rsid w:val="00D877CF"/>
    <w:rsid w:val="00DA6BB7"/>
    <w:rsid w:val="00DC37A2"/>
    <w:rsid w:val="00DE1E85"/>
    <w:rsid w:val="00DE1F0C"/>
    <w:rsid w:val="00DE70BD"/>
    <w:rsid w:val="00DF02D0"/>
    <w:rsid w:val="00E0272D"/>
    <w:rsid w:val="00E107C1"/>
    <w:rsid w:val="00E12CC9"/>
    <w:rsid w:val="00E143D1"/>
    <w:rsid w:val="00E2026D"/>
    <w:rsid w:val="00E331D3"/>
    <w:rsid w:val="00E55386"/>
    <w:rsid w:val="00E71269"/>
    <w:rsid w:val="00E76D87"/>
    <w:rsid w:val="00E933D7"/>
    <w:rsid w:val="00EE249E"/>
    <w:rsid w:val="00EE7FAF"/>
    <w:rsid w:val="00F16899"/>
    <w:rsid w:val="00F25394"/>
    <w:rsid w:val="00F35F68"/>
    <w:rsid w:val="00F37CC9"/>
    <w:rsid w:val="00F817E6"/>
    <w:rsid w:val="00F94565"/>
    <w:rsid w:val="00FB0B3C"/>
    <w:rsid w:val="00FC30CA"/>
    <w:rsid w:val="00FC31FF"/>
    <w:rsid w:val="00FD1169"/>
    <w:rsid w:val="00FE10A5"/>
    <w:rsid w:val="00FF0723"/>
    <w:rsid w:val="00FF480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B35BF"/>
  <w15:chartTrackingRefBased/>
  <w15:docId w15:val="{5B113881-91A0-DE48-98D6-D83BC6D3B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565"/>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F9456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9456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94565"/>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94565"/>
    <w:pPr>
      <w:keepNext/>
      <w:keepLines/>
      <w:spacing w:before="80" w:after="40" w:line="259" w:lineRule="auto"/>
      <w:outlineLvl w:val="3"/>
    </w:pPr>
    <w:rPr>
      <w:rFonts w:eastAsiaTheme="majorEastAsia"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F94565"/>
    <w:pPr>
      <w:keepNext/>
      <w:keepLines/>
      <w:spacing w:before="80" w:after="40" w:line="259" w:lineRule="auto"/>
      <w:outlineLvl w:val="4"/>
    </w:pPr>
    <w:rPr>
      <w:rFonts w:eastAsiaTheme="majorEastAsia"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F94565"/>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F94565"/>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F94565"/>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F94565"/>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5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45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45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45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45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45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45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45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4565"/>
    <w:rPr>
      <w:rFonts w:eastAsiaTheme="majorEastAsia" w:cstheme="majorBidi"/>
      <w:color w:val="272727" w:themeColor="text1" w:themeTint="D8"/>
    </w:rPr>
  </w:style>
  <w:style w:type="paragraph" w:styleId="Title">
    <w:name w:val="Title"/>
    <w:basedOn w:val="Normal"/>
    <w:next w:val="Normal"/>
    <w:link w:val="TitleChar"/>
    <w:uiPriority w:val="10"/>
    <w:qFormat/>
    <w:rsid w:val="00F9456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945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4565"/>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945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4565"/>
    <w:pPr>
      <w:spacing w:before="160" w:after="160" w:line="259" w:lineRule="auto"/>
      <w:jc w:val="center"/>
    </w:pPr>
    <w:rPr>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F94565"/>
    <w:rPr>
      <w:i/>
      <w:iCs/>
      <w:color w:val="404040" w:themeColor="text1" w:themeTint="BF"/>
    </w:rPr>
  </w:style>
  <w:style w:type="paragraph" w:styleId="ListParagraph">
    <w:name w:val="List Paragraph"/>
    <w:basedOn w:val="Normal"/>
    <w:uiPriority w:val="34"/>
    <w:qFormat/>
    <w:rsid w:val="00F94565"/>
    <w:pPr>
      <w:spacing w:after="160" w:line="259" w:lineRule="auto"/>
      <w:ind w:left="720"/>
      <w:contextualSpacing/>
    </w:pPr>
    <w:rPr>
      <w:kern w:val="2"/>
      <w:sz w:val="22"/>
      <w:szCs w:val="22"/>
      <w14:ligatures w14:val="standardContextual"/>
    </w:rPr>
  </w:style>
  <w:style w:type="character" w:styleId="IntenseEmphasis">
    <w:name w:val="Intense Emphasis"/>
    <w:basedOn w:val="DefaultParagraphFont"/>
    <w:uiPriority w:val="21"/>
    <w:qFormat/>
    <w:rsid w:val="00F94565"/>
    <w:rPr>
      <w:i/>
      <w:iCs/>
      <w:color w:val="2F5496" w:themeColor="accent1" w:themeShade="BF"/>
    </w:rPr>
  </w:style>
  <w:style w:type="paragraph" w:styleId="IntenseQuote">
    <w:name w:val="Intense Quote"/>
    <w:basedOn w:val="Normal"/>
    <w:next w:val="Normal"/>
    <w:link w:val="IntenseQuoteChar"/>
    <w:uiPriority w:val="30"/>
    <w:qFormat/>
    <w:rsid w:val="00F94565"/>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F94565"/>
    <w:rPr>
      <w:i/>
      <w:iCs/>
      <w:color w:val="2F5496" w:themeColor="accent1" w:themeShade="BF"/>
    </w:rPr>
  </w:style>
  <w:style w:type="character" w:styleId="IntenseReference">
    <w:name w:val="Intense Reference"/>
    <w:basedOn w:val="DefaultParagraphFont"/>
    <w:uiPriority w:val="32"/>
    <w:qFormat/>
    <w:rsid w:val="00F94565"/>
    <w:rPr>
      <w:b/>
      <w:bCs/>
      <w:smallCaps/>
      <w:color w:val="2F5496" w:themeColor="accent1" w:themeShade="BF"/>
      <w:spacing w:val="5"/>
    </w:rPr>
  </w:style>
  <w:style w:type="paragraph" w:customStyle="1" w:styleId="MDPI41tablecaption">
    <w:name w:val="MDPI_4.1_table_caption"/>
    <w:qFormat/>
    <w:rsid w:val="00F94565"/>
    <w:pPr>
      <w:adjustRightInd w:val="0"/>
      <w:snapToGrid w:val="0"/>
      <w:spacing w:before="240" w:after="120" w:line="228" w:lineRule="auto"/>
      <w:ind w:left="2608"/>
    </w:pPr>
    <w:rPr>
      <w:rFonts w:ascii="Palatino Linotype" w:eastAsia="Times New Roman" w:hAnsi="Palatino Linotype" w:cs="Cordia New"/>
      <w:color w:val="000000"/>
      <w:kern w:val="0"/>
      <w:sz w:val="18"/>
      <w:lang w:val="en-US" w:eastAsia="de-DE" w:bidi="en-US"/>
      <w14:ligatures w14:val="none"/>
    </w:rPr>
  </w:style>
  <w:style w:type="table" w:styleId="TableGrid">
    <w:name w:val="Table Grid"/>
    <w:basedOn w:val="TableNormal"/>
    <w:uiPriority w:val="39"/>
    <w:rsid w:val="00F9456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94565"/>
    <w:pPr>
      <w:spacing w:after="200"/>
      <w:jc w:val="both"/>
    </w:pPr>
    <w:rPr>
      <w:rFonts w:ascii="Palatino Linotype" w:eastAsia="SimSun" w:hAnsi="Palatino Linotype" w:cs="Times New Roman"/>
      <w:i/>
      <w:iCs/>
      <w:color w:val="44546A" w:themeColor="text2"/>
      <w:sz w:val="18"/>
      <w:szCs w:val="18"/>
      <w:lang w:eastAsia="zh-CN"/>
    </w:rPr>
  </w:style>
  <w:style w:type="paragraph" w:customStyle="1" w:styleId="MDPI21heading1">
    <w:name w:val="MDPI_2.1_heading1"/>
    <w:qFormat/>
    <w:rsid w:val="00F94565"/>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lang w:val="en-US" w:eastAsia="de-DE" w:bidi="en-US"/>
      <w14:ligatures w14:val="none"/>
    </w:rPr>
  </w:style>
  <w:style w:type="character" w:styleId="LineNumber">
    <w:name w:val="line number"/>
    <w:basedOn w:val="DefaultParagraphFont"/>
    <w:uiPriority w:val="99"/>
    <w:semiHidden/>
    <w:unhideWhenUsed/>
    <w:rsid w:val="00F94565"/>
  </w:style>
  <w:style w:type="paragraph" w:styleId="NormalWeb">
    <w:name w:val="Normal (Web)"/>
    <w:basedOn w:val="Normal"/>
    <w:uiPriority w:val="99"/>
    <w:semiHidden/>
    <w:unhideWhenUsed/>
    <w:rsid w:val="005718E8"/>
    <w:pPr>
      <w:spacing w:before="100" w:beforeAutospacing="1" w:after="100" w:afterAutospacing="1"/>
    </w:pPr>
    <w:rPr>
      <w:rFonts w:ascii="Times New Roman" w:eastAsia="Times New Roman" w:hAnsi="Times New Roman" w:cs="Times New Roman"/>
      <w:lang w:val="en-US"/>
    </w:rPr>
  </w:style>
  <w:style w:type="character" w:styleId="CommentReference">
    <w:name w:val="annotation reference"/>
    <w:basedOn w:val="DefaultParagraphFont"/>
    <w:uiPriority w:val="99"/>
    <w:semiHidden/>
    <w:unhideWhenUsed/>
    <w:rsid w:val="00171625"/>
    <w:rPr>
      <w:sz w:val="16"/>
      <w:szCs w:val="16"/>
    </w:rPr>
  </w:style>
  <w:style w:type="paragraph" w:styleId="CommentText">
    <w:name w:val="annotation text"/>
    <w:basedOn w:val="Normal"/>
    <w:link w:val="CommentTextChar"/>
    <w:uiPriority w:val="99"/>
    <w:unhideWhenUsed/>
    <w:rsid w:val="00171625"/>
    <w:rPr>
      <w:sz w:val="20"/>
      <w:szCs w:val="20"/>
    </w:rPr>
  </w:style>
  <w:style w:type="character" w:customStyle="1" w:styleId="CommentTextChar">
    <w:name w:val="Comment Text Char"/>
    <w:basedOn w:val="DefaultParagraphFont"/>
    <w:link w:val="CommentText"/>
    <w:uiPriority w:val="99"/>
    <w:rsid w:val="0017162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71625"/>
    <w:rPr>
      <w:b/>
      <w:bCs/>
    </w:rPr>
  </w:style>
  <w:style w:type="character" w:customStyle="1" w:styleId="CommentSubjectChar">
    <w:name w:val="Comment Subject Char"/>
    <w:basedOn w:val="CommentTextChar"/>
    <w:link w:val="CommentSubject"/>
    <w:uiPriority w:val="99"/>
    <w:semiHidden/>
    <w:rsid w:val="00171625"/>
    <w:rPr>
      <w:b/>
      <w:bCs/>
      <w:kern w:val="0"/>
      <w:sz w:val="20"/>
      <w:szCs w:val="20"/>
      <w14:ligatures w14:val="none"/>
    </w:rPr>
  </w:style>
  <w:style w:type="paragraph" w:styleId="Header">
    <w:name w:val="header"/>
    <w:basedOn w:val="Normal"/>
    <w:link w:val="HeaderChar"/>
    <w:uiPriority w:val="99"/>
    <w:unhideWhenUsed/>
    <w:rsid w:val="000B5DBB"/>
    <w:pPr>
      <w:tabs>
        <w:tab w:val="center" w:pos="4536"/>
        <w:tab w:val="right" w:pos="9072"/>
      </w:tabs>
    </w:pPr>
  </w:style>
  <w:style w:type="character" w:customStyle="1" w:styleId="HeaderChar">
    <w:name w:val="Header Char"/>
    <w:basedOn w:val="DefaultParagraphFont"/>
    <w:link w:val="Header"/>
    <w:uiPriority w:val="99"/>
    <w:rsid w:val="000B5DBB"/>
    <w:rPr>
      <w:kern w:val="0"/>
      <w:sz w:val="24"/>
      <w:szCs w:val="24"/>
      <w14:ligatures w14:val="none"/>
    </w:rPr>
  </w:style>
  <w:style w:type="paragraph" w:styleId="Footer">
    <w:name w:val="footer"/>
    <w:basedOn w:val="Normal"/>
    <w:link w:val="FooterChar"/>
    <w:uiPriority w:val="99"/>
    <w:unhideWhenUsed/>
    <w:rsid w:val="000B5DBB"/>
    <w:pPr>
      <w:tabs>
        <w:tab w:val="center" w:pos="4536"/>
        <w:tab w:val="right" w:pos="9072"/>
      </w:tabs>
    </w:pPr>
  </w:style>
  <w:style w:type="character" w:customStyle="1" w:styleId="FooterChar">
    <w:name w:val="Footer Char"/>
    <w:basedOn w:val="DefaultParagraphFont"/>
    <w:link w:val="Footer"/>
    <w:uiPriority w:val="99"/>
    <w:rsid w:val="000B5DBB"/>
    <w:rPr>
      <w:kern w:val="0"/>
      <w:sz w:val="24"/>
      <w:szCs w:val="24"/>
      <w14:ligatures w14:val="none"/>
    </w:rPr>
  </w:style>
  <w:style w:type="paragraph" w:styleId="Revision">
    <w:name w:val="Revision"/>
    <w:hidden/>
    <w:uiPriority w:val="99"/>
    <w:semiHidden/>
    <w:rsid w:val="00797849"/>
    <w:pPr>
      <w:spacing w:after="0" w:line="240" w:lineRule="auto"/>
    </w:pPr>
    <w:rPr>
      <w:kern w:val="0"/>
      <w:sz w:val="24"/>
      <w:szCs w:val="24"/>
      <w14:ligatures w14:val="none"/>
    </w:rPr>
  </w:style>
  <w:style w:type="paragraph" w:customStyle="1" w:styleId="xmsolistparagraph">
    <w:name w:val="x_msolistparagraph"/>
    <w:basedOn w:val="Normal"/>
    <w:rsid w:val="001010DC"/>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98831">
      <w:bodyDiv w:val="1"/>
      <w:marLeft w:val="0"/>
      <w:marRight w:val="0"/>
      <w:marTop w:val="0"/>
      <w:marBottom w:val="0"/>
      <w:divBdr>
        <w:top w:val="none" w:sz="0" w:space="0" w:color="auto"/>
        <w:left w:val="none" w:sz="0" w:space="0" w:color="auto"/>
        <w:bottom w:val="none" w:sz="0" w:space="0" w:color="auto"/>
        <w:right w:val="none" w:sz="0" w:space="0" w:color="auto"/>
      </w:divBdr>
    </w:div>
    <w:div w:id="203100438">
      <w:bodyDiv w:val="1"/>
      <w:marLeft w:val="0"/>
      <w:marRight w:val="0"/>
      <w:marTop w:val="0"/>
      <w:marBottom w:val="0"/>
      <w:divBdr>
        <w:top w:val="none" w:sz="0" w:space="0" w:color="auto"/>
        <w:left w:val="none" w:sz="0" w:space="0" w:color="auto"/>
        <w:bottom w:val="none" w:sz="0" w:space="0" w:color="auto"/>
        <w:right w:val="none" w:sz="0" w:space="0" w:color="auto"/>
      </w:divBdr>
    </w:div>
    <w:div w:id="292950601">
      <w:bodyDiv w:val="1"/>
      <w:marLeft w:val="0"/>
      <w:marRight w:val="0"/>
      <w:marTop w:val="0"/>
      <w:marBottom w:val="0"/>
      <w:divBdr>
        <w:top w:val="none" w:sz="0" w:space="0" w:color="auto"/>
        <w:left w:val="none" w:sz="0" w:space="0" w:color="auto"/>
        <w:bottom w:val="none" w:sz="0" w:space="0" w:color="auto"/>
        <w:right w:val="none" w:sz="0" w:space="0" w:color="auto"/>
      </w:divBdr>
    </w:div>
    <w:div w:id="486436059">
      <w:bodyDiv w:val="1"/>
      <w:marLeft w:val="0"/>
      <w:marRight w:val="0"/>
      <w:marTop w:val="0"/>
      <w:marBottom w:val="0"/>
      <w:divBdr>
        <w:top w:val="none" w:sz="0" w:space="0" w:color="auto"/>
        <w:left w:val="none" w:sz="0" w:space="0" w:color="auto"/>
        <w:bottom w:val="none" w:sz="0" w:space="0" w:color="auto"/>
        <w:right w:val="none" w:sz="0" w:space="0" w:color="auto"/>
      </w:divBdr>
    </w:div>
    <w:div w:id="529226132">
      <w:bodyDiv w:val="1"/>
      <w:marLeft w:val="0"/>
      <w:marRight w:val="0"/>
      <w:marTop w:val="0"/>
      <w:marBottom w:val="0"/>
      <w:divBdr>
        <w:top w:val="none" w:sz="0" w:space="0" w:color="auto"/>
        <w:left w:val="none" w:sz="0" w:space="0" w:color="auto"/>
        <w:bottom w:val="none" w:sz="0" w:space="0" w:color="auto"/>
        <w:right w:val="none" w:sz="0" w:space="0" w:color="auto"/>
      </w:divBdr>
    </w:div>
    <w:div w:id="595091767">
      <w:bodyDiv w:val="1"/>
      <w:marLeft w:val="0"/>
      <w:marRight w:val="0"/>
      <w:marTop w:val="0"/>
      <w:marBottom w:val="0"/>
      <w:divBdr>
        <w:top w:val="none" w:sz="0" w:space="0" w:color="auto"/>
        <w:left w:val="none" w:sz="0" w:space="0" w:color="auto"/>
        <w:bottom w:val="none" w:sz="0" w:space="0" w:color="auto"/>
        <w:right w:val="none" w:sz="0" w:space="0" w:color="auto"/>
      </w:divBdr>
    </w:div>
    <w:div w:id="995456791">
      <w:bodyDiv w:val="1"/>
      <w:marLeft w:val="0"/>
      <w:marRight w:val="0"/>
      <w:marTop w:val="0"/>
      <w:marBottom w:val="0"/>
      <w:divBdr>
        <w:top w:val="none" w:sz="0" w:space="0" w:color="auto"/>
        <w:left w:val="none" w:sz="0" w:space="0" w:color="auto"/>
        <w:bottom w:val="none" w:sz="0" w:space="0" w:color="auto"/>
        <w:right w:val="none" w:sz="0" w:space="0" w:color="auto"/>
      </w:divBdr>
    </w:div>
    <w:div w:id="1668481467">
      <w:bodyDiv w:val="1"/>
      <w:marLeft w:val="0"/>
      <w:marRight w:val="0"/>
      <w:marTop w:val="0"/>
      <w:marBottom w:val="0"/>
      <w:divBdr>
        <w:top w:val="none" w:sz="0" w:space="0" w:color="auto"/>
        <w:left w:val="none" w:sz="0" w:space="0" w:color="auto"/>
        <w:bottom w:val="none" w:sz="0" w:space="0" w:color="auto"/>
        <w:right w:val="none" w:sz="0" w:space="0" w:color="auto"/>
      </w:divBdr>
    </w:div>
    <w:div w:id="1854610134">
      <w:bodyDiv w:val="1"/>
      <w:marLeft w:val="0"/>
      <w:marRight w:val="0"/>
      <w:marTop w:val="0"/>
      <w:marBottom w:val="0"/>
      <w:divBdr>
        <w:top w:val="none" w:sz="0" w:space="0" w:color="auto"/>
        <w:left w:val="none" w:sz="0" w:space="0" w:color="auto"/>
        <w:bottom w:val="none" w:sz="0" w:space="0" w:color="auto"/>
        <w:right w:val="none" w:sz="0" w:space="0" w:color="auto"/>
      </w:divBdr>
    </w:div>
    <w:div w:id="200003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6248AE2ADDAA45B4439C7B8B3EBA81"/>
        <w:category>
          <w:name w:val="General"/>
          <w:gallery w:val="placeholder"/>
        </w:category>
        <w:types>
          <w:type w:val="bbPlcHdr"/>
        </w:types>
        <w:behaviors>
          <w:behavior w:val="content"/>
        </w:behaviors>
        <w:guid w:val="{E44BE16D-DB5F-1E45-98B1-6FC496352E46}"/>
      </w:docPartPr>
      <w:docPartBody>
        <w:p w:rsidR="003A362D" w:rsidRDefault="003A362D" w:rsidP="003A362D">
          <w:pPr>
            <w:pStyle w:val="276248AE2ADDAA45B4439C7B8B3EBA81"/>
          </w:pPr>
          <w:r w:rsidRPr="00CD0DA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62D"/>
    <w:rsid w:val="00026F40"/>
    <w:rsid w:val="0020133B"/>
    <w:rsid w:val="003144D2"/>
    <w:rsid w:val="003A362D"/>
    <w:rsid w:val="003F608E"/>
    <w:rsid w:val="00594907"/>
    <w:rsid w:val="005C106A"/>
    <w:rsid w:val="005D4099"/>
    <w:rsid w:val="00816D5C"/>
    <w:rsid w:val="00884A7A"/>
    <w:rsid w:val="00B23E7E"/>
    <w:rsid w:val="00DE1E85"/>
    <w:rsid w:val="00E331D3"/>
    <w:rsid w:val="00FF48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362D"/>
    <w:rPr>
      <w:color w:val="666666"/>
    </w:rPr>
  </w:style>
  <w:style w:type="paragraph" w:customStyle="1" w:styleId="276248AE2ADDAA45B4439C7B8B3EBA81">
    <w:name w:val="276248AE2ADDAA45B4439C7B8B3EBA81"/>
    <w:rsid w:val="003A36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F9DBF-A3A6-47D6-AA31-824C99A02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TotalTime>
  <Pages>7</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Sanquin</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Veuskens, Bert</dc:creator>
  <cp:keywords/>
  <dc:description/>
  <cp:lastModifiedBy>Veuskens, Bert</cp:lastModifiedBy>
  <cp:revision>155</cp:revision>
  <cp:lastPrinted>2025-02-14T08:09:00Z</cp:lastPrinted>
  <dcterms:created xsi:type="dcterms:W3CDTF">2024-07-18T02:54:00Z</dcterms:created>
  <dcterms:modified xsi:type="dcterms:W3CDTF">2025-02-28T17:18:00Z</dcterms:modified>
</cp:coreProperties>
</file>