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5DBB0A" w14:textId="24A95E28" w:rsidR="004F515D" w:rsidRPr="008C4C97" w:rsidRDefault="005D07FE" w:rsidP="0010733B">
      <w:pPr>
        <w:pStyle w:val="Title"/>
        <w:jc w:val="center"/>
        <w:rPr>
          <w:rFonts w:ascii="Arial" w:hAnsi="Arial" w:cs="Arial"/>
          <w:b/>
          <w:sz w:val="24"/>
          <w:szCs w:val="24"/>
        </w:rPr>
      </w:pPr>
      <w:r w:rsidRPr="008C4C97">
        <w:rPr>
          <w:rFonts w:ascii="Arial" w:hAnsi="Arial" w:cs="Arial"/>
          <w:b/>
          <w:sz w:val="24"/>
          <w:szCs w:val="24"/>
        </w:rPr>
        <w:t xml:space="preserve">A 3D Gut-Brain-Vascular Platform for </w:t>
      </w:r>
      <w:r w:rsidR="00C67E9B" w:rsidRPr="008C4C97">
        <w:rPr>
          <w:rFonts w:ascii="Arial" w:hAnsi="Arial" w:cs="Arial"/>
          <w:b/>
          <w:sz w:val="24"/>
          <w:szCs w:val="24"/>
        </w:rPr>
        <w:t>Bidirectional</w:t>
      </w:r>
      <w:r w:rsidRPr="008C4C97">
        <w:rPr>
          <w:rFonts w:ascii="Arial" w:hAnsi="Arial" w:cs="Arial"/>
          <w:b/>
          <w:sz w:val="24"/>
          <w:szCs w:val="24"/>
        </w:rPr>
        <w:t xml:space="preserve"> Crosstalk in Gut-</w:t>
      </w:r>
      <w:proofErr w:type="spellStart"/>
      <w:r w:rsidRPr="008C4C97">
        <w:rPr>
          <w:rFonts w:ascii="Arial" w:hAnsi="Arial" w:cs="Arial"/>
          <w:b/>
          <w:sz w:val="24"/>
          <w:szCs w:val="24"/>
        </w:rPr>
        <w:t>Neuropathogenesis</w:t>
      </w:r>
      <w:proofErr w:type="spellEnd"/>
    </w:p>
    <w:p w14:paraId="52DD1D89" w14:textId="77777777" w:rsidR="00455F60" w:rsidRPr="008C4C97" w:rsidRDefault="00455F60">
      <w:pPr>
        <w:jc w:val="both"/>
        <w:rPr>
          <w:rFonts w:ascii="Arial" w:hAnsi="Arial" w:cs="Arial"/>
          <w:sz w:val="24"/>
          <w:szCs w:val="24"/>
        </w:rPr>
      </w:pPr>
    </w:p>
    <w:p w14:paraId="07C305BD" w14:textId="4280B6A5" w:rsidR="00767EA2" w:rsidRPr="008C4C97" w:rsidRDefault="00FE6BDD" w:rsidP="0010733B">
      <w:pPr>
        <w:jc w:val="center"/>
        <w:rPr>
          <w:rFonts w:ascii="Arial" w:hAnsi="Arial" w:cs="Arial"/>
          <w:sz w:val="24"/>
          <w:szCs w:val="24"/>
          <w:vertAlign w:val="superscript"/>
        </w:rPr>
      </w:pPr>
      <w:r w:rsidRPr="008C4C97">
        <w:rPr>
          <w:rFonts w:ascii="Arial" w:hAnsi="Arial" w:cs="Arial"/>
          <w:sz w:val="24"/>
          <w:szCs w:val="24"/>
        </w:rPr>
        <w:t>Minh Tran</w:t>
      </w:r>
      <w:r w:rsidRPr="008C4C97">
        <w:rPr>
          <w:rFonts w:ascii="Arial" w:hAnsi="Arial" w:cs="Arial"/>
          <w:sz w:val="24"/>
          <w:szCs w:val="24"/>
          <w:vertAlign w:val="superscript"/>
        </w:rPr>
        <w:t>1-3</w:t>
      </w:r>
      <w:r w:rsidRPr="008C4C97">
        <w:rPr>
          <w:rFonts w:ascii="Arial" w:hAnsi="Arial" w:cs="Arial"/>
          <w:sz w:val="24"/>
          <w:szCs w:val="24"/>
        </w:rPr>
        <w:t>†, Hoe Won Jeong</w:t>
      </w:r>
      <w:r w:rsidRPr="008C4C97">
        <w:rPr>
          <w:rFonts w:ascii="Arial" w:hAnsi="Arial" w:cs="Arial"/>
          <w:sz w:val="24"/>
          <w:szCs w:val="24"/>
          <w:vertAlign w:val="superscript"/>
        </w:rPr>
        <w:t>1,2,4</w:t>
      </w:r>
      <w:r w:rsidRPr="008C4C97">
        <w:rPr>
          <w:rFonts w:ascii="Arial" w:hAnsi="Arial" w:cs="Arial"/>
          <w:sz w:val="24"/>
          <w:szCs w:val="24"/>
        </w:rPr>
        <w:t>†,</w:t>
      </w:r>
      <w:r w:rsidR="00767EA2" w:rsidRPr="008C4C97">
        <w:rPr>
          <w:rFonts w:ascii="Arial" w:hAnsi="Arial" w:cs="Arial"/>
          <w:sz w:val="24"/>
          <w:szCs w:val="24"/>
        </w:rPr>
        <w:t xml:space="preserve"> </w:t>
      </w:r>
      <w:proofErr w:type="spellStart"/>
      <w:r w:rsidR="0058077D" w:rsidRPr="008C4C97">
        <w:rPr>
          <w:rFonts w:ascii="Arial" w:hAnsi="Arial" w:cs="Arial"/>
          <w:sz w:val="24"/>
          <w:szCs w:val="24"/>
        </w:rPr>
        <w:t>Chaeyoen</w:t>
      </w:r>
      <w:proofErr w:type="spellEnd"/>
      <w:r w:rsidR="00ED15C0" w:rsidRPr="008C4C97">
        <w:rPr>
          <w:rFonts w:ascii="Arial" w:hAnsi="Arial" w:cs="Arial"/>
          <w:sz w:val="24"/>
          <w:szCs w:val="24"/>
        </w:rPr>
        <w:t xml:space="preserve"> Been</w:t>
      </w:r>
      <w:r w:rsidR="0058077D" w:rsidRPr="008C4C97">
        <w:rPr>
          <w:rFonts w:ascii="Arial" w:hAnsi="Arial" w:cs="Arial"/>
          <w:sz w:val="24"/>
          <w:szCs w:val="24"/>
          <w:vertAlign w:val="superscript"/>
        </w:rPr>
        <w:t>1,2</w:t>
      </w:r>
      <w:r w:rsidR="0058077D" w:rsidRPr="008C4C97">
        <w:rPr>
          <w:rFonts w:ascii="Arial" w:hAnsi="Arial" w:cs="Arial"/>
          <w:sz w:val="24"/>
          <w:szCs w:val="24"/>
        </w:rPr>
        <w:t xml:space="preserve">, </w:t>
      </w:r>
      <w:proofErr w:type="spellStart"/>
      <w:r w:rsidR="00767EA2" w:rsidRPr="008C4C97">
        <w:rPr>
          <w:rFonts w:ascii="Arial" w:hAnsi="Arial" w:cs="Arial"/>
          <w:sz w:val="24"/>
          <w:szCs w:val="24"/>
        </w:rPr>
        <w:t>Ariunzaya</w:t>
      </w:r>
      <w:proofErr w:type="spellEnd"/>
      <w:r w:rsidR="00767EA2" w:rsidRPr="008C4C97">
        <w:rPr>
          <w:rFonts w:ascii="Arial" w:hAnsi="Arial" w:cs="Arial"/>
          <w:sz w:val="24"/>
          <w:szCs w:val="24"/>
        </w:rPr>
        <w:t xml:space="preserve"> Jamsranjav</w:t>
      </w:r>
      <w:r w:rsidR="00376C2E" w:rsidRPr="008C4C97">
        <w:rPr>
          <w:rFonts w:ascii="Arial" w:hAnsi="Arial" w:cs="Arial"/>
          <w:sz w:val="24"/>
          <w:szCs w:val="24"/>
          <w:vertAlign w:val="superscript"/>
        </w:rPr>
        <w:t>1,2</w:t>
      </w:r>
      <w:r w:rsidR="00767EA2" w:rsidRPr="008C4C97">
        <w:rPr>
          <w:rFonts w:ascii="Arial" w:hAnsi="Arial" w:cs="Arial"/>
          <w:sz w:val="24"/>
          <w:szCs w:val="24"/>
        </w:rPr>
        <w:t xml:space="preserve">, </w:t>
      </w:r>
      <w:proofErr w:type="spellStart"/>
      <w:r w:rsidR="007D29BA" w:rsidRPr="008C4C97">
        <w:rPr>
          <w:rFonts w:ascii="Arial" w:hAnsi="Arial" w:cs="Arial"/>
          <w:sz w:val="24"/>
          <w:szCs w:val="24"/>
        </w:rPr>
        <w:t>Minjoon</w:t>
      </w:r>
      <w:proofErr w:type="spellEnd"/>
      <w:r w:rsidR="007D29BA" w:rsidRPr="008C4C97">
        <w:rPr>
          <w:rFonts w:ascii="Arial" w:hAnsi="Arial" w:cs="Arial"/>
          <w:sz w:val="24"/>
          <w:szCs w:val="24"/>
        </w:rPr>
        <w:t xml:space="preserve"> A</w:t>
      </w:r>
      <w:r w:rsidR="00ED15C0" w:rsidRPr="008C4C97">
        <w:rPr>
          <w:rFonts w:ascii="Arial" w:hAnsi="Arial" w:cs="Arial"/>
          <w:sz w:val="24"/>
          <w:szCs w:val="24"/>
        </w:rPr>
        <w:t>n</w:t>
      </w:r>
      <w:r w:rsidR="00ED15C0" w:rsidRPr="008C4C97">
        <w:rPr>
          <w:rFonts w:ascii="Arial" w:hAnsi="Arial" w:cs="Arial"/>
          <w:sz w:val="24"/>
          <w:szCs w:val="24"/>
          <w:vertAlign w:val="superscript"/>
        </w:rPr>
        <w:t>1,2</w:t>
      </w:r>
      <w:r w:rsidR="006A78A4" w:rsidRPr="008C4C97">
        <w:rPr>
          <w:rFonts w:ascii="Arial" w:hAnsi="Arial" w:cs="Arial"/>
          <w:sz w:val="24"/>
          <w:szCs w:val="24"/>
          <w:vertAlign w:val="superscript"/>
        </w:rPr>
        <w:t>,5</w:t>
      </w:r>
      <w:r w:rsidR="00ED15C0" w:rsidRPr="008C4C97">
        <w:rPr>
          <w:rFonts w:ascii="Arial" w:hAnsi="Arial" w:cs="Arial"/>
          <w:sz w:val="24"/>
          <w:szCs w:val="24"/>
        </w:rPr>
        <w:t xml:space="preserve">, </w:t>
      </w:r>
      <w:r w:rsidR="00767EA2" w:rsidRPr="008C4C97">
        <w:rPr>
          <w:rFonts w:ascii="Arial" w:hAnsi="Arial" w:cs="Arial"/>
          <w:sz w:val="24"/>
          <w:szCs w:val="24"/>
        </w:rPr>
        <w:t xml:space="preserve">Van </w:t>
      </w:r>
      <w:proofErr w:type="spellStart"/>
      <w:r w:rsidR="00767EA2" w:rsidRPr="008C4C97">
        <w:rPr>
          <w:rFonts w:ascii="Arial" w:hAnsi="Arial" w:cs="Arial"/>
          <w:sz w:val="24"/>
          <w:szCs w:val="24"/>
        </w:rPr>
        <w:t>Thi</w:t>
      </w:r>
      <w:proofErr w:type="spellEnd"/>
      <w:r w:rsidR="00767EA2" w:rsidRPr="008C4C97">
        <w:rPr>
          <w:rFonts w:ascii="Arial" w:hAnsi="Arial" w:cs="Arial"/>
          <w:sz w:val="24"/>
          <w:szCs w:val="24"/>
        </w:rPr>
        <w:t xml:space="preserve"> Ai Tran</w:t>
      </w:r>
      <w:r w:rsidR="00376C2E" w:rsidRPr="008C4C97">
        <w:rPr>
          <w:rFonts w:ascii="Arial" w:hAnsi="Arial" w:cs="Arial"/>
          <w:sz w:val="24"/>
          <w:szCs w:val="24"/>
          <w:vertAlign w:val="superscript"/>
        </w:rPr>
        <w:t>1,2</w:t>
      </w:r>
      <w:r w:rsidR="00767EA2" w:rsidRPr="008C4C97">
        <w:rPr>
          <w:rFonts w:ascii="Arial" w:hAnsi="Arial" w:cs="Arial"/>
          <w:sz w:val="24"/>
          <w:szCs w:val="24"/>
        </w:rPr>
        <w:t xml:space="preserve">, </w:t>
      </w:r>
      <w:r w:rsidR="00745A55" w:rsidRPr="008C4C97">
        <w:rPr>
          <w:rFonts w:ascii="Arial" w:hAnsi="Arial" w:cs="Arial"/>
          <w:sz w:val="24"/>
          <w:szCs w:val="24"/>
        </w:rPr>
        <w:t>Luke P. Lee</w:t>
      </w:r>
      <w:r w:rsidR="006A78A4" w:rsidRPr="008C4C97">
        <w:rPr>
          <w:rFonts w:ascii="Arial" w:hAnsi="Arial" w:cs="Arial"/>
          <w:sz w:val="24"/>
          <w:szCs w:val="24"/>
          <w:vertAlign w:val="superscript"/>
        </w:rPr>
        <w:t>1,2,6-8</w:t>
      </w:r>
      <w:r w:rsidR="00714F97" w:rsidRPr="008C4C97">
        <w:rPr>
          <w:rFonts w:ascii="Arial" w:hAnsi="Arial" w:cs="Arial"/>
          <w:sz w:val="24"/>
          <w:szCs w:val="24"/>
          <w:vertAlign w:val="superscript"/>
        </w:rPr>
        <w:t>*</w:t>
      </w:r>
      <w:r w:rsidR="00745A55" w:rsidRPr="008C4C97">
        <w:rPr>
          <w:rFonts w:ascii="Arial" w:hAnsi="Arial" w:cs="Arial"/>
          <w:sz w:val="24"/>
          <w:szCs w:val="24"/>
        </w:rPr>
        <w:t xml:space="preserve">, </w:t>
      </w:r>
      <w:proofErr w:type="spellStart"/>
      <w:r w:rsidR="00767EA2" w:rsidRPr="008C4C97">
        <w:rPr>
          <w:rFonts w:ascii="Arial" w:hAnsi="Arial" w:cs="Arial"/>
          <w:sz w:val="24"/>
          <w:szCs w:val="24"/>
        </w:rPr>
        <w:t>Hansang</w:t>
      </w:r>
      <w:proofErr w:type="spellEnd"/>
      <w:r w:rsidR="00767EA2" w:rsidRPr="008C4C97">
        <w:rPr>
          <w:rFonts w:ascii="Arial" w:hAnsi="Arial" w:cs="Arial"/>
          <w:sz w:val="24"/>
          <w:szCs w:val="24"/>
        </w:rPr>
        <w:t xml:space="preserve"> Cho</w:t>
      </w:r>
      <w:r w:rsidR="00767EA2" w:rsidRPr="008C4C97">
        <w:rPr>
          <w:rFonts w:ascii="Arial" w:hAnsi="Arial" w:cs="Arial"/>
          <w:sz w:val="24"/>
          <w:szCs w:val="24"/>
          <w:vertAlign w:val="superscript"/>
        </w:rPr>
        <w:t>1-3</w:t>
      </w:r>
      <w:r w:rsidR="00714F97" w:rsidRPr="008C4C97">
        <w:rPr>
          <w:rFonts w:ascii="Arial" w:hAnsi="Arial" w:cs="Arial"/>
          <w:sz w:val="24"/>
          <w:szCs w:val="24"/>
          <w:vertAlign w:val="superscript"/>
        </w:rPr>
        <w:t>*</w:t>
      </w:r>
    </w:p>
    <w:p w14:paraId="5FBFC587" w14:textId="77777777" w:rsidR="00767EA2" w:rsidRPr="008C4C97" w:rsidRDefault="00767EA2">
      <w:pPr>
        <w:jc w:val="both"/>
        <w:rPr>
          <w:rFonts w:ascii="Arial" w:hAnsi="Arial" w:cs="Arial"/>
          <w:sz w:val="24"/>
          <w:szCs w:val="24"/>
        </w:rPr>
      </w:pPr>
    </w:p>
    <w:p w14:paraId="5B09A9C7" w14:textId="77777777" w:rsidR="00767EA2" w:rsidRPr="008C4C97" w:rsidRDefault="00767EA2">
      <w:pPr>
        <w:jc w:val="both"/>
        <w:rPr>
          <w:rFonts w:ascii="Arial" w:hAnsi="Arial" w:cs="Arial"/>
          <w:sz w:val="24"/>
          <w:szCs w:val="24"/>
        </w:rPr>
      </w:pPr>
      <w:r w:rsidRPr="008C4C97">
        <w:rPr>
          <w:rFonts w:ascii="Arial" w:hAnsi="Arial" w:cs="Arial"/>
          <w:sz w:val="24"/>
          <w:szCs w:val="24"/>
          <w:vertAlign w:val="superscript"/>
        </w:rPr>
        <w:t>1</w:t>
      </w:r>
      <w:r w:rsidRPr="008C4C97">
        <w:rPr>
          <w:rFonts w:ascii="Arial" w:hAnsi="Arial" w:cs="Arial"/>
          <w:sz w:val="24"/>
          <w:szCs w:val="24"/>
        </w:rPr>
        <w:t>Institute of Quantum Biophysics, Sungkyunkwan University, Suwon, Korea.</w:t>
      </w:r>
    </w:p>
    <w:p w14:paraId="1CC31A0D" w14:textId="77777777" w:rsidR="00767EA2" w:rsidRPr="008C4C97" w:rsidRDefault="00767EA2">
      <w:pPr>
        <w:jc w:val="both"/>
        <w:rPr>
          <w:rFonts w:ascii="Arial" w:hAnsi="Arial" w:cs="Arial"/>
          <w:sz w:val="24"/>
          <w:szCs w:val="24"/>
        </w:rPr>
      </w:pPr>
      <w:r w:rsidRPr="008C4C97">
        <w:rPr>
          <w:rFonts w:ascii="Arial" w:hAnsi="Arial" w:cs="Arial"/>
          <w:sz w:val="24"/>
          <w:szCs w:val="24"/>
          <w:vertAlign w:val="superscript"/>
        </w:rPr>
        <w:t>2</w:t>
      </w:r>
      <w:r w:rsidRPr="008C4C97">
        <w:rPr>
          <w:rFonts w:ascii="Arial" w:hAnsi="Arial" w:cs="Arial"/>
          <w:sz w:val="24"/>
          <w:szCs w:val="24"/>
        </w:rPr>
        <w:t>Department of Biophysics, Sungkyunkwan University, Suwon, Korea.</w:t>
      </w:r>
    </w:p>
    <w:p w14:paraId="03CB27A3" w14:textId="77777777" w:rsidR="00767EA2" w:rsidRPr="008C4C97" w:rsidRDefault="00767EA2">
      <w:pPr>
        <w:jc w:val="both"/>
        <w:rPr>
          <w:rFonts w:ascii="Arial" w:hAnsi="Arial" w:cs="Arial"/>
          <w:sz w:val="24"/>
          <w:szCs w:val="24"/>
        </w:rPr>
      </w:pPr>
      <w:r w:rsidRPr="008C4C97">
        <w:rPr>
          <w:rFonts w:ascii="Arial" w:hAnsi="Arial" w:cs="Arial"/>
          <w:sz w:val="24"/>
          <w:szCs w:val="24"/>
          <w:vertAlign w:val="superscript"/>
        </w:rPr>
        <w:t>3</w:t>
      </w:r>
      <w:r w:rsidRPr="008C4C97">
        <w:rPr>
          <w:rFonts w:ascii="Arial" w:hAnsi="Arial" w:cs="Arial"/>
          <w:sz w:val="24"/>
          <w:szCs w:val="24"/>
        </w:rPr>
        <w:t>Department of Intelligent Precision Healthcare Convergence, Sungkyunkwan University, Suwon, Korea.</w:t>
      </w:r>
    </w:p>
    <w:p w14:paraId="23BC538F" w14:textId="72FFE0B0" w:rsidR="00767EA2" w:rsidRPr="008C4C97" w:rsidRDefault="00767EA2">
      <w:pPr>
        <w:jc w:val="both"/>
        <w:rPr>
          <w:rFonts w:ascii="Arial" w:hAnsi="Arial" w:cs="Arial"/>
          <w:sz w:val="24"/>
          <w:szCs w:val="24"/>
        </w:rPr>
      </w:pPr>
      <w:r w:rsidRPr="008C4C97">
        <w:rPr>
          <w:rFonts w:ascii="Arial" w:hAnsi="Arial" w:cs="Arial"/>
          <w:sz w:val="24"/>
          <w:szCs w:val="24"/>
          <w:vertAlign w:val="superscript"/>
        </w:rPr>
        <w:t>4</w:t>
      </w:r>
      <w:r w:rsidRPr="008C4C97">
        <w:rPr>
          <w:rFonts w:ascii="Arial" w:hAnsi="Arial" w:cs="Arial"/>
          <w:sz w:val="24"/>
          <w:szCs w:val="24"/>
        </w:rPr>
        <w:t>School of Mechanical Engineering, Sungkyunkwan University, Suwon, Korea.</w:t>
      </w:r>
    </w:p>
    <w:p w14:paraId="5D5BB640" w14:textId="6FD7BDF8" w:rsidR="006A78A4" w:rsidRPr="008C4C97" w:rsidRDefault="006A78A4">
      <w:pPr>
        <w:jc w:val="both"/>
        <w:rPr>
          <w:rFonts w:ascii="Arial" w:hAnsi="Arial" w:cs="Arial"/>
          <w:sz w:val="24"/>
          <w:szCs w:val="24"/>
        </w:rPr>
      </w:pPr>
      <w:r w:rsidRPr="008C4C97">
        <w:rPr>
          <w:rFonts w:ascii="Arial" w:hAnsi="Arial" w:cs="Arial"/>
          <w:sz w:val="24"/>
          <w:szCs w:val="24"/>
          <w:vertAlign w:val="superscript"/>
        </w:rPr>
        <w:t>5</w:t>
      </w:r>
      <w:r w:rsidRPr="008C4C97">
        <w:rPr>
          <w:rFonts w:ascii="Arial" w:hAnsi="Arial" w:cs="Arial"/>
          <w:sz w:val="24"/>
          <w:szCs w:val="24"/>
        </w:rPr>
        <w:t xml:space="preserve">Department of </w:t>
      </w:r>
      <w:proofErr w:type="spellStart"/>
      <w:r w:rsidRPr="008C4C97">
        <w:rPr>
          <w:rFonts w:ascii="Arial" w:hAnsi="Arial" w:cs="Arial"/>
          <w:sz w:val="24"/>
          <w:szCs w:val="24"/>
        </w:rPr>
        <w:t>Metabiohealth</w:t>
      </w:r>
      <w:proofErr w:type="spellEnd"/>
      <w:r w:rsidRPr="008C4C97">
        <w:rPr>
          <w:rFonts w:ascii="Arial" w:hAnsi="Arial" w:cs="Arial"/>
          <w:sz w:val="24"/>
          <w:szCs w:val="24"/>
        </w:rPr>
        <w:t xml:space="preserve">, </w:t>
      </w:r>
      <w:proofErr w:type="spellStart"/>
      <w:r w:rsidRPr="008C4C97">
        <w:rPr>
          <w:rFonts w:ascii="Arial" w:hAnsi="Arial" w:cs="Arial"/>
          <w:sz w:val="24"/>
          <w:szCs w:val="24"/>
        </w:rPr>
        <w:t>Sungkyunkwan</w:t>
      </w:r>
      <w:proofErr w:type="spellEnd"/>
      <w:r w:rsidRPr="008C4C97">
        <w:rPr>
          <w:rFonts w:ascii="Arial" w:hAnsi="Arial" w:cs="Arial"/>
          <w:sz w:val="24"/>
          <w:szCs w:val="24"/>
        </w:rPr>
        <w:t xml:space="preserve"> University, Suwon, 16419 Republic of Korea</w:t>
      </w:r>
    </w:p>
    <w:p w14:paraId="0ADE6966" w14:textId="2400420F" w:rsidR="008E2D01" w:rsidRPr="008C4C97" w:rsidRDefault="006A78A4">
      <w:pPr>
        <w:jc w:val="both"/>
        <w:rPr>
          <w:rFonts w:ascii="Arial" w:eastAsia="Times New Roman" w:hAnsi="Arial" w:cs="Arial"/>
          <w:sz w:val="24"/>
          <w:szCs w:val="24"/>
        </w:rPr>
      </w:pPr>
      <w:r w:rsidRPr="008C4C97">
        <w:rPr>
          <w:rFonts w:ascii="Arial" w:eastAsia="Times New Roman" w:hAnsi="Arial" w:cs="Arial"/>
          <w:sz w:val="24"/>
          <w:szCs w:val="24"/>
          <w:vertAlign w:val="superscript"/>
        </w:rPr>
        <w:t>6</w:t>
      </w:r>
      <w:r w:rsidR="008E2D01" w:rsidRPr="008C4C97">
        <w:rPr>
          <w:rFonts w:ascii="Arial" w:eastAsia="Times New Roman" w:hAnsi="Arial" w:cs="Arial"/>
          <w:sz w:val="24"/>
          <w:szCs w:val="24"/>
        </w:rPr>
        <w:t>Department of Medicine, Harvard Medical School, Brigham and Women’s Hospital, Boston, MA, 02115, USA.</w:t>
      </w:r>
    </w:p>
    <w:p w14:paraId="117E165F" w14:textId="46A6F814" w:rsidR="008E2D01" w:rsidRPr="008C4C97" w:rsidRDefault="006A78A4">
      <w:pPr>
        <w:spacing w:line="360" w:lineRule="auto"/>
        <w:jc w:val="both"/>
        <w:rPr>
          <w:rStyle w:val="fontstyle01"/>
          <w:rFonts w:ascii="Arial" w:eastAsia="Times New Roman" w:hAnsi="Arial" w:cs="Arial"/>
          <w:color w:val="auto"/>
        </w:rPr>
      </w:pPr>
      <w:r w:rsidRPr="008C4C97">
        <w:rPr>
          <w:rStyle w:val="fontstyle01"/>
          <w:rFonts w:ascii="Arial" w:eastAsiaTheme="majorEastAsia" w:hAnsi="Arial" w:cs="Arial"/>
          <w:color w:val="auto"/>
          <w:vertAlign w:val="superscript"/>
        </w:rPr>
        <w:t>7</w:t>
      </w:r>
      <w:r w:rsidR="008E2D01" w:rsidRPr="008C4C97">
        <w:rPr>
          <w:rStyle w:val="fontstyle01"/>
          <w:rFonts w:ascii="Arial" w:hAnsi="Arial" w:cs="Arial"/>
          <w:color w:val="auto"/>
        </w:rPr>
        <w:t>Department of Bioengineering, University of California at Berkeley, Berkeley, CA, 94720, USA.</w:t>
      </w:r>
    </w:p>
    <w:p w14:paraId="2D2CE359" w14:textId="03537196" w:rsidR="008E2D01" w:rsidRPr="008C4C97" w:rsidRDefault="006A78A4">
      <w:pPr>
        <w:pStyle w:val="NormalWeb"/>
        <w:spacing w:before="0" w:beforeAutospacing="0" w:after="120" w:afterAutospacing="0"/>
        <w:jc w:val="both"/>
        <w:rPr>
          <w:rStyle w:val="fontstyle01"/>
          <w:rFonts w:ascii="Arial" w:eastAsiaTheme="majorEastAsia" w:hAnsi="Arial" w:cs="Arial"/>
          <w:color w:val="auto"/>
        </w:rPr>
      </w:pPr>
      <w:r w:rsidRPr="008C4C97">
        <w:rPr>
          <w:rStyle w:val="fontstyle01"/>
          <w:rFonts w:ascii="Arial" w:eastAsiaTheme="majorEastAsia" w:hAnsi="Arial" w:cs="Arial"/>
          <w:color w:val="auto"/>
          <w:vertAlign w:val="superscript"/>
        </w:rPr>
        <w:t>8</w:t>
      </w:r>
      <w:r w:rsidR="008E2D01" w:rsidRPr="008C4C97">
        <w:rPr>
          <w:rStyle w:val="fontstyle01"/>
          <w:rFonts w:ascii="Arial" w:eastAsiaTheme="majorEastAsia" w:hAnsi="Arial" w:cs="Arial"/>
          <w:color w:val="auto"/>
        </w:rPr>
        <w:t>Department of Electrical Engineering and Computer Science, University of California at Berkeley, Berkeley, CA, 94720, USA.</w:t>
      </w:r>
    </w:p>
    <w:p w14:paraId="61E862CD" w14:textId="61F08265" w:rsidR="008E7EFE" w:rsidRPr="008C4C97" w:rsidRDefault="008E7EFE">
      <w:pPr>
        <w:jc w:val="both"/>
        <w:rPr>
          <w:rFonts w:ascii="Arial" w:hAnsi="Arial" w:cs="Arial"/>
          <w:sz w:val="24"/>
          <w:szCs w:val="24"/>
        </w:rPr>
      </w:pPr>
    </w:p>
    <w:p w14:paraId="7783919B" w14:textId="1979FE2D" w:rsidR="00FE6BDD" w:rsidRPr="008C4C97" w:rsidRDefault="008E7EFE">
      <w:pPr>
        <w:jc w:val="both"/>
        <w:rPr>
          <w:rFonts w:ascii="Arial" w:hAnsi="Arial" w:cs="Arial"/>
          <w:sz w:val="24"/>
          <w:szCs w:val="24"/>
        </w:rPr>
      </w:pPr>
      <w:r w:rsidRPr="008C4C97">
        <w:rPr>
          <w:rFonts w:ascii="Arial" w:hAnsi="Arial" w:cs="Arial"/>
          <w:sz w:val="24"/>
          <w:szCs w:val="24"/>
        </w:rPr>
        <w:t>Email: Minh Tran (</w:t>
      </w:r>
      <w:hyperlink r:id="rId8" w:history="1">
        <w:r w:rsidRPr="008C4C97">
          <w:rPr>
            <w:rStyle w:val="Hyperlink"/>
            <w:rFonts w:ascii="Arial" w:hAnsi="Arial" w:cs="Arial"/>
            <w:sz w:val="24"/>
            <w:szCs w:val="24"/>
          </w:rPr>
          <w:t>minhtran@g.skku.edu</w:t>
        </w:r>
      </w:hyperlink>
      <w:r w:rsidRPr="008C4C97">
        <w:rPr>
          <w:rFonts w:ascii="Arial" w:hAnsi="Arial" w:cs="Arial"/>
          <w:sz w:val="24"/>
          <w:szCs w:val="24"/>
        </w:rPr>
        <w:t xml:space="preserve">); </w:t>
      </w:r>
      <w:r w:rsidR="008E79C9" w:rsidRPr="008C4C97">
        <w:rPr>
          <w:rFonts w:ascii="Arial" w:hAnsi="Arial" w:cs="Arial"/>
          <w:sz w:val="24"/>
          <w:szCs w:val="24"/>
        </w:rPr>
        <w:t xml:space="preserve">Hoe Won </w:t>
      </w:r>
      <w:proofErr w:type="spellStart"/>
      <w:r w:rsidR="008E79C9" w:rsidRPr="008C4C97">
        <w:rPr>
          <w:rFonts w:ascii="Arial" w:hAnsi="Arial" w:cs="Arial"/>
          <w:sz w:val="24"/>
          <w:szCs w:val="24"/>
        </w:rPr>
        <w:t>Jeong</w:t>
      </w:r>
      <w:proofErr w:type="spellEnd"/>
      <w:r w:rsidR="008E79C9" w:rsidRPr="008C4C97">
        <w:rPr>
          <w:rFonts w:ascii="Arial" w:hAnsi="Arial" w:cs="Arial"/>
          <w:sz w:val="24"/>
          <w:szCs w:val="24"/>
        </w:rPr>
        <w:t xml:space="preserve"> (</w:t>
      </w:r>
      <w:hyperlink r:id="rId9" w:history="1">
        <w:r w:rsidR="008E79C9" w:rsidRPr="008C4C97">
          <w:rPr>
            <w:rStyle w:val="Hyperlink"/>
            <w:rFonts w:ascii="Arial" w:hAnsi="Arial" w:cs="Arial"/>
            <w:sz w:val="24"/>
            <w:szCs w:val="24"/>
          </w:rPr>
          <w:t>dkesjung@naver.com</w:t>
        </w:r>
      </w:hyperlink>
      <w:r w:rsidR="008E79C9" w:rsidRPr="008C4C97">
        <w:rPr>
          <w:rFonts w:ascii="Arial" w:hAnsi="Arial" w:cs="Arial"/>
          <w:sz w:val="24"/>
          <w:szCs w:val="24"/>
        </w:rPr>
        <w:t xml:space="preserve">); </w:t>
      </w:r>
      <w:proofErr w:type="spellStart"/>
      <w:r w:rsidR="008E79C9" w:rsidRPr="008C4C97">
        <w:rPr>
          <w:rFonts w:ascii="Arial" w:hAnsi="Arial" w:cs="Arial"/>
          <w:sz w:val="24"/>
          <w:szCs w:val="24"/>
        </w:rPr>
        <w:t>Chaeyoen</w:t>
      </w:r>
      <w:proofErr w:type="spellEnd"/>
      <w:r w:rsidR="008E79C9" w:rsidRPr="008C4C97">
        <w:rPr>
          <w:rFonts w:ascii="Arial" w:hAnsi="Arial" w:cs="Arial"/>
          <w:sz w:val="24"/>
          <w:szCs w:val="24"/>
        </w:rPr>
        <w:t xml:space="preserve"> Been (</w:t>
      </w:r>
      <w:r w:rsidR="008E79C9" w:rsidRPr="008C4C97">
        <w:rPr>
          <w:rFonts w:ascii="Arial" w:hAnsi="Arial" w:cs="Arial"/>
          <w:sz w:val="24"/>
          <w:szCs w:val="24"/>
        </w:rPr>
        <w:tab/>
      </w:r>
      <w:hyperlink r:id="rId10" w:history="1">
        <w:r w:rsidR="008E79C9" w:rsidRPr="008C4C97">
          <w:rPr>
            <w:rStyle w:val="Hyperlink"/>
            <w:rFonts w:ascii="Arial" w:hAnsi="Arial" w:cs="Arial"/>
            <w:sz w:val="24"/>
            <w:szCs w:val="24"/>
          </w:rPr>
          <w:t>qlscodus@g.skku.edu</w:t>
        </w:r>
      </w:hyperlink>
      <w:r w:rsidR="008E79C9" w:rsidRPr="008C4C97">
        <w:rPr>
          <w:rFonts w:ascii="Arial" w:hAnsi="Arial" w:cs="Arial"/>
          <w:sz w:val="24"/>
          <w:szCs w:val="24"/>
        </w:rPr>
        <w:t xml:space="preserve">); </w:t>
      </w:r>
      <w:proofErr w:type="spellStart"/>
      <w:r w:rsidR="008E79C9" w:rsidRPr="008C4C97">
        <w:rPr>
          <w:rFonts w:ascii="Arial" w:hAnsi="Arial" w:cs="Arial"/>
          <w:sz w:val="24"/>
          <w:szCs w:val="24"/>
        </w:rPr>
        <w:t>Ariunzaya</w:t>
      </w:r>
      <w:proofErr w:type="spellEnd"/>
      <w:r w:rsidR="008E79C9" w:rsidRPr="008C4C97">
        <w:rPr>
          <w:rFonts w:ascii="Arial" w:hAnsi="Arial" w:cs="Arial"/>
          <w:sz w:val="24"/>
          <w:szCs w:val="24"/>
        </w:rPr>
        <w:t xml:space="preserve"> </w:t>
      </w:r>
      <w:proofErr w:type="spellStart"/>
      <w:r w:rsidR="008E79C9" w:rsidRPr="008C4C97">
        <w:rPr>
          <w:rFonts w:ascii="Arial" w:hAnsi="Arial" w:cs="Arial"/>
          <w:sz w:val="24"/>
          <w:szCs w:val="24"/>
        </w:rPr>
        <w:t>Jamsranjav</w:t>
      </w:r>
      <w:proofErr w:type="spellEnd"/>
      <w:r w:rsidR="008E79C9" w:rsidRPr="008C4C97">
        <w:rPr>
          <w:rFonts w:ascii="Arial" w:hAnsi="Arial" w:cs="Arial"/>
          <w:sz w:val="24"/>
          <w:szCs w:val="24"/>
        </w:rPr>
        <w:t xml:space="preserve"> (</w:t>
      </w:r>
      <w:hyperlink r:id="rId11" w:history="1">
        <w:r w:rsidR="008E79C9" w:rsidRPr="008C4C97">
          <w:rPr>
            <w:rStyle w:val="Hyperlink"/>
            <w:rFonts w:ascii="Arial" w:hAnsi="Arial" w:cs="Arial"/>
            <w:sz w:val="24"/>
            <w:szCs w:val="24"/>
          </w:rPr>
          <w:t>ariunzaya95@g.skku.edu</w:t>
        </w:r>
      </w:hyperlink>
      <w:r w:rsidR="008E79C9" w:rsidRPr="008C4C97">
        <w:rPr>
          <w:rFonts w:ascii="Arial" w:hAnsi="Arial" w:cs="Arial"/>
          <w:sz w:val="24"/>
          <w:szCs w:val="24"/>
        </w:rPr>
        <w:t xml:space="preserve">); </w:t>
      </w:r>
      <w:proofErr w:type="spellStart"/>
      <w:r w:rsidR="008E79C9" w:rsidRPr="008C4C97">
        <w:rPr>
          <w:rFonts w:ascii="Arial" w:hAnsi="Arial" w:cs="Arial"/>
          <w:sz w:val="24"/>
          <w:szCs w:val="24"/>
        </w:rPr>
        <w:t>Minjoon</w:t>
      </w:r>
      <w:proofErr w:type="spellEnd"/>
      <w:r w:rsidR="008E79C9" w:rsidRPr="008C4C97">
        <w:rPr>
          <w:rFonts w:ascii="Arial" w:hAnsi="Arial" w:cs="Arial"/>
          <w:sz w:val="24"/>
          <w:szCs w:val="24"/>
        </w:rPr>
        <w:t xml:space="preserve"> An (</w:t>
      </w:r>
      <w:hyperlink r:id="rId12" w:history="1">
        <w:r w:rsidR="008E79C9" w:rsidRPr="008C4C97">
          <w:rPr>
            <w:rStyle w:val="Hyperlink"/>
            <w:rFonts w:ascii="Arial" w:hAnsi="Arial" w:cs="Arial"/>
            <w:sz w:val="24"/>
            <w:szCs w:val="24"/>
          </w:rPr>
          <w:t>amj010403@g.skku.edu</w:t>
        </w:r>
      </w:hyperlink>
      <w:r w:rsidR="008E79C9" w:rsidRPr="008C4C97">
        <w:rPr>
          <w:rFonts w:ascii="Arial" w:hAnsi="Arial" w:cs="Arial"/>
          <w:sz w:val="24"/>
          <w:szCs w:val="24"/>
        </w:rPr>
        <w:t xml:space="preserve">); Van </w:t>
      </w:r>
      <w:proofErr w:type="spellStart"/>
      <w:r w:rsidR="008E79C9" w:rsidRPr="008C4C97">
        <w:rPr>
          <w:rFonts w:ascii="Arial" w:hAnsi="Arial" w:cs="Arial"/>
          <w:sz w:val="24"/>
          <w:szCs w:val="24"/>
        </w:rPr>
        <w:t>Thi</w:t>
      </w:r>
      <w:proofErr w:type="spellEnd"/>
      <w:r w:rsidR="008E79C9" w:rsidRPr="008C4C97">
        <w:rPr>
          <w:rFonts w:ascii="Arial" w:hAnsi="Arial" w:cs="Arial"/>
          <w:sz w:val="24"/>
          <w:szCs w:val="24"/>
        </w:rPr>
        <w:t xml:space="preserve"> Ai Tran (</w:t>
      </w:r>
      <w:hyperlink r:id="rId13" w:history="1">
        <w:r w:rsidR="008E79C9" w:rsidRPr="008C4C97">
          <w:rPr>
            <w:rStyle w:val="Hyperlink"/>
            <w:rFonts w:ascii="Arial" w:hAnsi="Arial" w:cs="Arial"/>
            <w:sz w:val="24"/>
            <w:szCs w:val="24"/>
          </w:rPr>
          <w:t>ttaivan@g.skku.edu</w:t>
        </w:r>
      </w:hyperlink>
      <w:r w:rsidR="008E79C9" w:rsidRPr="008C4C97">
        <w:rPr>
          <w:rFonts w:ascii="Arial" w:hAnsi="Arial" w:cs="Arial"/>
          <w:sz w:val="24"/>
          <w:szCs w:val="24"/>
        </w:rPr>
        <w:t>)</w:t>
      </w:r>
    </w:p>
    <w:p w14:paraId="665F154A" w14:textId="77777777" w:rsidR="001E4F65" w:rsidRPr="008C4C97" w:rsidRDefault="001E4F65">
      <w:pPr>
        <w:jc w:val="both"/>
        <w:rPr>
          <w:rFonts w:ascii="Arial" w:eastAsia="Times New Roman" w:hAnsi="Arial" w:cs="Arial"/>
          <w:sz w:val="24"/>
          <w:szCs w:val="24"/>
        </w:rPr>
      </w:pPr>
    </w:p>
    <w:p w14:paraId="358ED526" w14:textId="5862EE5C" w:rsidR="008E7EFE" w:rsidRPr="008C4C97" w:rsidRDefault="001E4F65">
      <w:pPr>
        <w:jc w:val="both"/>
        <w:rPr>
          <w:rFonts w:ascii="Arial" w:eastAsia="Times New Roman" w:hAnsi="Arial" w:cs="Arial"/>
          <w:sz w:val="24"/>
          <w:szCs w:val="24"/>
        </w:rPr>
      </w:pPr>
      <w:r w:rsidRPr="008C4C97">
        <w:rPr>
          <w:rFonts w:ascii="Arial" w:eastAsia="Times New Roman" w:hAnsi="Arial" w:cs="Arial"/>
          <w:sz w:val="24"/>
          <w:szCs w:val="24"/>
        </w:rPr>
        <w:t>†These authors contributed equally to this work.</w:t>
      </w:r>
    </w:p>
    <w:p w14:paraId="012E0CC1" w14:textId="303CA6D2" w:rsidR="008E2D01" w:rsidRPr="008C4C97" w:rsidRDefault="008E7EFE">
      <w:pPr>
        <w:jc w:val="both"/>
        <w:rPr>
          <w:rFonts w:ascii="Arial" w:eastAsia="Times New Roman" w:hAnsi="Arial" w:cs="Arial"/>
          <w:sz w:val="24"/>
          <w:szCs w:val="24"/>
        </w:rPr>
      </w:pPr>
      <w:r w:rsidRPr="008C4C97">
        <w:rPr>
          <w:rFonts w:ascii="Arial" w:eastAsia="Times New Roman" w:hAnsi="Arial" w:cs="Arial"/>
          <w:b/>
          <w:sz w:val="24"/>
          <w:szCs w:val="24"/>
        </w:rPr>
        <w:t>*</w:t>
      </w:r>
      <w:r w:rsidR="00FE6BDD" w:rsidRPr="008C4C97">
        <w:rPr>
          <w:rFonts w:ascii="Arial" w:eastAsia="Times New Roman" w:hAnsi="Arial" w:cs="Arial"/>
          <w:b/>
          <w:sz w:val="24"/>
          <w:szCs w:val="24"/>
        </w:rPr>
        <w:t>Corresponding author</w:t>
      </w:r>
      <w:r w:rsidR="00FE6BDD" w:rsidRPr="008C4C97">
        <w:rPr>
          <w:rFonts w:ascii="Arial" w:eastAsia="Times New Roman" w:hAnsi="Arial" w:cs="Arial"/>
          <w:sz w:val="24"/>
          <w:szCs w:val="24"/>
        </w:rPr>
        <w:t>:</w:t>
      </w:r>
      <w:r w:rsidR="00036EEF" w:rsidRPr="008C4C97">
        <w:rPr>
          <w:rFonts w:ascii="Arial" w:eastAsia="Times New Roman" w:hAnsi="Arial" w:cs="Arial"/>
          <w:sz w:val="24"/>
          <w:szCs w:val="24"/>
        </w:rPr>
        <w:t xml:space="preserve"> </w:t>
      </w:r>
      <w:proofErr w:type="spellStart"/>
      <w:r w:rsidR="00036EEF" w:rsidRPr="008C4C97">
        <w:rPr>
          <w:rFonts w:ascii="Arial" w:eastAsia="Times New Roman" w:hAnsi="Arial" w:cs="Arial"/>
          <w:sz w:val="24"/>
          <w:szCs w:val="24"/>
        </w:rPr>
        <w:t>Hansang</w:t>
      </w:r>
      <w:proofErr w:type="spellEnd"/>
      <w:r w:rsidR="00036EEF" w:rsidRPr="008C4C97">
        <w:rPr>
          <w:rFonts w:ascii="Arial" w:eastAsia="Times New Roman" w:hAnsi="Arial" w:cs="Arial"/>
          <w:sz w:val="24"/>
          <w:szCs w:val="24"/>
        </w:rPr>
        <w:t xml:space="preserve"> Cho (</w:t>
      </w:r>
      <w:hyperlink r:id="rId14" w:history="1">
        <w:r w:rsidR="00036EEF" w:rsidRPr="008C4C97">
          <w:rPr>
            <w:rStyle w:val="Hyperlink"/>
            <w:rFonts w:ascii="Arial" w:eastAsia="Times New Roman" w:hAnsi="Arial" w:cs="Arial"/>
            <w:sz w:val="24"/>
            <w:szCs w:val="24"/>
          </w:rPr>
          <w:t>h.cho@g.skku.edu</w:t>
        </w:r>
      </w:hyperlink>
      <w:r w:rsidR="00036EEF" w:rsidRPr="008C4C97">
        <w:rPr>
          <w:rFonts w:ascii="Arial" w:eastAsia="Times New Roman" w:hAnsi="Arial" w:cs="Arial"/>
          <w:sz w:val="24"/>
          <w:szCs w:val="24"/>
        </w:rPr>
        <w:t xml:space="preserve">); </w:t>
      </w:r>
      <w:r w:rsidR="00FE6BDD" w:rsidRPr="008C4C97">
        <w:rPr>
          <w:rFonts w:ascii="Arial" w:eastAsia="Times New Roman" w:hAnsi="Arial" w:cs="Arial"/>
          <w:sz w:val="24"/>
          <w:szCs w:val="24"/>
        </w:rPr>
        <w:t>Luke P. Lee (</w:t>
      </w:r>
      <w:hyperlink r:id="rId15" w:history="1">
        <w:r w:rsidR="00036EEF" w:rsidRPr="008C4C97">
          <w:rPr>
            <w:rStyle w:val="Hyperlink"/>
            <w:rFonts w:ascii="Arial" w:eastAsia="Times New Roman" w:hAnsi="Arial" w:cs="Arial"/>
            <w:sz w:val="24"/>
            <w:szCs w:val="24"/>
          </w:rPr>
          <w:t>lplee@bwh.harvard.edu</w:t>
        </w:r>
      </w:hyperlink>
      <w:r w:rsidR="00FE6BDD" w:rsidRPr="008C4C97">
        <w:rPr>
          <w:rFonts w:ascii="Arial" w:eastAsia="Times New Roman" w:hAnsi="Arial" w:cs="Arial"/>
          <w:sz w:val="24"/>
          <w:szCs w:val="24"/>
        </w:rPr>
        <w:t>)</w:t>
      </w:r>
      <w:r w:rsidR="00036EEF" w:rsidRPr="008C4C97">
        <w:rPr>
          <w:rFonts w:ascii="Arial" w:eastAsia="Times New Roman" w:hAnsi="Arial" w:cs="Arial"/>
          <w:sz w:val="24"/>
          <w:szCs w:val="24"/>
        </w:rPr>
        <w:t xml:space="preserve"> </w:t>
      </w:r>
    </w:p>
    <w:p w14:paraId="5EABEEDA" w14:textId="77777777" w:rsidR="00767EA2" w:rsidRPr="008C4C97" w:rsidRDefault="00767EA2">
      <w:pPr>
        <w:jc w:val="both"/>
        <w:rPr>
          <w:rFonts w:ascii="Arial" w:hAnsi="Arial" w:cs="Arial"/>
          <w:sz w:val="24"/>
          <w:szCs w:val="24"/>
        </w:rPr>
      </w:pPr>
      <w:r w:rsidRPr="008C4C97">
        <w:rPr>
          <w:rFonts w:ascii="Arial" w:hAnsi="Arial" w:cs="Arial"/>
          <w:sz w:val="24"/>
          <w:szCs w:val="24"/>
        </w:rPr>
        <w:br w:type="page"/>
      </w:r>
    </w:p>
    <w:p w14:paraId="1D5F6604" w14:textId="77777777" w:rsidR="00631AF2" w:rsidRPr="008C4C97" w:rsidRDefault="00631AF2" w:rsidP="00C04FCA">
      <w:pPr>
        <w:pStyle w:val="Heading1"/>
        <w:rPr>
          <w:rFonts w:ascii="Arial" w:hAnsi="Arial" w:cs="Arial"/>
          <w:sz w:val="24"/>
          <w:szCs w:val="24"/>
        </w:rPr>
      </w:pPr>
      <w:r w:rsidRPr="008C4C97">
        <w:rPr>
          <w:rFonts w:ascii="Arial" w:hAnsi="Arial" w:cs="Arial"/>
          <w:b/>
          <w:color w:val="auto"/>
          <w:sz w:val="24"/>
          <w:szCs w:val="24"/>
        </w:rPr>
        <w:lastRenderedPageBreak/>
        <w:t>Supplementary Information</w:t>
      </w:r>
    </w:p>
    <w:p w14:paraId="6FD96DBC" w14:textId="77777777" w:rsidR="00631AF2" w:rsidRPr="008C4C97" w:rsidRDefault="00DD080C">
      <w:pPr>
        <w:jc w:val="both"/>
        <w:rPr>
          <w:rFonts w:ascii="Arial" w:hAnsi="Arial" w:cs="Arial"/>
          <w:sz w:val="24"/>
          <w:szCs w:val="24"/>
        </w:rPr>
      </w:pPr>
      <w:r w:rsidRPr="008C4C97">
        <w:rPr>
          <w:rFonts w:ascii="Arial" w:hAnsi="Arial" w:cs="Arial"/>
          <w:noProof/>
          <w:sz w:val="24"/>
          <w:szCs w:val="24"/>
        </w:rPr>
        <w:t xml:space="preserve"> </w:t>
      </w:r>
      <w:r w:rsidRPr="008C4C97">
        <w:rPr>
          <w:rFonts w:ascii="Arial" w:hAnsi="Arial" w:cs="Arial"/>
          <w:noProof/>
          <w:sz w:val="24"/>
          <w:szCs w:val="24"/>
        </w:rPr>
        <w:drawing>
          <wp:inline distT="0" distB="0" distL="0" distR="0" wp14:anchorId="672047C0" wp14:editId="5C6D79B9">
            <wp:extent cx="5943600" cy="3129280"/>
            <wp:effectExtent l="0" t="0" r="0" b="0"/>
            <wp:docPr id="1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16"/>
                    <a:stretch>
                      <a:fillRect/>
                    </a:stretch>
                  </pic:blipFill>
                  <pic:spPr>
                    <a:xfrm>
                      <a:off x="0" y="0"/>
                      <a:ext cx="5943600" cy="3129280"/>
                    </a:xfrm>
                    <a:prstGeom prst="rect">
                      <a:avLst/>
                    </a:prstGeom>
                  </pic:spPr>
                </pic:pic>
              </a:graphicData>
            </a:graphic>
          </wp:inline>
        </w:drawing>
      </w:r>
    </w:p>
    <w:p w14:paraId="0353ADAD" w14:textId="48D1B9A6" w:rsidR="00631AF2" w:rsidRPr="008C4C97" w:rsidRDefault="003D2B17">
      <w:pPr>
        <w:jc w:val="both"/>
        <w:rPr>
          <w:rFonts w:ascii="Arial" w:hAnsi="Arial" w:cs="Arial"/>
          <w:sz w:val="24"/>
          <w:szCs w:val="24"/>
        </w:rPr>
      </w:pPr>
      <w:r w:rsidRPr="008C4C97">
        <w:rPr>
          <w:rFonts w:ascii="Arial" w:hAnsi="Arial" w:cs="Arial"/>
          <w:b/>
          <w:sz w:val="24"/>
          <w:szCs w:val="24"/>
        </w:rPr>
        <w:t xml:space="preserve">Supplementary Figure 1: Microfluidic </w:t>
      </w:r>
      <w:r w:rsidR="00D753A0" w:rsidRPr="008C4C97">
        <w:rPr>
          <w:rFonts w:ascii="Arial" w:hAnsi="Arial" w:cs="Arial"/>
          <w:b/>
          <w:sz w:val="24"/>
          <w:szCs w:val="24"/>
        </w:rPr>
        <w:t xml:space="preserve">chip fabrication </w:t>
      </w:r>
      <w:r w:rsidRPr="008C4C97">
        <w:rPr>
          <w:rFonts w:ascii="Arial" w:hAnsi="Arial" w:cs="Arial"/>
          <w:b/>
          <w:sz w:val="24"/>
          <w:szCs w:val="24"/>
        </w:rPr>
        <w:t xml:space="preserve">and </w:t>
      </w:r>
      <w:r w:rsidR="00D753A0" w:rsidRPr="008C4C97">
        <w:rPr>
          <w:rFonts w:ascii="Arial" w:hAnsi="Arial" w:cs="Arial"/>
          <w:b/>
          <w:sz w:val="24"/>
          <w:szCs w:val="24"/>
        </w:rPr>
        <w:t>configuration</w:t>
      </w:r>
      <w:r w:rsidRPr="008C4C97">
        <w:rPr>
          <w:rFonts w:ascii="Arial" w:hAnsi="Arial" w:cs="Arial"/>
          <w:b/>
          <w:sz w:val="24"/>
          <w:szCs w:val="24"/>
        </w:rPr>
        <w:t>.</w:t>
      </w:r>
      <w:r w:rsidRPr="008C4C97">
        <w:rPr>
          <w:rFonts w:ascii="Arial" w:hAnsi="Arial" w:cs="Arial"/>
          <w:sz w:val="24"/>
          <w:szCs w:val="24"/>
        </w:rPr>
        <w:t xml:space="preserve"> (a) Microfabrication process of the Gut-Brain-Vascular (GBV) chip. (1) A silicon mold is prepared using SU-8 photoresist lithography, defining the microfluidic channel architecture. (2) Polydimethylsiloxane (PDMS) casting is performed by pouring PDMS over the mold and curing it in 65</w:t>
      </w:r>
      <w:r w:rsidRPr="008C4C97">
        <w:rPr>
          <w:rFonts w:ascii="Arial" w:hAnsi="Arial" w:cs="Arial"/>
          <w:sz w:val="24"/>
          <w:szCs w:val="24"/>
          <w:vertAlign w:val="superscript"/>
        </w:rPr>
        <w:t>o</w:t>
      </w:r>
      <w:r w:rsidRPr="008C4C97">
        <w:rPr>
          <w:rFonts w:ascii="Arial" w:hAnsi="Arial" w:cs="Arial"/>
          <w:sz w:val="24"/>
          <w:szCs w:val="24"/>
        </w:rPr>
        <w:t>C for 2 hours. (3) The cured PDMS layer is demolded to reveal the microchannel structures. (4) The PDMS chip is aligned with acrylic (PMMA) as media reservoir and bonded with a glass substrate using oxygen plasma treatment to create a sealed microfluidic network. (5) The final assembled chip consists of interconnected compartments, allowing dynamic perfusion and real-time observation of gut-brain interactions. (b) GBV Chip Array for Parallel Experiments, each chip consists of three distinct microfluidic channels representing gut channel (G.C., red), vascular channel (V.C., blue), and brain channel (B.C., green). The inset image shows a zoomed-in view of a single unit, demonstrating the tri-channel used for gut-brain interaction modeling.</w:t>
      </w:r>
      <w:r w:rsidR="003C5E13" w:rsidRPr="008C4C97">
        <w:rPr>
          <w:rFonts w:ascii="Arial" w:hAnsi="Arial" w:cs="Arial"/>
          <w:sz w:val="24"/>
          <w:szCs w:val="24"/>
        </w:rPr>
        <w:t xml:space="preserve"> </w:t>
      </w:r>
      <w:r w:rsidRPr="008C4C97">
        <w:rPr>
          <w:rFonts w:ascii="Arial" w:hAnsi="Arial" w:cs="Arial"/>
          <w:sz w:val="24"/>
          <w:szCs w:val="24"/>
        </w:rPr>
        <w:t>(c) Fluorescence images of a single chip configuration illustrating the three-compartment design. The brain compartment (B.C.) (central cyan) is connected to two vascular compartments (V.C.) (blue),</w:t>
      </w:r>
      <w:bookmarkStart w:id="0" w:name="_GoBack"/>
      <w:bookmarkEnd w:id="0"/>
      <w:r w:rsidRPr="008C4C97">
        <w:rPr>
          <w:rFonts w:ascii="Arial" w:hAnsi="Arial" w:cs="Arial"/>
          <w:sz w:val="24"/>
          <w:szCs w:val="24"/>
        </w:rPr>
        <w:t xml:space="preserve"> which are in turn connected to two gut compartments (G.C.) (red), enabling bidirectional gut-brain-vascular communication. The right panel provides a </w:t>
      </w:r>
      <w:r w:rsidR="003C5E13" w:rsidRPr="008C4C97">
        <w:rPr>
          <w:rFonts w:ascii="Arial" w:hAnsi="Arial" w:cs="Arial"/>
          <w:sz w:val="24"/>
          <w:szCs w:val="24"/>
        </w:rPr>
        <w:t>zoom-in</w:t>
      </w:r>
      <w:r w:rsidRPr="008C4C97">
        <w:rPr>
          <w:rFonts w:ascii="Arial" w:hAnsi="Arial" w:cs="Arial"/>
          <w:sz w:val="24"/>
          <w:szCs w:val="24"/>
        </w:rPr>
        <w:t xml:space="preserve"> image of microchannel connections, confirming the interconnectivity of compartments.</w:t>
      </w:r>
      <w:r w:rsidR="003C5E13" w:rsidRPr="008C4C97">
        <w:rPr>
          <w:rFonts w:ascii="Arial" w:hAnsi="Arial" w:cs="Arial"/>
          <w:sz w:val="24"/>
          <w:szCs w:val="24"/>
        </w:rPr>
        <w:t xml:space="preserve"> (d) The 3D schematic representation highlights the compartmental layout. A cross-sectional and dimensional overview of the GBV Chip. The chip consists of microfluidic channels with defined dimensions, including brain compartment (B.C.): 3000 μm in diameter; vascular compartment (V.C.): 300 μm width; </w:t>
      </w:r>
      <w:r w:rsidR="00726654" w:rsidRPr="008C4C97">
        <w:rPr>
          <w:rFonts w:ascii="Arial" w:hAnsi="Arial" w:cs="Arial"/>
          <w:sz w:val="24"/>
          <w:szCs w:val="24"/>
        </w:rPr>
        <w:t>g</w:t>
      </w:r>
      <w:r w:rsidR="003C5E13" w:rsidRPr="008C4C97">
        <w:rPr>
          <w:rFonts w:ascii="Arial" w:hAnsi="Arial" w:cs="Arial"/>
          <w:sz w:val="24"/>
          <w:szCs w:val="24"/>
        </w:rPr>
        <w:t>ut compartment (G.C.): 300 μm width. Intercompartmental connections: 10 μm width in microchannel, allowing controlled molecular transport and cellular interactions between compartments.</w:t>
      </w:r>
    </w:p>
    <w:p w14:paraId="3C3A7A5F" w14:textId="77777777" w:rsidR="00631AF2" w:rsidRPr="008C4C97" w:rsidRDefault="00631AF2">
      <w:pPr>
        <w:jc w:val="both"/>
        <w:rPr>
          <w:rFonts w:ascii="Arial" w:hAnsi="Arial" w:cs="Arial"/>
          <w:sz w:val="24"/>
          <w:szCs w:val="24"/>
        </w:rPr>
      </w:pPr>
      <w:r w:rsidRPr="008C4C97">
        <w:rPr>
          <w:rFonts w:ascii="Arial" w:hAnsi="Arial" w:cs="Arial"/>
          <w:noProof/>
          <w:sz w:val="24"/>
          <w:szCs w:val="24"/>
        </w:rPr>
        <w:lastRenderedPageBreak/>
        <w:drawing>
          <wp:inline distT="0" distB="0" distL="0" distR="0" wp14:anchorId="6EE39A67" wp14:editId="2CA74659">
            <wp:extent cx="5943600" cy="2669540"/>
            <wp:effectExtent l="0" t="0" r="0" b="0"/>
            <wp:docPr id="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r:embed="rId17"/>
                    <a:stretch>
                      <a:fillRect/>
                    </a:stretch>
                  </pic:blipFill>
                  <pic:spPr>
                    <a:xfrm>
                      <a:off x="0" y="0"/>
                      <a:ext cx="5943600" cy="2669540"/>
                    </a:xfrm>
                    <a:prstGeom prst="rect">
                      <a:avLst/>
                    </a:prstGeom>
                  </pic:spPr>
                </pic:pic>
              </a:graphicData>
            </a:graphic>
          </wp:inline>
        </w:drawing>
      </w:r>
    </w:p>
    <w:p w14:paraId="2A757505" w14:textId="0E13E065" w:rsidR="007645E9" w:rsidRPr="008C4C97" w:rsidRDefault="007645E9">
      <w:pPr>
        <w:jc w:val="both"/>
        <w:rPr>
          <w:rFonts w:ascii="Arial" w:hAnsi="Arial" w:cs="Arial"/>
          <w:sz w:val="24"/>
          <w:szCs w:val="24"/>
        </w:rPr>
      </w:pPr>
      <w:r w:rsidRPr="008C4C97">
        <w:rPr>
          <w:rFonts w:ascii="Arial" w:hAnsi="Arial" w:cs="Arial"/>
          <w:b/>
          <w:sz w:val="24"/>
          <w:szCs w:val="24"/>
        </w:rPr>
        <w:t xml:space="preserve">Supplementary Figure 2. Experimental workflow for </w:t>
      </w:r>
      <w:r w:rsidR="00D753A0" w:rsidRPr="008C4C97">
        <w:rPr>
          <w:rFonts w:ascii="Arial" w:hAnsi="Arial" w:cs="Arial"/>
          <w:b/>
          <w:sz w:val="24"/>
          <w:szCs w:val="24"/>
        </w:rPr>
        <w:t>gut</w:t>
      </w:r>
      <w:r w:rsidRPr="008C4C97">
        <w:rPr>
          <w:rFonts w:ascii="Arial" w:hAnsi="Arial" w:cs="Arial"/>
          <w:b/>
          <w:sz w:val="24"/>
          <w:szCs w:val="24"/>
        </w:rPr>
        <w:t>-</w:t>
      </w:r>
      <w:r w:rsidR="00D753A0" w:rsidRPr="008C4C97">
        <w:rPr>
          <w:rFonts w:ascii="Arial" w:hAnsi="Arial" w:cs="Arial"/>
          <w:b/>
          <w:sz w:val="24"/>
          <w:szCs w:val="24"/>
        </w:rPr>
        <w:t>brain</w:t>
      </w:r>
      <w:r w:rsidRPr="008C4C97">
        <w:rPr>
          <w:rFonts w:ascii="Arial" w:hAnsi="Arial" w:cs="Arial"/>
          <w:b/>
          <w:sz w:val="24"/>
          <w:szCs w:val="24"/>
        </w:rPr>
        <w:t>-</w:t>
      </w:r>
      <w:r w:rsidR="00D753A0" w:rsidRPr="008C4C97">
        <w:rPr>
          <w:rFonts w:ascii="Arial" w:hAnsi="Arial" w:cs="Arial"/>
          <w:b/>
          <w:sz w:val="24"/>
          <w:szCs w:val="24"/>
        </w:rPr>
        <w:t xml:space="preserve">vascular </w:t>
      </w:r>
      <w:r w:rsidRPr="008C4C97">
        <w:rPr>
          <w:rFonts w:ascii="Arial" w:hAnsi="Arial" w:cs="Arial"/>
          <w:b/>
          <w:sz w:val="24"/>
          <w:szCs w:val="24"/>
        </w:rPr>
        <w:t>(</w:t>
      </w:r>
      <w:proofErr w:type="spellStart"/>
      <w:r w:rsidRPr="008C4C97">
        <w:rPr>
          <w:rFonts w:ascii="Arial" w:hAnsi="Arial" w:cs="Arial"/>
          <w:b/>
          <w:sz w:val="24"/>
          <w:szCs w:val="24"/>
        </w:rPr>
        <w:t>hGBV</w:t>
      </w:r>
      <w:proofErr w:type="spellEnd"/>
      <w:r w:rsidRPr="008C4C97">
        <w:rPr>
          <w:rFonts w:ascii="Arial" w:hAnsi="Arial" w:cs="Arial"/>
          <w:b/>
          <w:sz w:val="24"/>
          <w:szCs w:val="24"/>
        </w:rPr>
        <w:t xml:space="preserve">) </w:t>
      </w:r>
      <w:r w:rsidR="00D753A0" w:rsidRPr="008C4C97">
        <w:rPr>
          <w:rFonts w:ascii="Arial" w:hAnsi="Arial" w:cs="Arial"/>
          <w:b/>
          <w:sz w:val="24"/>
          <w:szCs w:val="24"/>
        </w:rPr>
        <w:t xml:space="preserve">model development </w:t>
      </w:r>
      <w:r w:rsidRPr="008C4C97">
        <w:rPr>
          <w:rFonts w:ascii="Arial" w:hAnsi="Arial" w:cs="Arial"/>
          <w:b/>
          <w:sz w:val="24"/>
          <w:szCs w:val="24"/>
        </w:rPr>
        <w:t xml:space="preserve">and </w:t>
      </w:r>
      <w:r w:rsidR="00D753A0" w:rsidRPr="008C4C97">
        <w:rPr>
          <w:rFonts w:ascii="Arial" w:hAnsi="Arial" w:cs="Arial"/>
          <w:b/>
          <w:sz w:val="24"/>
          <w:szCs w:val="24"/>
        </w:rPr>
        <w:t>disease modeling</w:t>
      </w:r>
      <w:r w:rsidRPr="008C4C97">
        <w:rPr>
          <w:rFonts w:ascii="Arial" w:hAnsi="Arial" w:cs="Arial"/>
          <w:b/>
          <w:sz w:val="24"/>
          <w:szCs w:val="24"/>
        </w:rPr>
        <w:t xml:space="preserve">. </w:t>
      </w:r>
      <w:r w:rsidRPr="008C4C97">
        <w:rPr>
          <w:rFonts w:ascii="Arial" w:hAnsi="Arial" w:cs="Arial"/>
          <w:sz w:val="24"/>
          <w:szCs w:val="24"/>
        </w:rPr>
        <w:t>Day 0: Seeding of neural progenitor cells (NPCs) for brain compartment differentiation.</w:t>
      </w:r>
      <w:r w:rsidRPr="008C4C97">
        <w:rPr>
          <w:rFonts w:ascii="Arial" w:hAnsi="Arial" w:cs="Arial"/>
          <w:b/>
          <w:sz w:val="24"/>
          <w:szCs w:val="24"/>
        </w:rPr>
        <w:t xml:space="preserve"> </w:t>
      </w:r>
      <w:r w:rsidRPr="008C4C97">
        <w:rPr>
          <w:rFonts w:ascii="Arial" w:hAnsi="Arial" w:cs="Arial"/>
          <w:sz w:val="24"/>
          <w:szCs w:val="24"/>
        </w:rPr>
        <w:t>Day 7: Initiation of brain endothelial cells differentiation from human embryonic stem cells (</w:t>
      </w:r>
      <w:proofErr w:type="spellStart"/>
      <w:r w:rsidRPr="008C4C97">
        <w:rPr>
          <w:rFonts w:ascii="Arial" w:hAnsi="Arial" w:cs="Arial"/>
          <w:sz w:val="24"/>
          <w:szCs w:val="24"/>
        </w:rPr>
        <w:t>hESCs</w:t>
      </w:r>
      <w:proofErr w:type="spellEnd"/>
      <w:r w:rsidRPr="008C4C97">
        <w:rPr>
          <w:rFonts w:ascii="Arial" w:hAnsi="Arial" w:cs="Arial"/>
          <w:sz w:val="24"/>
          <w:szCs w:val="24"/>
        </w:rPr>
        <w:t>) in T25. Day 14: Maturation of brain neurons and astrocytes, followed by introduction of gut CaC</w:t>
      </w:r>
      <w:r w:rsidR="00741B69" w:rsidRPr="008C4C97">
        <w:rPr>
          <w:rFonts w:ascii="Arial" w:hAnsi="Arial" w:cs="Arial"/>
          <w:sz w:val="24"/>
          <w:szCs w:val="24"/>
        </w:rPr>
        <w:t>o-</w:t>
      </w:r>
      <w:r w:rsidRPr="008C4C97">
        <w:rPr>
          <w:rFonts w:ascii="Arial" w:hAnsi="Arial" w:cs="Arial"/>
          <w:sz w:val="24"/>
          <w:szCs w:val="24"/>
        </w:rPr>
        <w:t>2 into the gut compartment. Day 18: Vascular compartment development, where harvested brain microvascular endothelial cells (</w:t>
      </w:r>
      <w:proofErr w:type="spellStart"/>
      <w:r w:rsidRPr="008C4C97">
        <w:rPr>
          <w:rFonts w:ascii="Arial" w:hAnsi="Arial" w:cs="Arial"/>
          <w:sz w:val="24"/>
          <w:szCs w:val="24"/>
        </w:rPr>
        <w:t>iBMECs</w:t>
      </w:r>
      <w:proofErr w:type="spellEnd"/>
      <w:r w:rsidRPr="008C4C97">
        <w:rPr>
          <w:rFonts w:ascii="Arial" w:hAnsi="Arial" w:cs="Arial"/>
          <w:sz w:val="24"/>
          <w:szCs w:val="24"/>
        </w:rPr>
        <w:t xml:space="preserve">) and seeded into the vascular compartment to form a permeable blood-brain barrier (BBB)-like structure. Day 21: The completed </w:t>
      </w:r>
      <w:proofErr w:type="spellStart"/>
      <w:r w:rsidRPr="008C4C97">
        <w:rPr>
          <w:rFonts w:ascii="Arial" w:hAnsi="Arial" w:cs="Arial"/>
          <w:sz w:val="24"/>
          <w:szCs w:val="24"/>
        </w:rPr>
        <w:t>hGBV</w:t>
      </w:r>
      <w:proofErr w:type="spellEnd"/>
      <w:r w:rsidRPr="008C4C97">
        <w:rPr>
          <w:rFonts w:ascii="Arial" w:hAnsi="Arial" w:cs="Arial"/>
          <w:sz w:val="24"/>
          <w:szCs w:val="24"/>
        </w:rPr>
        <w:t xml:space="preserve"> system, enabling g</w:t>
      </w:r>
      <w:r w:rsidR="003517A2" w:rsidRPr="008C4C97">
        <w:rPr>
          <w:rFonts w:ascii="Arial" w:hAnsi="Arial" w:cs="Arial"/>
          <w:sz w:val="24"/>
          <w:szCs w:val="24"/>
        </w:rPr>
        <w:t xml:space="preserve">ut-brain-vascular connectivity, ready for physiological and pathological inducing disease model. </w:t>
      </w:r>
      <w:r w:rsidRPr="008C4C97">
        <w:rPr>
          <w:rFonts w:ascii="Arial" w:hAnsi="Arial" w:cs="Arial"/>
          <w:sz w:val="24"/>
          <w:szCs w:val="24"/>
        </w:rPr>
        <w:t>Day 28</w:t>
      </w:r>
      <w:r w:rsidR="003517A2" w:rsidRPr="008C4C97">
        <w:rPr>
          <w:rFonts w:ascii="Arial" w:hAnsi="Arial" w:cs="Arial"/>
          <w:sz w:val="24"/>
          <w:szCs w:val="24"/>
        </w:rPr>
        <w:t>-42</w:t>
      </w:r>
      <w:r w:rsidRPr="008C4C97">
        <w:rPr>
          <w:rFonts w:ascii="Arial" w:hAnsi="Arial" w:cs="Arial"/>
          <w:sz w:val="24"/>
          <w:szCs w:val="24"/>
        </w:rPr>
        <w:t xml:space="preserve">: </w:t>
      </w:r>
      <w:r w:rsidR="003517A2" w:rsidRPr="008C4C97">
        <w:rPr>
          <w:rFonts w:ascii="Arial" w:hAnsi="Arial" w:cs="Arial"/>
          <w:sz w:val="24"/>
          <w:szCs w:val="24"/>
        </w:rPr>
        <w:t>Maturation</w:t>
      </w:r>
      <w:r w:rsidRPr="008C4C97">
        <w:rPr>
          <w:rFonts w:ascii="Arial" w:hAnsi="Arial" w:cs="Arial"/>
          <w:sz w:val="24"/>
          <w:szCs w:val="24"/>
        </w:rPr>
        <w:t xml:space="preserve"> of </w:t>
      </w:r>
      <w:proofErr w:type="spellStart"/>
      <w:r w:rsidRPr="008C4C97">
        <w:rPr>
          <w:rFonts w:ascii="Arial" w:hAnsi="Arial" w:cs="Arial"/>
          <w:sz w:val="24"/>
          <w:szCs w:val="24"/>
        </w:rPr>
        <w:t>hGBV</w:t>
      </w:r>
      <w:proofErr w:type="spellEnd"/>
      <w:r w:rsidRPr="008C4C97">
        <w:rPr>
          <w:rFonts w:ascii="Arial" w:hAnsi="Arial" w:cs="Arial"/>
          <w:sz w:val="24"/>
          <w:szCs w:val="24"/>
        </w:rPr>
        <w:t xml:space="preserve"> model assembly, transitioning to experimental conditions for gut-brain interaction studies</w:t>
      </w:r>
      <w:r w:rsidR="003517A2" w:rsidRPr="008C4C97">
        <w:rPr>
          <w:rFonts w:ascii="Arial" w:hAnsi="Arial" w:cs="Arial"/>
          <w:sz w:val="24"/>
          <w:szCs w:val="24"/>
        </w:rPr>
        <w:t xml:space="preserve">. </w:t>
      </w:r>
    </w:p>
    <w:p w14:paraId="09FE8423" w14:textId="77777777" w:rsidR="00631AF2" w:rsidRPr="008C4C97" w:rsidRDefault="00631AF2">
      <w:pPr>
        <w:jc w:val="both"/>
        <w:rPr>
          <w:rFonts w:ascii="Arial" w:hAnsi="Arial" w:cs="Arial"/>
          <w:sz w:val="24"/>
          <w:szCs w:val="24"/>
        </w:rPr>
      </w:pPr>
      <w:r w:rsidRPr="008C4C97">
        <w:rPr>
          <w:rFonts w:ascii="Arial" w:hAnsi="Arial" w:cs="Arial"/>
          <w:noProof/>
          <w:sz w:val="24"/>
          <w:szCs w:val="24"/>
        </w:rPr>
        <w:drawing>
          <wp:inline distT="0" distB="0" distL="0" distR="0" wp14:anchorId="28429196" wp14:editId="1CD7E563">
            <wp:extent cx="5943600" cy="314706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8"/>
                    <a:stretch>
                      <a:fillRect/>
                    </a:stretch>
                  </pic:blipFill>
                  <pic:spPr>
                    <a:xfrm>
                      <a:off x="0" y="0"/>
                      <a:ext cx="5943600" cy="3147060"/>
                    </a:xfrm>
                    <a:prstGeom prst="rect">
                      <a:avLst/>
                    </a:prstGeom>
                  </pic:spPr>
                </pic:pic>
              </a:graphicData>
            </a:graphic>
          </wp:inline>
        </w:drawing>
      </w:r>
    </w:p>
    <w:p w14:paraId="041FF1A9" w14:textId="2FD32CB0" w:rsidR="00D4666C" w:rsidRPr="008C4C97" w:rsidRDefault="00D4666C">
      <w:pPr>
        <w:jc w:val="both"/>
        <w:rPr>
          <w:rFonts w:ascii="Arial" w:hAnsi="Arial" w:cs="Arial"/>
          <w:sz w:val="24"/>
          <w:szCs w:val="24"/>
        </w:rPr>
      </w:pPr>
      <w:r w:rsidRPr="008C4C97">
        <w:rPr>
          <w:rFonts w:ascii="Arial" w:hAnsi="Arial" w:cs="Arial"/>
          <w:b/>
          <w:sz w:val="24"/>
          <w:szCs w:val="24"/>
        </w:rPr>
        <w:lastRenderedPageBreak/>
        <w:t xml:space="preserve">Supplementary Figure 3: Optimization of </w:t>
      </w:r>
      <w:proofErr w:type="spellStart"/>
      <w:r w:rsidR="00D753A0" w:rsidRPr="008C4C97">
        <w:rPr>
          <w:rFonts w:ascii="Arial" w:hAnsi="Arial" w:cs="Arial"/>
          <w:b/>
          <w:sz w:val="24"/>
          <w:szCs w:val="24"/>
        </w:rPr>
        <w:t>matrigel</w:t>
      </w:r>
      <w:proofErr w:type="spellEnd"/>
      <w:r w:rsidR="00D753A0" w:rsidRPr="008C4C97">
        <w:rPr>
          <w:rFonts w:ascii="Arial" w:hAnsi="Arial" w:cs="Arial"/>
          <w:b/>
          <w:sz w:val="24"/>
          <w:szCs w:val="24"/>
        </w:rPr>
        <w:t xml:space="preserve"> composition </w:t>
      </w:r>
      <w:r w:rsidRPr="008C4C97">
        <w:rPr>
          <w:rFonts w:ascii="Arial" w:hAnsi="Arial" w:cs="Arial"/>
          <w:b/>
          <w:sz w:val="24"/>
          <w:szCs w:val="24"/>
        </w:rPr>
        <w:t xml:space="preserve">for 3D </w:t>
      </w:r>
      <w:r w:rsidR="00D753A0" w:rsidRPr="008C4C97">
        <w:rPr>
          <w:rFonts w:ascii="Arial" w:hAnsi="Arial" w:cs="Arial"/>
          <w:b/>
          <w:sz w:val="24"/>
          <w:szCs w:val="24"/>
        </w:rPr>
        <w:t xml:space="preserve">brain microenvironment </w:t>
      </w:r>
      <w:r w:rsidRPr="008C4C97">
        <w:rPr>
          <w:rFonts w:ascii="Arial" w:hAnsi="Arial" w:cs="Arial"/>
          <w:b/>
          <w:sz w:val="24"/>
          <w:szCs w:val="24"/>
        </w:rPr>
        <w:t xml:space="preserve">in the </w:t>
      </w:r>
      <w:proofErr w:type="spellStart"/>
      <w:r w:rsidRPr="008C4C97">
        <w:rPr>
          <w:rFonts w:ascii="Arial" w:hAnsi="Arial" w:cs="Arial"/>
          <w:b/>
          <w:sz w:val="24"/>
          <w:szCs w:val="24"/>
        </w:rPr>
        <w:t>hGBV</w:t>
      </w:r>
      <w:proofErr w:type="spellEnd"/>
      <w:r w:rsidRPr="008C4C97">
        <w:rPr>
          <w:rFonts w:ascii="Arial" w:hAnsi="Arial" w:cs="Arial"/>
          <w:b/>
          <w:sz w:val="24"/>
          <w:szCs w:val="24"/>
        </w:rPr>
        <w:t xml:space="preserve"> </w:t>
      </w:r>
      <w:r w:rsidR="00D753A0" w:rsidRPr="008C4C97">
        <w:rPr>
          <w:rFonts w:ascii="Arial" w:hAnsi="Arial" w:cs="Arial"/>
          <w:b/>
          <w:sz w:val="24"/>
          <w:szCs w:val="24"/>
        </w:rPr>
        <w:t>model</w:t>
      </w:r>
      <w:r w:rsidRPr="008C4C97">
        <w:rPr>
          <w:rFonts w:ascii="Arial" w:hAnsi="Arial" w:cs="Arial"/>
          <w:b/>
          <w:sz w:val="24"/>
          <w:szCs w:val="24"/>
        </w:rPr>
        <w:t>.</w:t>
      </w:r>
      <w:r w:rsidRPr="008C4C97">
        <w:rPr>
          <w:rFonts w:ascii="Arial" w:hAnsi="Arial" w:cs="Arial"/>
          <w:sz w:val="24"/>
          <w:szCs w:val="24"/>
        </w:rPr>
        <w:t xml:space="preserve"> (a) Representative images of NPC-derived neurons and astrocytes grown in 1%, 5%, and 10% Matrigel, where astrocytes (GFAP, yellow), neuron (</w:t>
      </w:r>
      <w:proofErr w:type="spellStart"/>
      <w:r w:rsidRPr="008C4C97">
        <w:rPr>
          <w:rFonts w:ascii="Arial" w:hAnsi="Arial" w:cs="Arial"/>
          <w:sz w:val="24"/>
          <w:szCs w:val="24"/>
        </w:rPr>
        <w:t>NeuN</w:t>
      </w:r>
      <w:proofErr w:type="spellEnd"/>
      <w:r w:rsidRPr="008C4C97">
        <w:rPr>
          <w:rFonts w:ascii="Arial" w:hAnsi="Arial" w:cs="Arial"/>
          <w:sz w:val="24"/>
          <w:szCs w:val="24"/>
        </w:rPr>
        <w:t xml:space="preserve">, green) and synaptic marker (SYN-1, red) show </w:t>
      </w:r>
      <w:proofErr w:type="spellStart"/>
      <w:r w:rsidRPr="008C4C97">
        <w:rPr>
          <w:rFonts w:ascii="Arial" w:hAnsi="Arial" w:cs="Arial"/>
          <w:sz w:val="24"/>
          <w:szCs w:val="24"/>
        </w:rPr>
        <w:t>matrigel</w:t>
      </w:r>
      <w:proofErr w:type="spellEnd"/>
      <w:r w:rsidRPr="008C4C97">
        <w:rPr>
          <w:rFonts w:ascii="Arial" w:hAnsi="Arial" w:cs="Arial"/>
          <w:sz w:val="24"/>
          <w:szCs w:val="24"/>
        </w:rPr>
        <w:t xml:space="preserve"> concentrations (5% and 10%) promote astrocytic elongation and interconnectivity with neuron via synaptic network complexity. (b-c) Quantification of </w:t>
      </w:r>
      <w:proofErr w:type="spellStart"/>
      <w:r w:rsidRPr="008C4C97">
        <w:rPr>
          <w:rFonts w:ascii="Arial" w:hAnsi="Arial" w:cs="Arial"/>
          <w:sz w:val="24"/>
          <w:szCs w:val="24"/>
        </w:rPr>
        <w:t>astrocytis</w:t>
      </w:r>
      <w:proofErr w:type="spellEnd"/>
      <w:r w:rsidRPr="008C4C97">
        <w:rPr>
          <w:rFonts w:ascii="Arial" w:hAnsi="Arial" w:cs="Arial"/>
          <w:sz w:val="24"/>
          <w:szCs w:val="24"/>
        </w:rPr>
        <w:t xml:space="preserve"> morphology. (d-f) Quantification of GFAP expression, SYN-1 expression, and </w:t>
      </w:r>
      <w:r w:rsidR="002010D3" w:rsidRPr="008C4C97">
        <w:rPr>
          <w:rFonts w:ascii="Arial" w:hAnsi="Arial" w:cs="Arial"/>
          <w:sz w:val="24"/>
          <w:szCs w:val="24"/>
        </w:rPr>
        <w:t xml:space="preserve">neuronal density. </w:t>
      </w:r>
    </w:p>
    <w:p w14:paraId="475C090E" w14:textId="4D7E8973" w:rsidR="006E64AD" w:rsidRPr="008C4C97" w:rsidRDefault="00DD080C">
      <w:pPr>
        <w:jc w:val="both"/>
        <w:rPr>
          <w:rFonts w:ascii="Arial" w:hAnsi="Arial" w:cs="Arial"/>
          <w:sz w:val="24"/>
          <w:szCs w:val="24"/>
        </w:rPr>
      </w:pPr>
      <w:r w:rsidRPr="008C4C97">
        <w:rPr>
          <w:rFonts w:ascii="Arial" w:hAnsi="Arial" w:cs="Arial"/>
          <w:noProof/>
          <w:sz w:val="24"/>
          <w:szCs w:val="24"/>
        </w:rPr>
        <w:drawing>
          <wp:inline distT="0" distB="0" distL="0" distR="0" wp14:anchorId="2187BBCB" wp14:editId="6F3C1064">
            <wp:extent cx="5943600" cy="5206365"/>
            <wp:effectExtent l="0" t="0" r="0" b="0"/>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9"/>
                    <a:stretch>
                      <a:fillRect/>
                    </a:stretch>
                  </pic:blipFill>
                  <pic:spPr>
                    <a:xfrm>
                      <a:off x="0" y="0"/>
                      <a:ext cx="5943600" cy="5206365"/>
                    </a:xfrm>
                    <a:prstGeom prst="rect">
                      <a:avLst/>
                    </a:prstGeom>
                  </pic:spPr>
                </pic:pic>
              </a:graphicData>
            </a:graphic>
          </wp:inline>
        </w:drawing>
      </w:r>
    </w:p>
    <w:p w14:paraId="30D42AAA" w14:textId="5E2C5892" w:rsidR="00CB34D5" w:rsidRPr="008C4C97" w:rsidRDefault="00051109">
      <w:pPr>
        <w:jc w:val="both"/>
        <w:rPr>
          <w:rFonts w:ascii="Arial" w:hAnsi="Arial" w:cs="Arial"/>
          <w:sz w:val="24"/>
          <w:szCs w:val="24"/>
        </w:rPr>
      </w:pPr>
      <w:r w:rsidRPr="008C4C97">
        <w:rPr>
          <w:rFonts w:ascii="Arial" w:hAnsi="Arial" w:cs="Arial"/>
          <w:b/>
          <w:sz w:val="24"/>
          <w:szCs w:val="24"/>
        </w:rPr>
        <w:t xml:space="preserve">Supplementary Figure 4: 3D </w:t>
      </w:r>
      <w:r w:rsidR="00D753A0" w:rsidRPr="008C4C97">
        <w:rPr>
          <w:rFonts w:ascii="Arial" w:hAnsi="Arial" w:cs="Arial"/>
          <w:b/>
          <w:sz w:val="24"/>
          <w:szCs w:val="24"/>
        </w:rPr>
        <w:t xml:space="preserve">structural integrity </w:t>
      </w:r>
      <w:r w:rsidRPr="008C4C97">
        <w:rPr>
          <w:rFonts w:ascii="Arial" w:hAnsi="Arial" w:cs="Arial"/>
          <w:b/>
          <w:sz w:val="24"/>
          <w:szCs w:val="24"/>
        </w:rPr>
        <w:t xml:space="preserve">of the </w:t>
      </w:r>
      <w:proofErr w:type="spellStart"/>
      <w:r w:rsidRPr="008C4C97">
        <w:rPr>
          <w:rFonts w:ascii="Arial" w:hAnsi="Arial" w:cs="Arial"/>
          <w:b/>
          <w:sz w:val="24"/>
          <w:szCs w:val="24"/>
        </w:rPr>
        <w:t>hGBV</w:t>
      </w:r>
      <w:proofErr w:type="spellEnd"/>
      <w:r w:rsidRPr="008C4C97">
        <w:rPr>
          <w:rFonts w:ascii="Arial" w:hAnsi="Arial" w:cs="Arial"/>
          <w:b/>
          <w:sz w:val="24"/>
          <w:szCs w:val="24"/>
        </w:rPr>
        <w:t xml:space="preserve"> </w:t>
      </w:r>
      <w:r w:rsidR="00D753A0" w:rsidRPr="008C4C97">
        <w:rPr>
          <w:rFonts w:ascii="Arial" w:hAnsi="Arial" w:cs="Arial"/>
          <w:b/>
          <w:sz w:val="24"/>
          <w:szCs w:val="24"/>
        </w:rPr>
        <w:t xml:space="preserve">model </w:t>
      </w:r>
      <w:r w:rsidRPr="008C4C97">
        <w:rPr>
          <w:rFonts w:ascii="Arial" w:hAnsi="Arial" w:cs="Arial"/>
          <w:b/>
          <w:sz w:val="24"/>
          <w:szCs w:val="24"/>
        </w:rPr>
        <w:t xml:space="preserve">and </w:t>
      </w:r>
      <w:r w:rsidR="00D753A0" w:rsidRPr="008C4C97">
        <w:rPr>
          <w:rFonts w:ascii="Arial" w:hAnsi="Arial" w:cs="Arial"/>
          <w:b/>
          <w:sz w:val="24"/>
          <w:szCs w:val="24"/>
        </w:rPr>
        <w:t xml:space="preserve">validation </w:t>
      </w:r>
      <w:r w:rsidRPr="008C4C97">
        <w:rPr>
          <w:rFonts w:ascii="Arial" w:hAnsi="Arial" w:cs="Arial"/>
          <w:b/>
          <w:sz w:val="24"/>
          <w:szCs w:val="24"/>
        </w:rPr>
        <w:t xml:space="preserve">of </w:t>
      </w:r>
      <w:r w:rsidR="00D753A0" w:rsidRPr="008C4C97">
        <w:rPr>
          <w:rFonts w:ascii="Arial" w:hAnsi="Arial" w:cs="Arial"/>
          <w:b/>
          <w:sz w:val="24"/>
          <w:szCs w:val="24"/>
        </w:rPr>
        <w:t>stable culture conditions</w:t>
      </w:r>
      <w:r w:rsidRPr="008C4C97">
        <w:rPr>
          <w:rFonts w:ascii="Arial" w:hAnsi="Arial" w:cs="Arial"/>
          <w:sz w:val="24"/>
          <w:szCs w:val="24"/>
        </w:rPr>
        <w:t xml:space="preserve">. This figure demonstrates the 3D structural organization of the </w:t>
      </w:r>
      <w:proofErr w:type="spellStart"/>
      <w:r w:rsidRPr="008C4C97">
        <w:rPr>
          <w:rFonts w:ascii="Arial" w:hAnsi="Arial" w:cs="Arial"/>
          <w:sz w:val="24"/>
          <w:szCs w:val="24"/>
        </w:rPr>
        <w:t>hGBV</w:t>
      </w:r>
      <w:proofErr w:type="spellEnd"/>
      <w:r w:rsidRPr="008C4C97">
        <w:rPr>
          <w:rFonts w:ascii="Arial" w:hAnsi="Arial" w:cs="Arial"/>
          <w:sz w:val="24"/>
          <w:szCs w:val="24"/>
        </w:rPr>
        <w:t xml:space="preserve"> model and confirms the absence of media shock during the culture period, ensuring stable compartmentalization and physiological integrity. (a) Fluorescence composite image showing the compartmentalized architecture of the brain (B.C., green), vascular endothelium (V.C., red), and gut epithelium (G.C., yellow), illustrating their distinct yet interconnected microenvironments. (b) Cross-sectional 3D reconstruction </w:t>
      </w:r>
      <w:r w:rsidRPr="008C4C97">
        <w:rPr>
          <w:rFonts w:ascii="Arial" w:hAnsi="Arial" w:cs="Arial"/>
          <w:sz w:val="24"/>
          <w:szCs w:val="24"/>
        </w:rPr>
        <w:lastRenderedPageBreak/>
        <w:t>displaying neuronal (Tuj1, red), astrocytic (GFAP, yellow), endothelial (</w:t>
      </w:r>
      <w:proofErr w:type="spellStart"/>
      <w:r w:rsidRPr="008C4C97">
        <w:rPr>
          <w:rFonts w:ascii="Arial" w:hAnsi="Arial" w:cs="Arial"/>
          <w:sz w:val="24"/>
          <w:szCs w:val="24"/>
        </w:rPr>
        <w:t>iBMEC</w:t>
      </w:r>
      <w:proofErr w:type="spellEnd"/>
      <w:r w:rsidRPr="008C4C97">
        <w:rPr>
          <w:rFonts w:ascii="Arial" w:hAnsi="Arial" w:cs="Arial"/>
          <w:sz w:val="24"/>
          <w:szCs w:val="24"/>
        </w:rPr>
        <w:t>, blue with green) and gut epithelium (Ca</w:t>
      </w:r>
      <w:r w:rsidR="00741B69" w:rsidRPr="008C4C97">
        <w:rPr>
          <w:rFonts w:ascii="Arial" w:hAnsi="Arial" w:cs="Arial"/>
          <w:sz w:val="24"/>
          <w:szCs w:val="24"/>
        </w:rPr>
        <w:t>co-</w:t>
      </w:r>
      <w:r w:rsidRPr="008C4C97">
        <w:rPr>
          <w:rFonts w:ascii="Arial" w:hAnsi="Arial" w:cs="Arial"/>
          <w:sz w:val="24"/>
          <w:szCs w:val="24"/>
        </w:rPr>
        <w:t xml:space="preserve">2, blue) layers, confirming proper layered spatial organization within the microfluidic platform. c) Confocal imaging of gut epithelium (ZO-1, green) confirms the formation of villus-like structures, indicating intact epithelial organization without disruption. d) Dextran permeability assay (4 </w:t>
      </w:r>
      <w:proofErr w:type="spellStart"/>
      <w:r w:rsidRPr="008C4C97">
        <w:rPr>
          <w:rFonts w:ascii="Arial" w:hAnsi="Arial" w:cs="Arial"/>
          <w:sz w:val="24"/>
          <w:szCs w:val="24"/>
        </w:rPr>
        <w:t>kDa</w:t>
      </w:r>
      <w:proofErr w:type="spellEnd"/>
      <w:r w:rsidRPr="008C4C97">
        <w:rPr>
          <w:rFonts w:ascii="Arial" w:hAnsi="Arial" w:cs="Arial"/>
          <w:sz w:val="24"/>
          <w:szCs w:val="24"/>
        </w:rPr>
        <w:t>) comparing an empty chip (control, no cells) vs. a fully seeded chip (Gut Epi/</w:t>
      </w:r>
      <w:proofErr w:type="spellStart"/>
      <w:r w:rsidRPr="008C4C97">
        <w:rPr>
          <w:rFonts w:ascii="Arial" w:hAnsi="Arial" w:cs="Arial"/>
          <w:sz w:val="24"/>
          <w:szCs w:val="24"/>
        </w:rPr>
        <w:t>iBMEC</w:t>
      </w:r>
      <w:proofErr w:type="spellEnd"/>
      <w:r w:rsidRPr="008C4C97">
        <w:rPr>
          <w:rFonts w:ascii="Arial" w:hAnsi="Arial" w:cs="Arial"/>
          <w:sz w:val="24"/>
          <w:szCs w:val="24"/>
        </w:rPr>
        <w:t>/</w:t>
      </w:r>
      <w:proofErr w:type="spellStart"/>
      <w:r w:rsidRPr="008C4C97">
        <w:rPr>
          <w:rFonts w:ascii="Arial" w:hAnsi="Arial" w:cs="Arial"/>
          <w:sz w:val="24"/>
          <w:szCs w:val="24"/>
        </w:rPr>
        <w:t>Neu</w:t>
      </w:r>
      <w:proofErr w:type="spellEnd"/>
      <w:r w:rsidRPr="008C4C97">
        <w:rPr>
          <w:rFonts w:ascii="Arial" w:hAnsi="Arial" w:cs="Arial"/>
          <w:sz w:val="24"/>
          <w:szCs w:val="24"/>
        </w:rPr>
        <w:t xml:space="preserve"> and AC). The seeded chip maintains structural integrity, preventing non-specific leakage across compartments. Quantification of barrier integrity (e-f) Gut epithelium (G.C.) shows no significant changes in villus marker (ViL1) and epithelial tight junction (ZO-1) expression, indicating stable gut barrier integrity in multi-cellular culture system. (g-h) Endothelial (V.C.) show ZO-1 significantly increases (p = 0.0021), confirming proper endothelial barrier function in tetra-culture model while CD31 expression remains stable, suggesting consistent vascular integrity throughout multi-cellular culture system. (i) FITC-Dextran permeability assessment shows a significant reduction in diffusion across the vascular and brain compartments. (j) Whole-brain compartment (B.C.) image confirms the preserved 3D structure of neurons and astrocytes. (l) Astrocytic end-feet (GFAP, red) wrap around endothelial structures, demonstrating neurovascular interactions without disruption. (m) GFAP expression remains unchanged, indicating stable astrocyte function with</w:t>
      </w:r>
      <w:r w:rsidR="000D5000" w:rsidRPr="008C4C97">
        <w:rPr>
          <w:rFonts w:ascii="Arial" w:hAnsi="Arial" w:cs="Arial"/>
          <w:sz w:val="24"/>
          <w:szCs w:val="24"/>
        </w:rPr>
        <w:t xml:space="preserve">out culture-induced reactivity. </w:t>
      </w:r>
      <w:r w:rsidRPr="008C4C97">
        <w:rPr>
          <w:rFonts w:ascii="Arial" w:hAnsi="Arial" w:cs="Arial"/>
          <w:sz w:val="24"/>
          <w:szCs w:val="24"/>
        </w:rPr>
        <w:t>(n) Synapsin-1 (SYN-1) expression is maintained, confirming neuronal network stability in the chip throughout the culture period.</w:t>
      </w:r>
    </w:p>
    <w:p w14:paraId="567587A9" w14:textId="77777777" w:rsidR="00631AF2" w:rsidRPr="008C4C97" w:rsidRDefault="00631AF2">
      <w:pPr>
        <w:jc w:val="both"/>
        <w:rPr>
          <w:rFonts w:ascii="Arial" w:hAnsi="Arial" w:cs="Arial"/>
          <w:b/>
          <w:sz w:val="24"/>
          <w:szCs w:val="24"/>
        </w:rPr>
      </w:pPr>
      <w:r w:rsidRPr="008C4C97">
        <w:rPr>
          <w:rFonts w:ascii="Arial" w:hAnsi="Arial" w:cs="Arial"/>
          <w:b/>
          <w:noProof/>
          <w:sz w:val="24"/>
          <w:szCs w:val="24"/>
        </w:rPr>
        <w:drawing>
          <wp:inline distT="0" distB="0" distL="0" distR="0" wp14:anchorId="6E4DCEA0" wp14:editId="39FCCB88">
            <wp:extent cx="5943600" cy="1755140"/>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0"/>
                    <a:stretch>
                      <a:fillRect/>
                    </a:stretch>
                  </pic:blipFill>
                  <pic:spPr>
                    <a:xfrm>
                      <a:off x="0" y="0"/>
                      <a:ext cx="5943600" cy="1755140"/>
                    </a:xfrm>
                    <a:prstGeom prst="rect">
                      <a:avLst/>
                    </a:prstGeom>
                  </pic:spPr>
                </pic:pic>
              </a:graphicData>
            </a:graphic>
          </wp:inline>
        </w:drawing>
      </w:r>
    </w:p>
    <w:p w14:paraId="1D0BB3DF" w14:textId="74A4F181" w:rsidR="00631AF2" w:rsidRPr="008C4C97" w:rsidRDefault="000D7C4F">
      <w:pPr>
        <w:jc w:val="both"/>
        <w:rPr>
          <w:rFonts w:ascii="Arial" w:hAnsi="Arial" w:cs="Arial"/>
          <w:b/>
          <w:sz w:val="24"/>
          <w:szCs w:val="24"/>
        </w:rPr>
      </w:pPr>
      <w:r w:rsidRPr="008C4C97">
        <w:rPr>
          <w:rFonts w:ascii="Arial" w:hAnsi="Arial" w:cs="Arial"/>
          <w:b/>
          <w:sz w:val="24"/>
          <w:szCs w:val="24"/>
        </w:rPr>
        <w:t xml:space="preserve">Supplementary Figure 5: Cytokine </w:t>
      </w:r>
      <w:r w:rsidR="00D753A0" w:rsidRPr="008C4C97">
        <w:rPr>
          <w:rFonts w:ascii="Arial" w:hAnsi="Arial" w:cs="Arial"/>
          <w:b/>
          <w:sz w:val="24"/>
          <w:szCs w:val="24"/>
        </w:rPr>
        <w:t xml:space="preserve">profile </w:t>
      </w:r>
      <w:r w:rsidRPr="008C4C97">
        <w:rPr>
          <w:rFonts w:ascii="Arial" w:hAnsi="Arial" w:cs="Arial"/>
          <w:b/>
          <w:sz w:val="24"/>
          <w:szCs w:val="24"/>
        </w:rPr>
        <w:t xml:space="preserve">of </w:t>
      </w:r>
      <w:r w:rsidR="00D753A0" w:rsidRPr="008C4C97">
        <w:rPr>
          <w:rFonts w:ascii="Arial" w:hAnsi="Arial" w:cs="Arial"/>
          <w:b/>
          <w:sz w:val="24"/>
          <w:szCs w:val="24"/>
        </w:rPr>
        <w:t xml:space="preserve">gut epithelium following exposure </w:t>
      </w:r>
      <w:r w:rsidRPr="008C4C97">
        <w:rPr>
          <w:rFonts w:ascii="Arial" w:hAnsi="Arial" w:cs="Arial"/>
          <w:b/>
          <w:sz w:val="24"/>
          <w:szCs w:val="24"/>
        </w:rPr>
        <w:t xml:space="preserve">to </w:t>
      </w:r>
      <w:r w:rsidR="00D753A0" w:rsidRPr="008C4C97">
        <w:rPr>
          <w:rFonts w:ascii="Arial" w:hAnsi="Arial" w:cs="Arial"/>
          <w:b/>
          <w:sz w:val="24"/>
          <w:szCs w:val="24"/>
        </w:rPr>
        <w:t>bacterial</w:t>
      </w:r>
      <w:r w:rsidRPr="008C4C97">
        <w:rPr>
          <w:rFonts w:ascii="Arial" w:hAnsi="Arial" w:cs="Arial"/>
          <w:b/>
          <w:sz w:val="24"/>
          <w:szCs w:val="24"/>
        </w:rPr>
        <w:t>-</w:t>
      </w:r>
      <w:r w:rsidR="00D753A0" w:rsidRPr="008C4C97">
        <w:rPr>
          <w:rFonts w:ascii="Arial" w:hAnsi="Arial" w:cs="Arial"/>
          <w:b/>
          <w:sz w:val="24"/>
          <w:szCs w:val="24"/>
        </w:rPr>
        <w:t>derived toxins</w:t>
      </w:r>
      <w:r w:rsidRPr="008C4C97">
        <w:rPr>
          <w:rFonts w:ascii="Arial" w:hAnsi="Arial" w:cs="Arial"/>
          <w:b/>
          <w:sz w:val="24"/>
          <w:szCs w:val="24"/>
        </w:rPr>
        <w:t xml:space="preserve">. </w:t>
      </w:r>
      <w:r w:rsidR="00496305" w:rsidRPr="008C4C97">
        <w:rPr>
          <w:rFonts w:ascii="Arial" w:hAnsi="Arial" w:cs="Arial"/>
          <w:sz w:val="24"/>
          <w:szCs w:val="24"/>
        </w:rPr>
        <w:t>This figure presents the cytokine secretion profile from the gut epithelium (G.C.) in response to bacterial-derived toxins, including Helicobacter-conditioned media (HP</w:t>
      </w:r>
      <w:r w:rsidR="00496305" w:rsidRPr="008C4C97">
        <w:rPr>
          <w:rFonts w:ascii="Arial" w:hAnsi="Arial" w:cs="Arial"/>
          <w:sz w:val="24"/>
          <w:szCs w:val="24"/>
          <w:vertAlign w:val="subscript"/>
        </w:rPr>
        <w:t>CM</w:t>
      </w:r>
      <w:r w:rsidR="00496305" w:rsidRPr="008C4C97">
        <w:rPr>
          <w:rFonts w:ascii="Arial" w:hAnsi="Arial" w:cs="Arial"/>
          <w:sz w:val="24"/>
          <w:szCs w:val="24"/>
        </w:rPr>
        <w:t>, 10%) and lipopolysaccharide (LPS, 1 µg/mL), compared to control (CT) conditions.</w:t>
      </w:r>
      <w:r w:rsidR="00496305" w:rsidRPr="008C4C97">
        <w:rPr>
          <w:rFonts w:ascii="Arial" w:hAnsi="Arial" w:cs="Arial"/>
          <w:b/>
          <w:sz w:val="24"/>
          <w:szCs w:val="24"/>
        </w:rPr>
        <w:t xml:space="preserve"> </w:t>
      </w:r>
      <w:r w:rsidRPr="008C4C97">
        <w:rPr>
          <w:rFonts w:ascii="Arial" w:hAnsi="Arial" w:cs="Arial"/>
          <w:sz w:val="24"/>
          <w:szCs w:val="24"/>
        </w:rPr>
        <w:t>(a) Dot blot human cytokine array comparing the secreted inflammatory factors from the control (CT), HP</w:t>
      </w:r>
      <w:r w:rsidRPr="008C4C97">
        <w:rPr>
          <w:rFonts w:ascii="Arial" w:hAnsi="Arial" w:cs="Arial"/>
          <w:sz w:val="24"/>
          <w:szCs w:val="24"/>
          <w:vertAlign w:val="subscript"/>
        </w:rPr>
        <w:t>CM</w:t>
      </w:r>
      <w:r w:rsidRPr="008C4C97">
        <w:rPr>
          <w:rFonts w:ascii="Arial" w:hAnsi="Arial" w:cs="Arial"/>
          <w:sz w:val="24"/>
          <w:szCs w:val="24"/>
        </w:rPr>
        <w:t xml:space="preserve">-treated, and LPS-treated gut epithelium. </w:t>
      </w:r>
      <w:r w:rsidR="007D1D3E" w:rsidRPr="008C4C97">
        <w:rPr>
          <w:rFonts w:ascii="Arial" w:hAnsi="Arial" w:cs="Arial"/>
          <w:sz w:val="24"/>
          <w:szCs w:val="24"/>
        </w:rPr>
        <w:t>Increased spot intensity in HPCM and LPS conditions indicates an upregulation of multiple cytokines and chemokines compared to control.</w:t>
      </w:r>
      <w:r w:rsidRPr="008C4C97">
        <w:rPr>
          <w:rFonts w:ascii="Arial" w:hAnsi="Arial" w:cs="Arial"/>
          <w:sz w:val="24"/>
          <w:szCs w:val="24"/>
        </w:rPr>
        <w:t xml:space="preserve"> (b) A heatmap visualization of cytokine secretion</w:t>
      </w:r>
      <w:r w:rsidR="007D1D3E" w:rsidRPr="008C4C97">
        <w:rPr>
          <w:rFonts w:ascii="Arial" w:hAnsi="Arial" w:cs="Arial"/>
          <w:sz w:val="24"/>
          <w:szCs w:val="24"/>
        </w:rPr>
        <w:t xml:space="preserve"> from gut epithelium</w:t>
      </w:r>
      <w:r w:rsidRPr="008C4C97">
        <w:rPr>
          <w:rFonts w:ascii="Arial" w:hAnsi="Arial" w:cs="Arial"/>
          <w:sz w:val="24"/>
          <w:szCs w:val="24"/>
        </w:rPr>
        <w:t xml:space="preserve"> (Log</w:t>
      </w:r>
      <w:r w:rsidRPr="008C4C97">
        <w:rPr>
          <w:rFonts w:ascii="Cambria Math" w:hAnsi="Cambria Math" w:cs="Cambria Math"/>
          <w:sz w:val="24"/>
          <w:szCs w:val="24"/>
        </w:rPr>
        <w:t>₂</w:t>
      </w:r>
      <w:r w:rsidRPr="008C4C97">
        <w:rPr>
          <w:rFonts w:ascii="Arial" w:hAnsi="Arial" w:cs="Arial"/>
          <w:sz w:val="24"/>
          <w:szCs w:val="24"/>
        </w:rPr>
        <w:t xml:space="preserve"> Fold Change, </w:t>
      </w:r>
      <w:r w:rsidR="00D753A0" w:rsidRPr="008C4C97">
        <w:rPr>
          <w:rFonts w:ascii="Arial" w:hAnsi="Arial" w:cs="Arial"/>
          <w:sz w:val="24"/>
          <w:szCs w:val="24"/>
        </w:rPr>
        <w:t>FC) in</w:t>
      </w:r>
      <w:r w:rsidRPr="008C4C97">
        <w:rPr>
          <w:rFonts w:ascii="Arial" w:hAnsi="Arial" w:cs="Arial"/>
          <w:sz w:val="24"/>
          <w:szCs w:val="24"/>
        </w:rPr>
        <w:t xml:space="preserve"> response to HP</w:t>
      </w:r>
      <w:r w:rsidRPr="008C4C97">
        <w:rPr>
          <w:rFonts w:ascii="Arial" w:hAnsi="Arial" w:cs="Arial"/>
          <w:sz w:val="24"/>
          <w:szCs w:val="24"/>
          <w:vertAlign w:val="subscript"/>
        </w:rPr>
        <w:t>CM</w:t>
      </w:r>
      <w:r w:rsidRPr="008C4C97">
        <w:rPr>
          <w:rFonts w:ascii="Arial" w:hAnsi="Arial" w:cs="Arial"/>
          <w:sz w:val="24"/>
          <w:szCs w:val="24"/>
        </w:rPr>
        <w:t xml:space="preserve"> and LPS exposure, compared to control. LPS exposure upregulated CCL2, CXCL1, IL-6, IL-21, and TNF-α, suggesting a strong pro-inflammatory response. HP</w:t>
      </w:r>
      <w:r w:rsidRPr="008C4C97">
        <w:rPr>
          <w:rFonts w:ascii="Arial" w:hAnsi="Arial" w:cs="Arial"/>
          <w:sz w:val="24"/>
          <w:szCs w:val="24"/>
          <w:vertAlign w:val="subscript"/>
        </w:rPr>
        <w:t>CM</w:t>
      </w:r>
      <w:r w:rsidRPr="008C4C97">
        <w:rPr>
          <w:rFonts w:ascii="Arial" w:hAnsi="Arial" w:cs="Arial"/>
          <w:sz w:val="24"/>
          <w:szCs w:val="24"/>
        </w:rPr>
        <w:t xml:space="preserve"> exposure induced IFN-γ, IL-5, IL-12, IL-16, and C5a, indicating activation of gut-specific immune pathways associated with microbial interactions. Both conditions led to the upregulation of IL-1β, IL-</w:t>
      </w:r>
      <w:r w:rsidRPr="008C4C97">
        <w:rPr>
          <w:rFonts w:ascii="Arial" w:hAnsi="Arial" w:cs="Arial"/>
          <w:sz w:val="24"/>
          <w:szCs w:val="24"/>
        </w:rPr>
        <w:lastRenderedPageBreak/>
        <w:t>6, IL-18, and CXCL10, confirming an inflammatory signature linked to gut barrier dysfunction and immune activation. Some cytokines (e.g., IL-10, IL-27) remained unchanged, highlighting differential regulation of inflammatory signaling in gut epithelium upon bacterial toxin exposure.</w:t>
      </w:r>
    </w:p>
    <w:p w14:paraId="65004016" w14:textId="77777777" w:rsidR="00631AF2" w:rsidRPr="008C4C97" w:rsidRDefault="00631AF2">
      <w:pPr>
        <w:jc w:val="both"/>
        <w:rPr>
          <w:rFonts w:ascii="Arial" w:hAnsi="Arial" w:cs="Arial"/>
          <w:b/>
          <w:sz w:val="24"/>
          <w:szCs w:val="24"/>
        </w:rPr>
      </w:pPr>
      <w:r w:rsidRPr="008C4C97">
        <w:rPr>
          <w:rFonts w:ascii="Arial" w:hAnsi="Arial" w:cs="Arial"/>
          <w:b/>
          <w:noProof/>
          <w:sz w:val="24"/>
          <w:szCs w:val="24"/>
        </w:rPr>
        <w:drawing>
          <wp:inline distT="0" distB="0" distL="0" distR="0" wp14:anchorId="3219008A" wp14:editId="043689B3">
            <wp:extent cx="5943600" cy="1722120"/>
            <wp:effectExtent l="0" t="0" r="0" b="0"/>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21"/>
                    <a:stretch>
                      <a:fillRect/>
                    </a:stretch>
                  </pic:blipFill>
                  <pic:spPr>
                    <a:xfrm>
                      <a:off x="0" y="0"/>
                      <a:ext cx="5943600" cy="1722120"/>
                    </a:xfrm>
                    <a:prstGeom prst="rect">
                      <a:avLst/>
                    </a:prstGeom>
                  </pic:spPr>
                </pic:pic>
              </a:graphicData>
            </a:graphic>
          </wp:inline>
        </w:drawing>
      </w:r>
    </w:p>
    <w:p w14:paraId="55A7702C" w14:textId="10141B63" w:rsidR="00CC7D45" w:rsidRPr="008C4C97" w:rsidRDefault="00CC7D45">
      <w:pPr>
        <w:jc w:val="both"/>
        <w:rPr>
          <w:rFonts w:ascii="Arial" w:hAnsi="Arial" w:cs="Arial"/>
          <w:sz w:val="24"/>
          <w:szCs w:val="24"/>
        </w:rPr>
      </w:pPr>
      <w:r w:rsidRPr="008C4C97">
        <w:rPr>
          <w:rFonts w:ascii="Arial" w:hAnsi="Arial" w:cs="Arial"/>
          <w:b/>
          <w:sz w:val="24"/>
          <w:szCs w:val="24"/>
        </w:rPr>
        <w:t xml:space="preserve">Supplementary Figure 6: Cytokine </w:t>
      </w:r>
      <w:r w:rsidR="00D753A0" w:rsidRPr="008C4C97">
        <w:rPr>
          <w:rFonts w:ascii="Arial" w:hAnsi="Arial" w:cs="Arial"/>
          <w:b/>
          <w:sz w:val="24"/>
          <w:szCs w:val="24"/>
        </w:rPr>
        <w:t xml:space="preserve">profile </w:t>
      </w:r>
      <w:r w:rsidRPr="008C4C97">
        <w:rPr>
          <w:rFonts w:ascii="Arial" w:hAnsi="Arial" w:cs="Arial"/>
          <w:b/>
          <w:sz w:val="24"/>
          <w:szCs w:val="24"/>
        </w:rPr>
        <w:t xml:space="preserve">of </w:t>
      </w:r>
      <w:r w:rsidR="00D753A0" w:rsidRPr="008C4C97">
        <w:rPr>
          <w:rFonts w:ascii="Arial" w:hAnsi="Arial" w:cs="Arial"/>
          <w:b/>
          <w:sz w:val="24"/>
          <w:szCs w:val="24"/>
        </w:rPr>
        <w:t xml:space="preserve">vascular endothelium following exposure </w:t>
      </w:r>
      <w:r w:rsidRPr="008C4C97">
        <w:rPr>
          <w:rFonts w:ascii="Arial" w:hAnsi="Arial" w:cs="Arial"/>
          <w:b/>
          <w:sz w:val="24"/>
          <w:szCs w:val="24"/>
        </w:rPr>
        <w:t xml:space="preserve">to </w:t>
      </w:r>
      <w:r w:rsidR="00D753A0" w:rsidRPr="008C4C97">
        <w:rPr>
          <w:rFonts w:ascii="Arial" w:hAnsi="Arial" w:cs="Arial"/>
          <w:b/>
          <w:sz w:val="24"/>
          <w:szCs w:val="24"/>
        </w:rPr>
        <w:t>bacterial</w:t>
      </w:r>
      <w:r w:rsidRPr="008C4C97">
        <w:rPr>
          <w:rFonts w:ascii="Arial" w:hAnsi="Arial" w:cs="Arial"/>
          <w:b/>
          <w:sz w:val="24"/>
          <w:szCs w:val="24"/>
        </w:rPr>
        <w:t>-</w:t>
      </w:r>
      <w:r w:rsidR="00D753A0" w:rsidRPr="008C4C97">
        <w:rPr>
          <w:rFonts w:ascii="Arial" w:hAnsi="Arial" w:cs="Arial"/>
          <w:b/>
          <w:sz w:val="24"/>
          <w:szCs w:val="24"/>
        </w:rPr>
        <w:t>derived toxins</w:t>
      </w:r>
      <w:r w:rsidRPr="008C4C97">
        <w:rPr>
          <w:rFonts w:ascii="Arial" w:hAnsi="Arial" w:cs="Arial"/>
          <w:b/>
          <w:sz w:val="24"/>
          <w:szCs w:val="24"/>
        </w:rPr>
        <w:t xml:space="preserve">. </w:t>
      </w:r>
      <w:r w:rsidRPr="008C4C97">
        <w:rPr>
          <w:rFonts w:ascii="Arial" w:hAnsi="Arial" w:cs="Arial"/>
          <w:sz w:val="24"/>
          <w:szCs w:val="24"/>
        </w:rPr>
        <w:t xml:space="preserve">This figure presents the cytokine secretion profile from the vascular endothelium after exposure to bacterial-derived </w:t>
      </w:r>
      <w:r w:rsidR="00496305" w:rsidRPr="008C4C97">
        <w:rPr>
          <w:rFonts w:ascii="Arial" w:hAnsi="Arial" w:cs="Arial"/>
          <w:sz w:val="24"/>
          <w:szCs w:val="24"/>
        </w:rPr>
        <w:t>toxins</w:t>
      </w:r>
      <w:r w:rsidRPr="008C4C97">
        <w:rPr>
          <w:rFonts w:ascii="Arial" w:hAnsi="Arial" w:cs="Arial"/>
          <w:sz w:val="24"/>
          <w:szCs w:val="24"/>
        </w:rPr>
        <w:t>, including Helicobacter-conditioned media (HP</w:t>
      </w:r>
      <w:r w:rsidRPr="008C4C97">
        <w:rPr>
          <w:rFonts w:ascii="Arial" w:hAnsi="Arial" w:cs="Arial"/>
          <w:sz w:val="24"/>
          <w:szCs w:val="24"/>
          <w:vertAlign w:val="subscript"/>
        </w:rPr>
        <w:t>CM</w:t>
      </w:r>
      <w:r w:rsidRPr="008C4C97">
        <w:rPr>
          <w:rFonts w:ascii="Arial" w:hAnsi="Arial" w:cs="Arial"/>
          <w:sz w:val="24"/>
          <w:szCs w:val="24"/>
        </w:rPr>
        <w:t>, 10%) and lipopolysaccharide (LPS, 1 µg/mL), compared to control (CT) conditions.</w:t>
      </w:r>
      <w:r w:rsidR="00496305" w:rsidRPr="008C4C97">
        <w:rPr>
          <w:rFonts w:ascii="Arial" w:hAnsi="Arial" w:cs="Arial"/>
          <w:sz w:val="24"/>
          <w:szCs w:val="24"/>
        </w:rPr>
        <w:t xml:space="preserve"> (a) </w:t>
      </w:r>
      <w:r w:rsidR="007D1D3E" w:rsidRPr="008C4C97">
        <w:rPr>
          <w:rFonts w:ascii="Arial" w:hAnsi="Arial" w:cs="Arial"/>
          <w:sz w:val="24"/>
          <w:szCs w:val="24"/>
        </w:rPr>
        <w:t>Dot blot cytokine array comparing the secreted inflammatory factors from the control (CT), HPCM-treated, and LPS-treated gut epithelium. Increased spot intensity in HP</w:t>
      </w:r>
      <w:r w:rsidR="007D1D3E" w:rsidRPr="008C4C97">
        <w:rPr>
          <w:rFonts w:ascii="Arial" w:hAnsi="Arial" w:cs="Arial"/>
          <w:sz w:val="24"/>
          <w:szCs w:val="24"/>
          <w:vertAlign w:val="subscript"/>
        </w:rPr>
        <w:t>CM</w:t>
      </w:r>
      <w:r w:rsidR="007D1D3E" w:rsidRPr="008C4C97">
        <w:rPr>
          <w:rFonts w:ascii="Arial" w:hAnsi="Arial" w:cs="Arial"/>
          <w:sz w:val="24"/>
          <w:szCs w:val="24"/>
        </w:rPr>
        <w:t xml:space="preserve"> and LPS conditions indicates an upregulation of multiple cytokines and chemokines compared to control. (b) A heatmap visualization of cytokine secretion from vascular endothelial cell (Log</w:t>
      </w:r>
      <w:r w:rsidR="007D1D3E" w:rsidRPr="008C4C97">
        <w:rPr>
          <w:rFonts w:ascii="Cambria Math" w:hAnsi="Cambria Math" w:cs="Cambria Math"/>
          <w:sz w:val="24"/>
          <w:szCs w:val="24"/>
        </w:rPr>
        <w:t>₂</w:t>
      </w:r>
      <w:r w:rsidR="007D1D3E" w:rsidRPr="008C4C97">
        <w:rPr>
          <w:rFonts w:ascii="Arial" w:hAnsi="Arial" w:cs="Arial"/>
          <w:sz w:val="24"/>
          <w:szCs w:val="24"/>
        </w:rPr>
        <w:t xml:space="preserve"> Fold Change, </w:t>
      </w:r>
      <w:r w:rsidR="00D753A0" w:rsidRPr="008C4C97">
        <w:rPr>
          <w:rFonts w:ascii="Arial" w:hAnsi="Arial" w:cs="Arial"/>
          <w:sz w:val="24"/>
          <w:szCs w:val="24"/>
        </w:rPr>
        <w:t>FC) in</w:t>
      </w:r>
      <w:r w:rsidR="007D1D3E" w:rsidRPr="008C4C97">
        <w:rPr>
          <w:rFonts w:ascii="Arial" w:hAnsi="Arial" w:cs="Arial"/>
          <w:sz w:val="24"/>
          <w:szCs w:val="24"/>
        </w:rPr>
        <w:t xml:space="preserve"> response to HP</w:t>
      </w:r>
      <w:r w:rsidR="007D1D3E" w:rsidRPr="008C4C97">
        <w:rPr>
          <w:rFonts w:ascii="Arial" w:hAnsi="Arial" w:cs="Arial"/>
          <w:sz w:val="24"/>
          <w:szCs w:val="24"/>
          <w:vertAlign w:val="subscript"/>
        </w:rPr>
        <w:t>CM</w:t>
      </w:r>
      <w:r w:rsidR="007D1D3E" w:rsidRPr="008C4C97">
        <w:rPr>
          <w:rFonts w:ascii="Arial" w:hAnsi="Arial" w:cs="Arial"/>
          <w:sz w:val="24"/>
          <w:szCs w:val="24"/>
        </w:rPr>
        <w:t xml:space="preserve"> and LPS exposure, compared to control. LPS exposure upregulated CCL2, CXCL1, IL-6, IL-21, and TNF-α, suggesting a strong pro-inflammatory response. HP</w:t>
      </w:r>
      <w:r w:rsidR="007D1D3E" w:rsidRPr="008C4C97">
        <w:rPr>
          <w:rFonts w:ascii="Arial" w:hAnsi="Arial" w:cs="Arial"/>
          <w:sz w:val="24"/>
          <w:szCs w:val="24"/>
          <w:vertAlign w:val="subscript"/>
        </w:rPr>
        <w:t>CM</w:t>
      </w:r>
      <w:r w:rsidR="007D1D3E" w:rsidRPr="008C4C97">
        <w:rPr>
          <w:rFonts w:ascii="Arial" w:hAnsi="Arial" w:cs="Arial"/>
          <w:sz w:val="24"/>
          <w:szCs w:val="24"/>
        </w:rPr>
        <w:t xml:space="preserve"> exposure induced IFN-γ, IL-5, IL-12, IL-16, and C5a, indicating activation of gut-specific immune pathways associated with microbial interactions. Both conditions led to the upregulation of IL-1β, IL-6, IL-18, and CXCL10, confirming an inflammatory signature linked to gut barrier dysfunction and immune activation. Some cytokines (e.g., IL-10, IL-27) remained unchanged, highlighting differential regulation of inflammatory signaling in gut epithelium upon bacterial toxin exposure.</w:t>
      </w:r>
    </w:p>
    <w:p w14:paraId="13871C35" w14:textId="77777777" w:rsidR="00631AF2" w:rsidRPr="008C4C97" w:rsidRDefault="00631AF2">
      <w:pPr>
        <w:jc w:val="both"/>
        <w:rPr>
          <w:rFonts w:ascii="Arial" w:hAnsi="Arial" w:cs="Arial"/>
          <w:b/>
          <w:sz w:val="24"/>
          <w:szCs w:val="24"/>
        </w:rPr>
      </w:pPr>
      <w:r w:rsidRPr="008C4C97">
        <w:rPr>
          <w:rFonts w:ascii="Arial" w:hAnsi="Arial" w:cs="Arial"/>
          <w:b/>
          <w:noProof/>
          <w:sz w:val="24"/>
          <w:szCs w:val="24"/>
        </w:rPr>
        <w:drawing>
          <wp:inline distT="0" distB="0" distL="0" distR="0" wp14:anchorId="3B4D4A28" wp14:editId="1F22A7DE">
            <wp:extent cx="5943600" cy="1774190"/>
            <wp:effectExtent l="0" t="0" r="0" b="0"/>
            <wp:docPr id="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22"/>
                    <a:stretch>
                      <a:fillRect/>
                    </a:stretch>
                  </pic:blipFill>
                  <pic:spPr>
                    <a:xfrm>
                      <a:off x="0" y="0"/>
                      <a:ext cx="5943600" cy="1774190"/>
                    </a:xfrm>
                    <a:prstGeom prst="rect">
                      <a:avLst/>
                    </a:prstGeom>
                  </pic:spPr>
                </pic:pic>
              </a:graphicData>
            </a:graphic>
          </wp:inline>
        </w:drawing>
      </w:r>
    </w:p>
    <w:p w14:paraId="6B03B85C" w14:textId="6EC10FA3" w:rsidR="0059165E" w:rsidRPr="008C4C97" w:rsidRDefault="007D1D3E" w:rsidP="008C4C97">
      <w:pPr>
        <w:jc w:val="both"/>
        <w:rPr>
          <w:rFonts w:ascii="Arial" w:hAnsi="Arial" w:cs="Arial"/>
          <w:sz w:val="24"/>
          <w:szCs w:val="24"/>
        </w:rPr>
      </w:pPr>
      <w:r w:rsidRPr="008C4C97">
        <w:rPr>
          <w:rFonts w:ascii="Arial" w:hAnsi="Arial" w:cs="Arial"/>
          <w:b/>
          <w:sz w:val="24"/>
          <w:szCs w:val="24"/>
        </w:rPr>
        <w:lastRenderedPageBreak/>
        <w:t xml:space="preserve">Supplementary Figure 7: Cytokine </w:t>
      </w:r>
      <w:r w:rsidR="00D753A0" w:rsidRPr="008C4C97">
        <w:rPr>
          <w:rFonts w:ascii="Arial" w:hAnsi="Arial" w:cs="Arial"/>
          <w:b/>
          <w:sz w:val="24"/>
          <w:szCs w:val="24"/>
        </w:rPr>
        <w:t xml:space="preserve">profile </w:t>
      </w:r>
      <w:r w:rsidRPr="008C4C97">
        <w:rPr>
          <w:rFonts w:ascii="Arial" w:hAnsi="Arial" w:cs="Arial"/>
          <w:b/>
          <w:sz w:val="24"/>
          <w:szCs w:val="24"/>
        </w:rPr>
        <w:t xml:space="preserve">of </w:t>
      </w:r>
      <w:r w:rsidR="00D753A0" w:rsidRPr="008C4C97">
        <w:rPr>
          <w:rFonts w:ascii="Arial" w:hAnsi="Arial" w:cs="Arial"/>
          <w:b/>
          <w:sz w:val="24"/>
          <w:szCs w:val="24"/>
        </w:rPr>
        <w:t xml:space="preserve">brain compartment </w:t>
      </w:r>
      <w:r w:rsidRPr="008C4C97">
        <w:rPr>
          <w:rFonts w:ascii="Arial" w:hAnsi="Arial" w:cs="Arial"/>
          <w:b/>
          <w:sz w:val="24"/>
          <w:szCs w:val="24"/>
        </w:rPr>
        <w:t xml:space="preserve">in Alzheimer’s </w:t>
      </w:r>
      <w:r w:rsidR="00D753A0" w:rsidRPr="008C4C97">
        <w:rPr>
          <w:rFonts w:ascii="Arial" w:hAnsi="Arial" w:cs="Arial"/>
          <w:b/>
          <w:sz w:val="24"/>
          <w:szCs w:val="24"/>
        </w:rPr>
        <w:t xml:space="preserve">disease </w:t>
      </w:r>
      <w:r w:rsidRPr="008C4C97">
        <w:rPr>
          <w:rFonts w:ascii="Arial" w:hAnsi="Arial" w:cs="Arial"/>
          <w:b/>
          <w:sz w:val="24"/>
          <w:szCs w:val="24"/>
        </w:rPr>
        <w:t xml:space="preserve">(AD) and Parkinson’s </w:t>
      </w:r>
      <w:r w:rsidR="00D753A0" w:rsidRPr="008C4C97">
        <w:rPr>
          <w:rFonts w:ascii="Arial" w:hAnsi="Arial" w:cs="Arial"/>
          <w:b/>
          <w:sz w:val="24"/>
          <w:szCs w:val="24"/>
        </w:rPr>
        <w:t xml:space="preserve">disease </w:t>
      </w:r>
      <w:r w:rsidRPr="008C4C97">
        <w:rPr>
          <w:rFonts w:ascii="Arial" w:hAnsi="Arial" w:cs="Arial"/>
          <w:b/>
          <w:sz w:val="24"/>
          <w:szCs w:val="24"/>
        </w:rPr>
        <w:t xml:space="preserve">(PD) </w:t>
      </w:r>
      <w:r w:rsidR="00D753A0" w:rsidRPr="008C4C97">
        <w:rPr>
          <w:rFonts w:ascii="Arial" w:hAnsi="Arial" w:cs="Arial"/>
          <w:b/>
          <w:sz w:val="24"/>
          <w:szCs w:val="24"/>
        </w:rPr>
        <w:t>conditions</w:t>
      </w:r>
      <w:r w:rsidRPr="008C4C97">
        <w:rPr>
          <w:rFonts w:ascii="Arial" w:hAnsi="Arial" w:cs="Arial"/>
          <w:b/>
          <w:sz w:val="24"/>
          <w:szCs w:val="24"/>
        </w:rPr>
        <w:t xml:space="preserve">. </w:t>
      </w:r>
      <w:r w:rsidR="00D03CBA" w:rsidRPr="008C4C97">
        <w:rPr>
          <w:rFonts w:ascii="Arial" w:hAnsi="Arial" w:cs="Arial"/>
          <w:sz w:val="24"/>
          <w:szCs w:val="24"/>
        </w:rPr>
        <w:t>This figure presents the cytokine secretion profile from the brain compartment (B.C.) in wild-type (WT), Alzheimer’s disease (AD), and Parkinson’s disease (PD) conditions, highlighting neuroinflammatory signatures associated with neurodegenerative disease progression. (a) Dot blot cytokine array comparing the secreted inflammatory factors from WT, AD-like, and PD-like brain compartments. Increased dot intensity in AD and PD conditions indicates upregulated multiple cytokines and chemokines expression in disease models. (b) A heatmap visualization of cytokine secretion from brain-derived cytokine secretion (Log</w:t>
      </w:r>
      <w:r w:rsidR="00D03CBA" w:rsidRPr="008C4C97">
        <w:rPr>
          <w:rFonts w:ascii="Cambria Math" w:hAnsi="Cambria Math" w:cs="Cambria Math"/>
          <w:sz w:val="24"/>
          <w:szCs w:val="24"/>
        </w:rPr>
        <w:t>₂</w:t>
      </w:r>
      <w:r w:rsidR="00D03CBA" w:rsidRPr="008C4C97">
        <w:rPr>
          <w:rFonts w:ascii="Arial" w:hAnsi="Arial" w:cs="Arial"/>
          <w:sz w:val="24"/>
          <w:szCs w:val="24"/>
        </w:rPr>
        <w:t xml:space="preserve"> Fold Change, FC) in WT, AD-like, and PD-like neurons and astrocytes. </w:t>
      </w:r>
      <w:r w:rsidR="008831A6" w:rsidRPr="008C4C97">
        <w:rPr>
          <w:rFonts w:ascii="Arial" w:hAnsi="Arial" w:cs="Arial"/>
          <w:sz w:val="24"/>
          <w:szCs w:val="24"/>
        </w:rPr>
        <w:t>AD-like conditions exhibited increased secretion of IL-16, MIF, and TNF-α, which are associated with microglial activation, neurotoxicity, and amyloid-driven inflammation. PD-like conditions showed upregulation of CXCL10, CCL5, and IFN-γ, indicative of chronic neuroinflammation and dopaminergic neuronal stress. Both AD and PD conditions led to upregulated IL-1β, IL-6, IL-12, and IL-18, suggesting a shared neuroinflammatory response contributing to neurodegeneration. Certain anti-inflammatory cytokines, such as IL-10 and IL-27, remained unchanged, reinforcing the dominance of a pro-inflammatory environment in AD and PD.</w:t>
      </w:r>
    </w:p>
    <w:p w14:paraId="08C47F3C" w14:textId="77777777" w:rsidR="0059165E" w:rsidRPr="008C4C97" w:rsidRDefault="0059165E" w:rsidP="00C04FCA">
      <w:pPr>
        <w:rPr>
          <w:rFonts w:ascii="Arial" w:eastAsia="MS Mincho" w:hAnsi="Arial" w:cs="Arial"/>
          <w:sz w:val="24"/>
          <w:szCs w:val="24"/>
          <w:lang w:eastAsia="ja-JP"/>
        </w:rPr>
      </w:pPr>
      <w:r w:rsidRPr="008C4C97">
        <w:rPr>
          <w:rFonts w:ascii="Arial" w:hAnsi="Arial" w:cs="Arial"/>
          <w:sz w:val="24"/>
          <w:szCs w:val="24"/>
        </w:rPr>
        <w:br w:type="page"/>
      </w:r>
    </w:p>
    <w:p w14:paraId="7551E428" w14:textId="77777777" w:rsidR="00412760" w:rsidRPr="008C4C97" w:rsidRDefault="00412760" w:rsidP="00412760">
      <w:pPr>
        <w:pStyle w:val="MainText"/>
        <w:spacing w:line="360" w:lineRule="auto"/>
        <w:jc w:val="both"/>
        <w:rPr>
          <w:rFonts w:ascii="Arial" w:hAnsi="Arial" w:cs="Arial"/>
        </w:rPr>
      </w:pPr>
      <w:r w:rsidRPr="008C4C97">
        <w:rPr>
          <w:rFonts w:ascii="Arial" w:hAnsi="Arial" w:cs="Arial"/>
          <w:b/>
        </w:rPr>
        <w:lastRenderedPageBreak/>
        <w:t>Table S1</w:t>
      </w:r>
      <w:r w:rsidRPr="008C4C97">
        <w:rPr>
          <w:rFonts w:ascii="Arial" w:hAnsi="Arial" w:cs="Arial"/>
        </w:rPr>
        <w:t>. Key resources tables.</w:t>
      </w:r>
    </w:p>
    <w:tbl>
      <w:tblPr>
        <w:tblStyle w:val="TableGrid"/>
        <w:tblW w:w="9354" w:type="dxa"/>
        <w:tblLayout w:type="fixed"/>
        <w:tblLook w:val="04A0" w:firstRow="1" w:lastRow="0" w:firstColumn="1" w:lastColumn="0" w:noHBand="0" w:noVBand="1"/>
      </w:tblPr>
      <w:tblGrid>
        <w:gridCol w:w="4765"/>
        <w:gridCol w:w="2340"/>
        <w:gridCol w:w="2249"/>
      </w:tblGrid>
      <w:tr w:rsidR="00412760" w:rsidRPr="008C4C97" w14:paraId="0D7D2014" w14:textId="77777777" w:rsidTr="001E64EA">
        <w:tc>
          <w:tcPr>
            <w:tcW w:w="4765" w:type="dxa"/>
          </w:tcPr>
          <w:p w14:paraId="61AAB7AF" w14:textId="77777777" w:rsidR="00412760" w:rsidRPr="008C4C97" w:rsidRDefault="00412760" w:rsidP="001E64EA">
            <w:pPr>
              <w:jc w:val="both"/>
              <w:rPr>
                <w:rFonts w:ascii="Arial" w:hAnsi="Arial" w:cs="Arial"/>
                <w:b/>
                <w:sz w:val="24"/>
                <w:szCs w:val="24"/>
              </w:rPr>
            </w:pPr>
            <w:r w:rsidRPr="008C4C97">
              <w:rPr>
                <w:rFonts w:ascii="Arial" w:hAnsi="Arial" w:cs="Arial"/>
                <w:b/>
                <w:sz w:val="24"/>
                <w:szCs w:val="24"/>
              </w:rPr>
              <w:t>REAGENT or RESOURCE</w:t>
            </w:r>
          </w:p>
        </w:tc>
        <w:tc>
          <w:tcPr>
            <w:tcW w:w="2340" w:type="dxa"/>
          </w:tcPr>
          <w:p w14:paraId="6D5596A7" w14:textId="77777777" w:rsidR="00412760" w:rsidRPr="008C4C97" w:rsidRDefault="00412760" w:rsidP="001E64EA">
            <w:pPr>
              <w:jc w:val="both"/>
              <w:rPr>
                <w:rFonts w:ascii="Arial" w:hAnsi="Arial" w:cs="Arial"/>
                <w:b/>
                <w:sz w:val="24"/>
                <w:szCs w:val="24"/>
              </w:rPr>
            </w:pPr>
            <w:r w:rsidRPr="008C4C97">
              <w:rPr>
                <w:rFonts w:ascii="Arial" w:hAnsi="Arial" w:cs="Arial"/>
                <w:b/>
                <w:sz w:val="24"/>
                <w:szCs w:val="24"/>
              </w:rPr>
              <w:t>SOURCE</w:t>
            </w:r>
          </w:p>
        </w:tc>
        <w:tc>
          <w:tcPr>
            <w:tcW w:w="2249" w:type="dxa"/>
          </w:tcPr>
          <w:p w14:paraId="07817BF5" w14:textId="77777777" w:rsidR="00412760" w:rsidRPr="008C4C97" w:rsidRDefault="00412760" w:rsidP="001E64EA">
            <w:pPr>
              <w:jc w:val="both"/>
              <w:rPr>
                <w:rFonts w:ascii="Arial" w:hAnsi="Arial" w:cs="Arial"/>
                <w:b/>
                <w:sz w:val="24"/>
                <w:szCs w:val="24"/>
              </w:rPr>
            </w:pPr>
            <w:r w:rsidRPr="008C4C97">
              <w:rPr>
                <w:rFonts w:ascii="Arial" w:hAnsi="Arial" w:cs="Arial"/>
                <w:b/>
                <w:sz w:val="24"/>
                <w:szCs w:val="24"/>
              </w:rPr>
              <w:t>IDENTIFIER (Cat#)</w:t>
            </w:r>
          </w:p>
        </w:tc>
      </w:tr>
      <w:tr w:rsidR="00412760" w:rsidRPr="008C4C97" w14:paraId="1AD6C3D4" w14:textId="77777777" w:rsidTr="001E64EA">
        <w:tc>
          <w:tcPr>
            <w:tcW w:w="9354" w:type="dxa"/>
            <w:gridSpan w:val="3"/>
          </w:tcPr>
          <w:p w14:paraId="144449FA" w14:textId="77777777" w:rsidR="00412760" w:rsidRPr="008C4C97" w:rsidRDefault="00412760" w:rsidP="001E64EA">
            <w:pPr>
              <w:jc w:val="both"/>
              <w:rPr>
                <w:rFonts w:ascii="Arial" w:hAnsi="Arial" w:cs="Arial"/>
                <w:b/>
                <w:sz w:val="24"/>
                <w:szCs w:val="24"/>
              </w:rPr>
            </w:pPr>
            <w:r w:rsidRPr="008C4C97">
              <w:rPr>
                <w:rFonts w:ascii="Arial" w:hAnsi="Arial" w:cs="Arial"/>
                <w:b/>
                <w:sz w:val="24"/>
                <w:szCs w:val="24"/>
              </w:rPr>
              <w:t>Chemicals, reagents, media and supplements</w:t>
            </w:r>
          </w:p>
        </w:tc>
      </w:tr>
      <w:tr w:rsidR="00412760" w:rsidRPr="008C4C97" w14:paraId="31C782DA" w14:textId="77777777" w:rsidTr="001E64EA">
        <w:tc>
          <w:tcPr>
            <w:tcW w:w="4765" w:type="dxa"/>
          </w:tcPr>
          <w:p w14:paraId="3C2364D9"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9:1 PDMS and Curing reagent</w:t>
            </w:r>
          </w:p>
        </w:tc>
        <w:tc>
          <w:tcPr>
            <w:tcW w:w="2340" w:type="dxa"/>
          </w:tcPr>
          <w:p w14:paraId="34E0A197" w14:textId="77777777" w:rsidR="00412760" w:rsidRPr="008C4C97" w:rsidRDefault="00412760" w:rsidP="001E64EA">
            <w:pPr>
              <w:jc w:val="both"/>
              <w:rPr>
                <w:rFonts w:ascii="Arial" w:hAnsi="Arial" w:cs="Arial"/>
                <w:sz w:val="24"/>
                <w:szCs w:val="24"/>
              </w:rPr>
            </w:pPr>
            <w:proofErr w:type="spellStart"/>
            <w:r w:rsidRPr="008C4C97">
              <w:rPr>
                <w:rFonts w:ascii="Arial" w:hAnsi="Arial" w:cs="Arial"/>
                <w:color w:val="0C0C0C"/>
                <w:sz w:val="24"/>
                <w:szCs w:val="24"/>
                <w:shd w:val="clear" w:color="auto" w:fill="FFFFFF"/>
              </w:rPr>
              <w:t>Dowhitech</w:t>
            </w:r>
            <w:proofErr w:type="spellEnd"/>
          </w:p>
        </w:tc>
        <w:tc>
          <w:tcPr>
            <w:tcW w:w="2249" w:type="dxa"/>
          </w:tcPr>
          <w:p w14:paraId="28A3DFA5"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Sylgard 184 A/B</w:t>
            </w:r>
          </w:p>
        </w:tc>
      </w:tr>
      <w:tr w:rsidR="00412760" w:rsidRPr="008C4C97" w14:paraId="2BD117D4" w14:textId="77777777" w:rsidTr="001E64EA">
        <w:tc>
          <w:tcPr>
            <w:tcW w:w="4765" w:type="dxa"/>
          </w:tcPr>
          <w:p w14:paraId="4DF3AABA"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 xml:space="preserve">Glass </w:t>
            </w:r>
          </w:p>
        </w:tc>
        <w:tc>
          <w:tcPr>
            <w:tcW w:w="2340" w:type="dxa"/>
          </w:tcPr>
          <w:p w14:paraId="17E990FE"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MatRek</w:t>
            </w:r>
            <w:proofErr w:type="spellEnd"/>
            <w:r w:rsidRPr="008C4C97">
              <w:rPr>
                <w:rFonts w:ascii="Arial" w:hAnsi="Arial" w:cs="Arial"/>
                <w:sz w:val="24"/>
                <w:szCs w:val="24"/>
              </w:rPr>
              <w:t xml:space="preserve"> Corporation</w:t>
            </w:r>
          </w:p>
        </w:tc>
        <w:tc>
          <w:tcPr>
            <w:tcW w:w="2249" w:type="dxa"/>
          </w:tcPr>
          <w:p w14:paraId="766C1791"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P384G-1.5-10872-C</w:t>
            </w:r>
          </w:p>
        </w:tc>
      </w:tr>
      <w:tr w:rsidR="00412760" w:rsidRPr="008C4C97" w14:paraId="7A16E22F" w14:textId="77777777" w:rsidTr="001E64EA">
        <w:tc>
          <w:tcPr>
            <w:tcW w:w="4765" w:type="dxa"/>
          </w:tcPr>
          <w:p w14:paraId="0F8BE720"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DMEM/F12</w:t>
            </w:r>
          </w:p>
        </w:tc>
        <w:tc>
          <w:tcPr>
            <w:tcW w:w="2340" w:type="dxa"/>
          </w:tcPr>
          <w:p w14:paraId="052E7891"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Thermofisher</w:t>
            </w:r>
            <w:proofErr w:type="spellEnd"/>
            <w:r w:rsidRPr="008C4C97">
              <w:rPr>
                <w:rFonts w:ascii="Arial" w:hAnsi="Arial" w:cs="Arial"/>
                <w:sz w:val="24"/>
                <w:szCs w:val="24"/>
              </w:rPr>
              <w:t xml:space="preserve"> </w:t>
            </w:r>
          </w:p>
        </w:tc>
        <w:tc>
          <w:tcPr>
            <w:tcW w:w="2249" w:type="dxa"/>
          </w:tcPr>
          <w:p w14:paraId="62D40028"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11320-033</w:t>
            </w:r>
          </w:p>
        </w:tc>
      </w:tr>
      <w:tr w:rsidR="00412760" w:rsidRPr="008C4C97" w14:paraId="73FDCC7C" w14:textId="77777777" w:rsidTr="001E64EA">
        <w:tc>
          <w:tcPr>
            <w:tcW w:w="4765" w:type="dxa"/>
          </w:tcPr>
          <w:p w14:paraId="5AF0153E" w14:textId="77777777" w:rsidR="00412760" w:rsidRPr="008C4C97" w:rsidRDefault="00412760" w:rsidP="00C04FCA">
            <w:pPr>
              <w:jc w:val="both"/>
              <w:rPr>
                <w:rFonts w:ascii="Arial" w:hAnsi="Arial" w:cs="Arial"/>
                <w:sz w:val="24"/>
                <w:szCs w:val="24"/>
              </w:rPr>
            </w:pPr>
            <w:r w:rsidRPr="008C4C97">
              <w:rPr>
                <w:rFonts w:ascii="Arial" w:hAnsi="Arial" w:cs="Arial"/>
                <w:sz w:val="24"/>
                <w:szCs w:val="24"/>
              </w:rPr>
              <w:t>DMEM/F12 (</w:t>
            </w:r>
            <w:r w:rsidR="001618DB" w:rsidRPr="008C4C97">
              <w:rPr>
                <w:rFonts w:ascii="Arial" w:hAnsi="Arial" w:cs="Arial"/>
                <w:sz w:val="24"/>
                <w:szCs w:val="24"/>
              </w:rPr>
              <w:t>high glucose</w:t>
            </w:r>
            <w:r w:rsidRPr="008C4C97">
              <w:rPr>
                <w:rFonts w:ascii="Arial" w:hAnsi="Arial" w:cs="Arial"/>
                <w:sz w:val="24"/>
                <w:szCs w:val="24"/>
              </w:rPr>
              <w:t>)</w:t>
            </w:r>
          </w:p>
        </w:tc>
        <w:tc>
          <w:tcPr>
            <w:tcW w:w="2340" w:type="dxa"/>
          </w:tcPr>
          <w:p w14:paraId="476BC237" w14:textId="77777777" w:rsidR="00412760" w:rsidRPr="008C4C97" w:rsidRDefault="001618DB" w:rsidP="001E64EA">
            <w:pPr>
              <w:jc w:val="both"/>
              <w:rPr>
                <w:rFonts w:ascii="Arial" w:hAnsi="Arial" w:cs="Arial"/>
                <w:sz w:val="24"/>
                <w:szCs w:val="24"/>
              </w:rPr>
            </w:pPr>
            <w:r w:rsidRPr="008C4C97">
              <w:rPr>
                <w:rFonts w:ascii="Arial" w:hAnsi="Arial" w:cs="Arial"/>
                <w:sz w:val="24"/>
                <w:szCs w:val="24"/>
              </w:rPr>
              <w:t>Sigma Aldrich</w:t>
            </w:r>
          </w:p>
        </w:tc>
        <w:tc>
          <w:tcPr>
            <w:tcW w:w="2249" w:type="dxa"/>
          </w:tcPr>
          <w:p w14:paraId="0C0697E4" w14:textId="77777777" w:rsidR="00412760" w:rsidRPr="008C4C97" w:rsidRDefault="001618DB" w:rsidP="001E64EA">
            <w:pPr>
              <w:jc w:val="both"/>
              <w:rPr>
                <w:rFonts w:ascii="Arial" w:hAnsi="Arial" w:cs="Arial"/>
                <w:sz w:val="24"/>
                <w:szCs w:val="24"/>
              </w:rPr>
            </w:pPr>
            <w:r w:rsidRPr="008C4C97">
              <w:rPr>
                <w:rFonts w:ascii="Arial" w:hAnsi="Arial" w:cs="Arial"/>
                <w:sz w:val="24"/>
                <w:szCs w:val="24"/>
              </w:rPr>
              <w:t>D5796</w:t>
            </w:r>
          </w:p>
        </w:tc>
      </w:tr>
      <w:tr w:rsidR="00412760" w:rsidRPr="008C4C97" w14:paraId="299E57D8" w14:textId="77777777" w:rsidTr="001E64EA">
        <w:tc>
          <w:tcPr>
            <w:tcW w:w="4765" w:type="dxa"/>
          </w:tcPr>
          <w:p w14:paraId="6A9A95E6"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B27 Serum free supplement</w:t>
            </w:r>
          </w:p>
        </w:tc>
        <w:tc>
          <w:tcPr>
            <w:tcW w:w="2340" w:type="dxa"/>
          </w:tcPr>
          <w:p w14:paraId="47758520"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Thermofisher</w:t>
            </w:r>
            <w:proofErr w:type="spellEnd"/>
          </w:p>
        </w:tc>
        <w:tc>
          <w:tcPr>
            <w:tcW w:w="2249" w:type="dxa"/>
          </w:tcPr>
          <w:p w14:paraId="0280FE09"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17500-4001</w:t>
            </w:r>
          </w:p>
        </w:tc>
      </w:tr>
      <w:tr w:rsidR="00412760" w:rsidRPr="008C4C97" w14:paraId="6E6AE727" w14:textId="77777777" w:rsidTr="001E64EA">
        <w:tc>
          <w:tcPr>
            <w:tcW w:w="4765" w:type="dxa"/>
          </w:tcPr>
          <w:p w14:paraId="3A9CB244"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Heparin</w:t>
            </w:r>
          </w:p>
        </w:tc>
        <w:tc>
          <w:tcPr>
            <w:tcW w:w="2340" w:type="dxa"/>
          </w:tcPr>
          <w:p w14:paraId="286FBF69"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Stemcell</w:t>
            </w:r>
            <w:proofErr w:type="spellEnd"/>
            <w:r w:rsidRPr="008C4C97">
              <w:rPr>
                <w:rFonts w:ascii="Arial" w:hAnsi="Arial" w:cs="Arial"/>
                <w:sz w:val="24"/>
                <w:szCs w:val="24"/>
              </w:rPr>
              <w:t xml:space="preserve"> technologies</w:t>
            </w:r>
          </w:p>
        </w:tc>
        <w:tc>
          <w:tcPr>
            <w:tcW w:w="2249" w:type="dxa"/>
          </w:tcPr>
          <w:p w14:paraId="620ED76A"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7980</w:t>
            </w:r>
          </w:p>
        </w:tc>
      </w:tr>
      <w:tr w:rsidR="00412760" w:rsidRPr="008C4C97" w14:paraId="16AADA1C" w14:textId="77777777" w:rsidTr="001E64EA">
        <w:tc>
          <w:tcPr>
            <w:tcW w:w="4765" w:type="dxa"/>
          </w:tcPr>
          <w:p w14:paraId="1632C7B8"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EGF</w:t>
            </w:r>
          </w:p>
        </w:tc>
        <w:tc>
          <w:tcPr>
            <w:tcW w:w="2340" w:type="dxa"/>
          </w:tcPr>
          <w:p w14:paraId="35249DC2"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Sigma Aldrich</w:t>
            </w:r>
          </w:p>
        </w:tc>
        <w:tc>
          <w:tcPr>
            <w:tcW w:w="2249" w:type="dxa"/>
          </w:tcPr>
          <w:p w14:paraId="58C4F2FE"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E9644-.2MG</w:t>
            </w:r>
          </w:p>
        </w:tc>
      </w:tr>
      <w:tr w:rsidR="00412760" w:rsidRPr="008C4C97" w14:paraId="398672E5" w14:textId="77777777" w:rsidTr="001E64EA">
        <w:tc>
          <w:tcPr>
            <w:tcW w:w="4765" w:type="dxa"/>
          </w:tcPr>
          <w:p w14:paraId="337E23DD"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FGF-basic, human recombinant</w:t>
            </w:r>
          </w:p>
        </w:tc>
        <w:tc>
          <w:tcPr>
            <w:tcW w:w="2340" w:type="dxa"/>
          </w:tcPr>
          <w:p w14:paraId="093297E6"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Stemgent</w:t>
            </w:r>
            <w:proofErr w:type="spellEnd"/>
          </w:p>
        </w:tc>
        <w:tc>
          <w:tcPr>
            <w:tcW w:w="2249" w:type="dxa"/>
          </w:tcPr>
          <w:p w14:paraId="74FA1863"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03-0002</w:t>
            </w:r>
          </w:p>
        </w:tc>
      </w:tr>
      <w:tr w:rsidR="00412760" w:rsidRPr="008C4C97" w14:paraId="33DBC2C5" w14:textId="77777777" w:rsidTr="001E64EA">
        <w:tc>
          <w:tcPr>
            <w:tcW w:w="4765" w:type="dxa"/>
          </w:tcPr>
          <w:p w14:paraId="75F28871"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EBM-2</w:t>
            </w:r>
          </w:p>
        </w:tc>
        <w:tc>
          <w:tcPr>
            <w:tcW w:w="2340" w:type="dxa"/>
          </w:tcPr>
          <w:p w14:paraId="74693B4D"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Lonza</w:t>
            </w:r>
          </w:p>
        </w:tc>
        <w:tc>
          <w:tcPr>
            <w:tcW w:w="2249" w:type="dxa"/>
          </w:tcPr>
          <w:p w14:paraId="0414FA87"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190860</w:t>
            </w:r>
          </w:p>
        </w:tc>
      </w:tr>
      <w:tr w:rsidR="00412760" w:rsidRPr="008C4C97" w14:paraId="732B3B59" w14:textId="77777777" w:rsidTr="001E64EA">
        <w:tc>
          <w:tcPr>
            <w:tcW w:w="4765" w:type="dxa"/>
          </w:tcPr>
          <w:p w14:paraId="10CBBC1D" w14:textId="77777777" w:rsidR="00412760" w:rsidRPr="008C4C97" w:rsidRDefault="00E80D2F" w:rsidP="001E64EA">
            <w:pPr>
              <w:jc w:val="both"/>
              <w:rPr>
                <w:rFonts w:ascii="Arial" w:hAnsi="Arial" w:cs="Arial"/>
                <w:sz w:val="24"/>
                <w:szCs w:val="24"/>
              </w:rPr>
            </w:pPr>
            <w:proofErr w:type="spellStart"/>
            <w:r w:rsidRPr="008C4C97">
              <w:rPr>
                <w:rFonts w:ascii="Arial" w:hAnsi="Arial" w:cs="Arial"/>
                <w:sz w:val="24"/>
                <w:szCs w:val="24"/>
              </w:rPr>
              <w:t>mTESR</w:t>
            </w:r>
            <w:proofErr w:type="spellEnd"/>
            <w:r w:rsidRPr="008C4C97">
              <w:rPr>
                <w:rFonts w:ascii="Arial" w:hAnsi="Arial" w:cs="Arial"/>
                <w:sz w:val="24"/>
                <w:szCs w:val="24"/>
              </w:rPr>
              <w:t xml:space="preserve"> plus media kit</w:t>
            </w:r>
          </w:p>
        </w:tc>
        <w:tc>
          <w:tcPr>
            <w:tcW w:w="2340" w:type="dxa"/>
          </w:tcPr>
          <w:p w14:paraId="72FC4F04" w14:textId="77777777" w:rsidR="00412760" w:rsidRPr="008C4C97" w:rsidRDefault="00E80D2F" w:rsidP="001E64EA">
            <w:pPr>
              <w:jc w:val="both"/>
              <w:rPr>
                <w:rFonts w:ascii="Arial" w:hAnsi="Arial" w:cs="Arial"/>
                <w:sz w:val="24"/>
                <w:szCs w:val="24"/>
              </w:rPr>
            </w:pPr>
            <w:proofErr w:type="spellStart"/>
            <w:r w:rsidRPr="008C4C97">
              <w:rPr>
                <w:rFonts w:ascii="Arial" w:hAnsi="Arial" w:cs="Arial"/>
                <w:sz w:val="24"/>
                <w:szCs w:val="24"/>
              </w:rPr>
              <w:t>Stemcell</w:t>
            </w:r>
            <w:proofErr w:type="spellEnd"/>
            <w:r w:rsidRPr="008C4C97">
              <w:rPr>
                <w:rFonts w:ascii="Arial" w:hAnsi="Arial" w:cs="Arial"/>
                <w:sz w:val="24"/>
                <w:szCs w:val="24"/>
              </w:rPr>
              <w:t xml:space="preserve"> technologies</w:t>
            </w:r>
          </w:p>
        </w:tc>
        <w:tc>
          <w:tcPr>
            <w:tcW w:w="2249" w:type="dxa"/>
          </w:tcPr>
          <w:p w14:paraId="54704C48" w14:textId="77777777" w:rsidR="00412760" w:rsidRPr="008C4C97" w:rsidRDefault="00E80D2F" w:rsidP="001E64EA">
            <w:pPr>
              <w:jc w:val="both"/>
              <w:rPr>
                <w:rFonts w:ascii="Arial" w:hAnsi="Arial" w:cs="Arial"/>
                <w:sz w:val="24"/>
                <w:szCs w:val="24"/>
              </w:rPr>
            </w:pPr>
            <w:r w:rsidRPr="008C4C97">
              <w:rPr>
                <w:rFonts w:ascii="Arial" w:hAnsi="Arial" w:cs="Arial"/>
                <w:sz w:val="24"/>
                <w:szCs w:val="24"/>
              </w:rPr>
              <w:t>100-0276</w:t>
            </w:r>
          </w:p>
        </w:tc>
      </w:tr>
      <w:tr w:rsidR="00412760" w:rsidRPr="008C4C97" w14:paraId="59CEFE01" w14:textId="77777777" w:rsidTr="001E64EA">
        <w:tc>
          <w:tcPr>
            <w:tcW w:w="4765" w:type="dxa"/>
          </w:tcPr>
          <w:p w14:paraId="5C90B353"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FBS</w:t>
            </w:r>
          </w:p>
        </w:tc>
        <w:tc>
          <w:tcPr>
            <w:tcW w:w="2340" w:type="dxa"/>
          </w:tcPr>
          <w:p w14:paraId="363C69DE"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Sigma Aldrich</w:t>
            </w:r>
          </w:p>
        </w:tc>
        <w:tc>
          <w:tcPr>
            <w:tcW w:w="2249" w:type="dxa"/>
          </w:tcPr>
          <w:p w14:paraId="46B64702"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F2442</w:t>
            </w:r>
          </w:p>
        </w:tc>
      </w:tr>
      <w:tr w:rsidR="00412760" w:rsidRPr="008C4C97" w14:paraId="14676434" w14:textId="77777777" w:rsidTr="001E64EA">
        <w:tc>
          <w:tcPr>
            <w:tcW w:w="4765" w:type="dxa"/>
          </w:tcPr>
          <w:p w14:paraId="74F343E0"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Penicilin</w:t>
            </w:r>
            <w:proofErr w:type="spellEnd"/>
            <w:r w:rsidRPr="008C4C97">
              <w:rPr>
                <w:rFonts w:ascii="Arial" w:hAnsi="Arial" w:cs="Arial"/>
                <w:sz w:val="24"/>
                <w:szCs w:val="24"/>
              </w:rPr>
              <w:t>/streptomycin</w:t>
            </w:r>
          </w:p>
        </w:tc>
        <w:tc>
          <w:tcPr>
            <w:tcW w:w="2340" w:type="dxa"/>
          </w:tcPr>
          <w:p w14:paraId="337FEE93"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Sigma Aldrich</w:t>
            </w:r>
          </w:p>
        </w:tc>
        <w:tc>
          <w:tcPr>
            <w:tcW w:w="2249" w:type="dxa"/>
          </w:tcPr>
          <w:p w14:paraId="4DF03D2A"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P4333</w:t>
            </w:r>
          </w:p>
        </w:tc>
      </w:tr>
      <w:tr w:rsidR="00412760" w:rsidRPr="008C4C97" w14:paraId="240F4E0A" w14:textId="77777777" w:rsidTr="001E64EA">
        <w:tc>
          <w:tcPr>
            <w:tcW w:w="4765" w:type="dxa"/>
          </w:tcPr>
          <w:p w14:paraId="5D7BE09A"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HEPES buffer solution (1M)</w:t>
            </w:r>
          </w:p>
        </w:tc>
        <w:tc>
          <w:tcPr>
            <w:tcW w:w="2340" w:type="dxa"/>
          </w:tcPr>
          <w:p w14:paraId="7464593F"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Gibco</w:t>
            </w:r>
          </w:p>
        </w:tc>
        <w:tc>
          <w:tcPr>
            <w:tcW w:w="2249" w:type="dxa"/>
          </w:tcPr>
          <w:p w14:paraId="48C0B5E8"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15630-106</w:t>
            </w:r>
          </w:p>
        </w:tc>
      </w:tr>
      <w:tr w:rsidR="00412760" w:rsidRPr="008C4C97" w14:paraId="34497FBF" w14:textId="77777777" w:rsidTr="001E64EA">
        <w:tc>
          <w:tcPr>
            <w:tcW w:w="4765" w:type="dxa"/>
          </w:tcPr>
          <w:p w14:paraId="7A31976B"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DPBS</w:t>
            </w:r>
          </w:p>
        </w:tc>
        <w:tc>
          <w:tcPr>
            <w:tcW w:w="2340" w:type="dxa"/>
          </w:tcPr>
          <w:p w14:paraId="5B8AD024"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Sigma Aldrich</w:t>
            </w:r>
          </w:p>
        </w:tc>
        <w:tc>
          <w:tcPr>
            <w:tcW w:w="2249" w:type="dxa"/>
          </w:tcPr>
          <w:p w14:paraId="775FE10C"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D8537</w:t>
            </w:r>
          </w:p>
        </w:tc>
      </w:tr>
      <w:tr w:rsidR="00412760" w:rsidRPr="008C4C97" w14:paraId="7C686EEC" w14:textId="77777777" w:rsidTr="001E64EA">
        <w:tc>
          <w:tcPr>
            <w:tcW w:w="4765" w:type="dxa"/>
          </w:tcPr>
          <w:p w14:paraId="02B69BEE"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PBS 10X</w:t>
            </w:r>
          </w:p>
        </w:tc>
        <w:tc>
          <w:tcPr>
            <w:tcW w:w="2340" w:type="dxa"/>
          </w:tcPr>
          <w:p w14:paraId="3288AF43"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Sigma Aldrich</w:t>
            </w:r>
          </w:p>
        </w:tc>
        <w:tc>
          <w:tcPr>
            <w:tcW w:w="2249" w:type="dxa"/>
          </w:tcPr>
          <w:p w14:paraId="40B860DA"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11666789001</w:t>
            </w:r>
          </w:p>
        </w:tc>
      </w:tr>
      <w:tr w:rsidR="00412760" w:rsidRPr="008C4C97" w14:paraId="1AC476C2" w14:textId="77777777" w:rsidTr="001E64EA">
        <w:tc>
          <w:tcPr>
            <w:tcW w:w="4765" w:type="dxa"/>
          </w:tcPr>
          <w:p w14:paraId="4D744ADF"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Accutase</w:t>
            </w:r>
            <w:proofErr w:type="spellEnd"/>
          </w:p>
        </w:tc>
        <w:tc>
          <w:tcPr>
            <w:tcW w:w="2340" w:type="dxa"/>
          </w:tcPr>
          <w:p w14:paraId="01691F83"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Gibco</w:t>
            </w:r>
          </w:p>
        </w:tc>
        <w:tc>
          <w:tcPr>
            <w:tcW w:w="2249" w:type="dxa"/>
          </w:tcPr>
          <w:p w14:paraId="38EA978B"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A11105-01</w:t>
            </w:r>
          </w:p>
        </w:tc>
      </w:tr>
      <w:tr w:rsidR="00412760" w:rsidRPr="008C4C97" w14:paraId="0095536D" w14:textId="77777777" w:rsidTr="001E64EA">
        <w:tc>
          <w:tcPr>
            <w:tcW w:w="4765" w:type="dxa"/>
          </w:tcPr>
          <w:p w14:paraId="7E0CA573"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Trypsin</w:t>
            </w:r>
          </w:p>
        </w:tc>
        <w:tc>
          <w:tcPr>
            <w:tcW w:w="2340" w:type="dxa"/>
          </w:tcPr>
          <w:p w14:paraId="463416BA"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Sigma Aldrich</w:t>
            </w:r>
          </w:p>
        </w:tc>
        <w:tc>
          <w:tcPr>
            <w:tcW w:w="2249" w:type="dxa"/>
          </w:tcPr>
          <w:p w14:paraId="5758B144"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T3924</w:t>
            </w:r>
          </w:p>
        </w:tc>
      </w:tr>
      <w:tr w:rsidR="00412760" w:rsidRPr="008C4C97" w14:paraId="04861AF9" w14:textId="77777777" w:rsidTr="001E64EA">
        <w:tc>
          <w:tcPr>
            <w:tcW w:w="4765" w:type="dxa"/>
          </w:tcPr>
          <w:p w14:paraId="7BAE2847"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20% Matrigel</w:t>
            </w:r>
          </w:p>
        </w:tc>
        <w:tc>
          <w:tcPr>
            <w:tcW w:w="2340" w:type="dxa"/>
          </w:tcPr>
          <w:p w14:paraId="634C2806"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Corning™</w:t>
            </w:r>
          </w:p>
        </w:tc>
        <w:tc>
          <w:tcPr>
            <w:tcW w:w="2249" w:type="dxa"/>
          </w:tcPr>
          <w:p w14:paraId="7BA859B3"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356235</w:t>
            </w:r>
          </w:p>
        </w:tc>
      </w:tr>
      <w:tr w:rsidR="00412760" w:rsidRPr="008C4C97" w14:paraId="63B5FB8D" w14:textId="77777777" w:rsidTr="001E64EA">
        <w:tc>
          <w:tcPr>
            <w:tcW w:w="4765" w:type="dxa"/>
          </w:tcPr>
          <w:p w14:paraId="27C567FF"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 xml:space="preserve">2 mg/ml </w:t>
            </w:r>
            <w:proofErr w:type="spellStart"/>
            <w:r w:rsidRPr="008C4C97">
              <w:rPr>
                <w:rFonts w:ascii="Arial" w:hAnsi="Arial" w:cs="Arial"/>
                <w:sz w:val="24"/>
                <w:szCs w:val="24"/>
              </w:rPr>
              <w:t>p.H</w:t>
            </w:r>
            <w:proofErr w:type="spellEnd"/>
            <w:r w:rsidRPr="008C4C97">
              <w:rPr>
                <w:rFonts w:ascii="Arial" w:hAnsi="Arial" w:cs="Arial"/>
                <w:sz w:val="24"/>
                <w:szCs w:val="24"/>
              </w:rPr>
              <w:t xml:space="preserve"> 7.5 Collagen I</w:t>
            </w:r>
          </w:p>
        </w:tc>
        <w:tc>
          <w:tcPr>
            <w:tcW w:w="2340" w:type="dxa"/>
          </w:tcPr>
          <w:p w14:paraId="5B337B8D"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Corning™</w:t>
            </w:r>
          </w:p>
        </w:tc>
        <w:tc>
          <w:tcPr>
            <w:tcW w:w="2249" w:type="dxa"/>
          </w:tcPr>
          <w:p w14:paraId="6117A8DC"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354249</w:t>
            </w:r>
          </w:p>
        </w:tc>
      </w:tr>
      <w:tr w:rsidR="00412760" w:rsidRPr="008C4C97" w14:paraId="41A3F764" w14:textId="77777777" w:rsidTr="001E64EA">
        <w:tc>
          <w:tcPr>
            <w:tcW w:w="4765" w:type="dxa"/>
          </w:tcPr>
          <w:p w14:paraId="5780452F"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1 mg/ml Poly D-lysine</w:t>
            </w:r>
          </w:p>
        </w:tc>
        <w:tc>
          <w:tcPr>
            <w:tcW w:w="2340" w:type="dxa"/>
          </w:tcPr>
          <w:p w14:paraId="6EEB0AAA"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Sigma Aldrich</w:t>
            </w:r>
          </w:p>
        </w:tc>
        <w:tc>
          <w:tcPr>
            <w:tcW w:w="2249" w:type="dxa"/>
          </w:tcPr>
          <w:p w14:paraId="4A051FDB"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A-003-M</w:t>
            </w:r>
          </w:p>
        </w:tc>
      </w:tr>
      <w:tr w:rsidR="00412760" w:rsidRPr="008C4C97" w14:paraId="1766404D" w14:textId="77777777" w:rsidTr="001E64EA">
        <w:tc>
          <w:tcPr>
            <w:tcW w:w="4765" w:type="dxa"/>
          </w:tcPr>
          <w:p w14:paraId="4A568135"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FITC-dextran</w:t>
            </w:r>
          </w:p>
          <w:p w14:paraId="73A7ABD6"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wt</w:t>
            </w:r>
            <w:proofErr w:type="spellEnd"/>
            <w:r w:rsidRPr="008C4C97">
              <w:rPr>
                <w:rFonts w:ascii="Arial" w:hAnsi="Arial" w:cs="Arial"/>
                <w:sz w:val="24"/>
                <w:szCs w:val="24"/>
              </w:rPr>
              <w:t xml:space="preserve"> 3,000-5000</w:t>
            </w:r>
          </w:p>
          <w:p w14:paraId="02782BEE"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wt</w:t>
            </w:r>
            <w:proofErr w:type="spellEnd"/>
            <w:r w:rsidRPr="008C4C97">
              <w:rPr>
                <w:rFonts w:ascii="Arial" w:hAnsi="Arial" w:cs="Arial"/>
                <w:sz w:val="24"/>
                <w:szCs w:val="24"/>
              </w:rPr>
              <w:t xml:space="preserve"> 10,000</w:t>
            </w:r>
          </w:p>
          <w:p w14:paraId="5739EE40"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wt</w:t>
            </w:r>
            <w:proofErr w:type="spellEnd"/>
            <w:r w:rsidRPr="008C4C97">
              <w:rPr>
                <w:rFonts w:ascii="Arial" w:hAnsi="Arial" w:cs="Arial"/>
                <w:sz w:val="24"/>
                <w:szCs w:val="24"/>
              </w:rPr>
              <w:t xml:space="preserve"> 40,000</w:t>
            </w:r>
          </w:p>
          <w:p w14:paraId="6475EE35"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wt</w:t>
            </w:r>
            <w:proofErr w:type="spellEnd"/>
            <w:r w:rsidRPr="008C4C97">
              <w:rPr>
                <w:rFonts w:ascii="Arial" w:hAnsi="Arial" w:cs="Arial"/>
                <w:sz w:val="24"/>
                <w:szCs w:val="24"/>
              </w:rPr>
              <w:t xml:space="preserve"> 60,000-70,000</w:t>
            </w:r>
          </w:p>
        </w:tc>
        <w:tc>
          <w:tcPr>
            <w:tcW w:w="2340" w:type="dxa"/>
          </w:tcPr>
          <w:p w14:paraId="1B4059BF"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Sigma Aldrich</w:t>
            </w:r>
          </w:p>
        </w:tc>
        <w:tc>
          <w:tcPr>
            <w:tcW w:w="2249" w:type="dxa"/>
          </w:tcPr>
          <w:p w14:paraId="0EBFBCD9" w14:textId="77777777" w:rsidR="00412760" w:rsidRPr="008C4C97" w:rsidRDefault="00412760" w:rsidP="001E64EA">
            <w:pPr>
              <w:jc w:val="both"/>
              <w:rPr>
                <w:rFonts w:ascii="Arial" w:hAnsi="Arial" w:cs="Arial"/>
                <w:sz w:val="24"/>
                <w:szCs w:val="24"/>
              </w:rPr>
            </w:pPr>
          </w:p>
          <w:p w14:paraId="6CBC76BE"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FD4</w:t>
            </w:r>
          </w:p>
          <w:p w14:paraId="152453C8"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SLCD1383</w:t>
            </w:r>
          </w:p>
          <w:p w14:paraId="2DAEE3C4"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SLCB8958</w:t>
            </w:r>
          </w:p>
          <w:p w14:paraId="2964B451"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SLCB8500</w:t>
            </w:r>
          </w:p>
        </w:tc>
      </w:tr>
      <w:tr w:rsidR="00412760" w:rsidRPr="008C4C97" w14:paraId="3219E8DB" w14:textId="77777777" w:rsidTr="001E64EA">
        <w:tc>
          <w:tcPr>
            <w:tcW w:w="4765" w:type="dxa"/>
          </w:tcPr>
          <w:p w14:paraId="48BD7847"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OGB-1</w:t>
            </w:r>
          </w:p>
        </w:tc>
        <w:tc>
          <w:tcPr>
            <w:tcW w:w="2340" w:type="dxa"/>
          </w:tcPr>
          <w:p w14:paraId="27BC1F60"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Thermofisher</w:t>
            </w:r>
            <w:proofErr w:type="spellEnd"/>
          </w:p>
        </w:tc>
        <w:tc>
          <w:tcPr>
            <w:tcW w:w="2249" w:type="dxa"/>
          </w:tcPr>
          <w:p w14:paraId="770C68B5"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O6806</w:t>
            </w:r>
          </w:p>
        </w:tc>
      </w:tr>
      <w:tr w:rsidR="00412760" w:rsidRPr="008C4C97" w14:paraId="37C4A959" w14:textId="77777777" w:rsidTr="001E64EA">
        <w:tc>
          <w:tcPr>
            <w:tcW w:w="4765" w:type="dxa"/>
          </w:tcPr>
          <w:p w14:paraId="2706F233"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DAF-FM Diacetate (NO indicator)</w:t>
            </w:r>
          </w:p>
        </w:tc>
        <w:tc>
          <w:tcPr>
            <w:tcW w:w="2340" w:type="dxa"/>
          </w:tcPr>
          <w:p w14:paraId="508663CC"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Invitrogen</w:t>
            </w:r>
          </w:p>
        </w:tc>
        <w:tc>
          <w:tcPr>
            <w:tcW w:w="2249" w:type="dxa"/>
          </w:tcPr>
          <w:p w14:paraId="4EAF57B5"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D23844</w:t>
            </w:r>
          </w:p>
        </w:tc>
      </w:tr>
      <w:tr w:rsidR="00412760" w:rsidRPr="008C4C97" w14:paraId="0AA3D002" w14:textId="77777777" w:rsidTr="001E64EA">
        <w:tc>
          <w:tcPr>
            <w:tcW w:w="4765" w:type="dxa"/>
          </w:tcPr>
          <w:p w14:paraId="0EA19912"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LPS</w:t>
            </w:r>
          </w:p>
        </w:tc>
        <w:tc>
          <w:tcPr>
            <w:tcW w:w="2340" w:type="dxa"/>
          </w:tcPr>
          <w:p w14:paraId="687A03EE" w14:textId="77777777" w:rsidR="00412760" w:rsidRPr="008C4C97" w:rsidRDefault="00412760" w:rsidP="001E64EA">
            <w:pPr>
              <w:jc w:val="both"/>
              <w:rPr>
                <w:rFonts w:ascii="Arial" w:hAnsi="Arial" w:cs="Arial"/>
                <w:sz w:val="24"/>
                <w:szCs w:val="24"/>
              </w:rPr>
            </w:pPr>
            <w:r w:rsidRPr="008C4C97">
              <w:rPr>
                <w:rFonts w:ascii="Arial" w:hAnsi="Arial" w:cs="Arial"/>
                <w:color w:val="000000"/>
                <w:sz w:val="24"/>
                <w:szCs w:val="24"/>
                <w:shd w:val="clear" w:color="auto" w:fill="FFFFFF"/>
              </w:rPr>
              <w:t>Invitrogen</w:t>
            </w:r>
          </w:p>
        </w:tc>
        <w:tc>
          <w:tcPr>
            <w:tcW w:w="2249" w:type="dxa"/>
          </w:tcPr>
          <w:p w14:paraId="2BF5AABD" w14:textId="77777777" w:rsidR="00412760" w:rsidRPr="008C4C97" w:rsidRDefault="00412760" w:rsidP="001E64EA">
            <w:pPr>
              <w:jc w:val="both"/>
              <w:rPr>
                <w:rFonts w:ascii="Arial" w:hAnsi="Arial" w:cs="Arial"/>
                <w:sz w:val="24"/>
                <w:szCs w:val="24"/>
              </w:rPr>
            </w:pPr>
            <w:r w:rsidRPr="008C4C97">
              <w:rPr>
                <w:rFonts w:ascii="Arial" w:hAnsi="Arial" w:cs="Arial"/>
                <w:color w:val="333333"/>
                <w:sz w:val="24"/>
                <w:szCs w:val="24"/>
                <w:shd w:val="clear" w:color="auto" w:fill="FFFFFF"/>
              </w:rPr>
              <w:t>00-4976-93</w:t>
            </w:r>
          </w:p>
        </w:tc>
      </w:tr>
      <w:tr w:rsidR="00412760" w:rsidRPr="008C4C97" w14:paraId="4B691E04" w14:textId="77777777" w:rsidTr="001E64EA">
        <w:tc>
          <w:tcPr>
            <w:tcW w:w="4765" w:type="dxa"/>
          </w:tcPr>
          <w:p w14:paraId="496F8ACF"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DAPI</w:t>
            </w:r>
          </w:p>
        </w:tc>
        <w:tc>
          <w:tcPr>
            <w:tcW w:w="2340" w:type="dxa"/>
          </w:tcPr>
          <w:p w14:paraId="572CF5DF"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Merck</w:t>
            </w:r>
          </w:p>
        </w:tc>
        <w:tc>
          <w:tcPr>
            <w:tcW w:w="2249" w:type="dxa"/>
          </w:tcPr>
          <w:p w14:paraId="72E16192"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D9542</w:t>
            </w:r>
          </w:p>
        </w:tc>
      </w:tr>
      <w:tr w:rsidR="00412760" w:rsidRPr="008C4C97" w14:paraId="1F2E6B36" w14:textId="77777777" w:rsidTr="001E64EA">
        <w:tc>
          <w:tcPr>
            <w:tcW w:w="4765" w:type="dxa"/>
          </w:tcPr>
          <w:p w14:paraId="1AB16296"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Hoechst (DAPI)</w:t>
            </w:r>
          </w:p>
        </w:tc>
        <w:tc>
          <w:tcPr>
            <w:tcW w:w="2340" w:type="dxa"/>
          </w:tcPr>
          <w:p w14:paraId="221FD3E2"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Invitrogen</w:t>
            </w:r>
          </w:p>
        </w:tc>
        <w:tc>
          <w:tcPr>
            <w:tcW w:w="2249" w:type="dxa"/>
          </w:tcPr>
          <w:p w14:paraId="3A105234"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H21486</w:t>
            </w:r>
          </w:p>
        </w:tc>
      </w:tr>
      <w:tr w:rsidR="00412760" w:rsidRPr="008C4C97" w14:paraId="49226806" w14:textId="77777777" w:rsidTr="001E64EA">
        <w:tc>
          <w:tcPr>
            <w:tcW w:w="4765" w:type="dxa"/>
          </w:tcPr>
          <w:p w14:paraId="52D3B3AF"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4% paraformaldehyde solution</w:t>
            </w:r>
          </w:p>
        </w:tc>
        <w:tc>
          <w:tcPr>
            <w:tcW w:w="2340" w:type="dxa"/>
          </w:tcPr>
          <w:p w14:paraId="1EA11BD7"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바이오세상</w:t>
            </w:r>
          </w:p>
        </w:tc>
        <w:tc>
          <w:tcPr>
            <w:tcW w:w="2249" w:type="dxa"/>
          </w:tcPr>
          <w:p w14:paraId="25B5C3B9"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PC2031-100-00</w:t>
            </w:r>
          </w:p>
        </w:tc>
      </w:tr>
      <w:tr w:rsidR="00412760" w:rsidRPr="008C4C97" w14:paraId="62A0FF88" w14:textId="77777777" w:rsidTr="001E64EA">
        <w:tc>
          <w:tcPr>
            <w:tcW w:w="4765" w:type="dxa"/>
          </w:tcPr>
          <w:p w14:paraId="47FD8386"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BSA</w:t>
            </w:r>
          </w:p>
        </w:tc>
        <w:tc>
          <w:tcPr>
            <w:tcW w:w="2340" w:type="dxa"/>
          </w:tcPr>
          <w:p w14:paraId="63AB813F"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Bovogen</w:t>
            </w:r>
            <w:proofErr w:type="spellEnd"/>
          </w:p>
        </w:tc>
        <w:tc>
          <w:tcPr>
            <w:tcW w:w="2249" w:type="dxa"/>
          </w:tcPr>
          <w:p w14:paraId="458A385C"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BSAS 0.1</w:t>
            </w:r>
          </w:p>
        </w:tc>
      </w:tr>
      <w:tr w:rsidR="00412760" w:rsidRPr="008C4C97" w14:paraId="7364DF3F" w14:textId="77777777" w:rsidTr="001E64EA">
        <w:tc>
          <w:tcPr>
            <w:tcW w:w="9354" w:type="dxa"/>
            <w:gridSpan w:val="3"/>
          </w:tcPr>
          <w:p w14:paraId="5577E3A4" w14:textId="77777777" w:rsidR="00412760" w:rsidRPr="008C4C97" w:rsidRDefault="00412760" w:rsidP="001E64EA">
            <w:pPr>
              <w:jc w:val="both"/>
              <w:rPr>
                <w:rFonts w:ascii="Arial" w:hAnsi="Arial" w:cs="Arial"/>
                <w:b/>
                <w:sz w:val="24"/>
                <w:szCs w:val="24"/>
              </w:rPr>
            </w:pPr>
            <w:r w:rsidRPr="008C4C97">
              <w:rPr>
                <w:rFonts w:ascii="Arial" w:hAnsi="Arial" w:cs="Arial"/>
                <w:b/>
                <w:sz w:val="24"/>
                <w:szCs w:val="24"/>
              </w:rPr>
              <w:t>Critical commercial assays</w:t>
            </w:r>
          </w:p>
        </w:tc>
      </w:tr>
      <w:tr w:rsidR="00412760" w:rsidRPr="008C4C97" w14:paraId="5D69145A" w14:textId="77777777" w:rsidTr="001E64EA">
        <w:tc>
          <w:tcPr>
            <w:tcW w:w="4765" w:type="dxa"/>
          </w:tcPr>
          <w:p w14:paraId="7FD55776" w14:textId="77777777" w:rsidR="00412760" w:rsidRPr="008C4C97" w:rsidRDefault="0006134C" w:rsidP="001E64EA">
            <w:pPr>
              <w:jc w:val="both"/>
              <w:rPr>
                <w:rFonts w:ascii="Arial" w:hAnsi="Arial" w:cs="Arial"/>
                <w:sz w:val="24"/>
                <w:szCs w:val="24"/>
              </w:rPr>
            </w:pPr>
            <w:r w:rsidRPr="008C4C97">
              <w:rPr>
                <w:rFonts w:ascii="Arial" w:hAnsi="Arial" w:cs="Arial"/>
                <w:sz w:val="24"/>
                <w:szCs w:val="24"/>
              </w:rPr>
              <w:t>Human Alpha-</w:t>
            </w:r>
            <w:proofErr w:type="spellStart"/>
            <w:r w:rsidRPr="008C4C97">
              <w:rPr>
                <w:rFonts w:ascii="Arial" w:hAnsi="Arial" w:cs="Arial"/>
                <w:sz w:val="24"/>
                <w:szCs w:val="24"/>
              </w:rPr>
              <w:t>Synuclein</w:t>
            </w:r>
            <w:proofErr w:type="spellEnd"/>
            <w:r w:rsidRPr="008C4C97">
              <w:rPr>
                <w:rFonts w:ascii="Arial" w:hAnsi="Arial" w:cs="Arial"/>
                <w:sz w:val="24"/>
                <w:szCs w:val="24"/>
              </w:rPr>
              <w:t xml:space="preserve"> </w:t>
            </w:r>
            <w:proofErr w:type="spellStart"/>
            <w:r w:rsidRPr="008C4C97">
              <w:rPr>
                <w:rFonts w:ascii="Arial" w:hAnsi="Arial" w:cs="Arial"/>
                <w:sz w:val="24"/>
                <w:szCs w:val="24"/>
              </w:rPr>
              <w:t>simpleStep</w:t>
            </w:r>
            <w:proofErr w:type="spellEnd"/>
            <w:r w:rsidRPr="008C4C97">
              <w:rPr>
                <w:rFonts w:ascii="Arial" w:hAnsi="Arial" w:cs="Arial"/>
                <w:sz w:val="24"/>
                <w:szCs w:val="24"/>
              </w:rPr>
              <w:t xml:space="preserve"> ELISA kit</w:t>
            </w:r>
          </w:p>
        </w:tc>
        <w:tc>
          <w:tcPr>
            <w:tcW w:w="2340" w:type="dxa"/>
          </w:tcPr>
          <w:p w14:paraId="36895981" w14:textId="77777777" w:rsidR="00412760" w:rsidRPr="008C4C97" w:rsidRDefault="0006134C" w:rsidP="001E64EA">
            <w:pPr>
              <w:jc w:val="both"/>
              <w:rPr>
                <w:rFonts w:ascii="Arial" w:hAnsi="Arial" w:cs="Arial"/>
                <w:sz w:val="24"/>
                <w:szCs w:val="24"/>
              </w:rPr>
            </w:pPr>
            <w:r w:rsidRPr="008C4C97">
              <w:rPr>
                <w:rFonts w:ascii="Arial" w:hAnsi="Arial" w:cs="Arial"/>
                <w:sz w:val="24"/>
                <w:szCs w:val="24"/>
              </w:rPr>
              <w:t>Abcam</w:t>
            </w:r>
          </w:p>
        </w:tc>
        <w:tc>
          <w:tcPr>
            <w:tcW w:w="2249" w:type="dxa"/>
          </w:tcPr>
          <w:p w14:paraId="4E3B8BA5" w14:textId="77777777" w:rsidR="00412760" w:rsidRPr="008C4C97" w:rsidRDefault="0006134C" w:rsidP="001E64EA">
            <w:pPr>
              <w:jc w:val="both"/>
              <w:rPr>
                <w:rFonts w:ascii="Arial" w:hAnsi="Arial" w:cs="Arial"/>
                <w:sz w:val="24"/>
                <w:szCs w:val="24"/>
              </w:rPr>
            </w:pPr>
            <w:r w:rsidRPr="008C4C97">
              <w:rPr>
                <w:rFonts w:ascii="Arial" w:hAnsi="Arial" w:cs="Arial"/>
                <w:sz w:val="24"/>
                <w:szCs w:val="24"/>
              </w:rPr>
              <w:t>Ab260052</w:t>
            </w:r>
          </w:p>
        </w:tc>
      </w:tr>
      <w:tr w:rsidR="00412760" w:rsidRPr="008C4C97" w14:paraId="31DCC6BB" w14:textId="77777777" w:rsidTr="001E64EA">
        <w:tc>
          <w:tcPr>
            <w:tcW w:w="4765" w:type="dxa"/>
          </w:tcPr>
          <w:p w14:paraId="233EB19D" w14:textId="77777777" w:rsidR="00412760" w:rsidRPr="008C4C97" w:rsidRDefault="0006134C" w:rsidP="001E64EA">
            <w:pPr>
              <w:jc w:val="both"/>
              <w:rPr>
                <w:rFonts w:ascii="Arial" w:hAnsi="Arial" w:cs="Arial"/>
                <w:sz w:val="24"/>
                <w:szCs w:val="24"/>
              </w:rPr>
            </w:pPr>
            <w:r w:rsidRPr="008C4C97">
              <w:rPr>
                <w:rFonts w:ascii="Arial" w:hAnsi="Arial" w:cs="Arial"/>
                <w:sz w:val="24"/>
                <w:szCs w:val="24"/>
              </w:rPr>
              <w:t>Amyloid Beta 42 Human ELIA kit</w:t>
            </w:r>
          </w:p>
        </w:tc>
        <w:tc>
          <w:tcPr>
            <w:tcW w:w="2340" w:type="dxa"/>
          </w:tcPr>
          <w:p w14:paraId="3730A39C" w14:textId="77777777" w:rsidR="00412760" w:rsidRPr="008C4C97" w:rsidRDefault="0006134C" w:rsidP="001E64EA">
            <w:pPr>
              <w:jc w:val="both"/>
              <w:rPr>
                <w:rFonts w:ascii="Arial" w:hAnsi="Arial" w:cs="Arial"/>
                <w:sz w:val="24"/>
                <w:szCs w:val="24"/>
              </w:rPr>
            </w:pPr>
            <w:r w:rsidRPr="008C4C97">
              <w:rPr>
                <w:rFonts w:ascii="Arial" w:hAnsi="Arial" w:cs="Arial"/>
                <w:sz w:val="24"/>
                <w:szCs w:val="24"/>
              </w:rPr>
              <w:t>Abcam</w:t>
            </w:r>
          </w:p>
        </w:tc>
        <w:tc>
          <w:tcPr>
            <w:tcW w:w="2249" w:type="dxa"/>
          </w:tcPr>
          <w:p w14:paraId="60016DC3" w14:textId="77777777" w:rsidR="00412760" w:rsidRPr="008C4C97" w:rsidRDefault="0006134C" w:rsidP="001E64EA">
            <w:pPr>
              <w:jc w:val="both"/>
              <w:rPr>
                <w:rFonts w:ascii="Arial" w:hAnsi="Arial" w:cs="Arial"/>
                <w:sz w:val="24"/>
                <w:szCs w:val="24"/>
              </w:rPr>
            </w:pPr>
            <w:r w:rsidRPr="008C4C97">
              <w:rPr>
                <w:rFonts w:ascii="Arial" w:hAnsi="Arial" w:cs="Arial"/>
                <w:sz w:val="24"/>
                <w:szCs w:val="24"/>
              </w:rPr>
              <w:t>Ab289832</w:t>
            </w:r>
          </w:p>
        </w:tc>
      </w:tr>
      <w:tr w:rsidR="00412760" w:rsidRPr="008C4C97" w14:paraId="141F2DF7" w14:textId="77777777" w:rsidTr="001E64EA">
        <w:tc>
          <w:tcPr>
            <w:tcW w:w="4765" w:type="dxa"/>
          </w:tcPr>
          <w:p w14:paraId="7DC0B531"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Proteome profiler human cytokine array</w:t>
            </w:r>
          </w:p>
        </w:tc>
        <w:tc>
          <w:tcPr>
            <w:tcW w:w="2340" w:type="dxa"/>
          </w:tcPr>
          <w:p w14:paraId="64F42105"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R&amp;D System</w:t>
            </w:r>
          </w:p>
        </w:tc>
        <w:tc>
          <w:tcPr>
            <w:tcW w:w="2249" w:type="dxa"/>
          </w:tcPr>
          <w:p w14:paraId="04A39F34"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ARY005B</w:t>
            </w:r>
          </w:p>
        </w:tc>
      </w:tr>
      <w:tr w:rsidR="00412760" w:rsidRPr="008C4C97" w14:paraId="3F8623FF" w14:textId="77777777" w:rsidTr="001E64EA">
        <w:tc>
          <w:tcPr>
            <w:tcW w:w="9354" w:type="dxa"/>
            <w:gridSpan w:val="3"/>
          </w:tcPr>
          <w:p w14:paraId="0B330652" w14:textId="77777777" w:rsidR="00412760" w:rsidRPr="008C4C97" w:rsidRDefault="00412760" w:rsidP="001E64EA">
            <w:pPr>
              <w:jc w:val="both"/>
              <w:rPr>
                <w:rFonts w:ascii="Arial" w:hAnsi="Arial" w:cs="Arial"/>
                <w:b/>
                <w:sz w:val="24"/>
                <w:szCs w:val="24"/>
              </w:rPr>
            </w:pPr>
            <w:r w:rsidRPr="008C4C97">
              <w:rPr>
                <w:rFonts w:ascii="Arial" w:hAnsi="Arial" w:cs="Arial"/>
                <w:b/>
                <w:sz w:val="24"/>
                <w:szCs w:val="24"/>
              </w:rPr>
              <w:lastRenderedPageBreak/>
              <w:t>Antibodies</w:t>
            </w:r>
          </w:p>
        </w:tc>
      </w:tr>
      <w:tr w:rsidR="00412760" w:rsidRPr="008C4C97" w14:paraId="5FD4626B" w14:textId="77777777" w:rsidTr="001E64EA">
        <w:tc>
          <w:tcPr>
            <w:tcW w:w="4765" w:type="dxa"/>
          </w:tcPr>
          <w:p w14:paraId="181FCDEC"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1:100 ZO-1</w:t>
            </w:r>
          </w:p>
        </w:tc>
        <w:tc>
          <w:tcPr>
            <w:tcW w:w="2340" w:type="dxa"/>
          </w:tcPr>
          <w:p w14:paraId="172B99DF" w14:textId="77777777" w:rsidR="00412760" w:rsidRPr="008C4C97" w:rsidRDefault="00412760" w:rsidP="001E64EA">
            <w:pPr>
              <w:jc w:val="both"/>
              <w:rPr>
                <w:rFonts w:ascii="Arial" w:hAnsi="Arial" w:cs="Arial"/>
                <w:sz w:val="24"/>
                <w:szCs w:val="24"/>
              </w:rPr>
            </w:pPr>
            <w:r w:rsidRPr="008C4C97">
              <w:rPr>
                <w:rFonts w:ascii="Arial" w:hAnsi="Arial" w:cs="Arial"/>
                <w:color w:val="000000"/>
                <w:sz w:val="24"/>
                <w:szCs w:val="24"/>
                <w:shd w:val="clear" w:color="auto" w:fill="FFFFFF"/>
              </w:rPr>
              <w:t>Invitrogen</w:t>
            </w:r>
          </w:p>
        </w:tc>
        <w:tc>
          <w:tcPr>
            <w:tcW w:w="2249" w:type="dxa"/>
          </w:tcPr>
          <w:p w14:paraId="7EBAD042" w14:textId="77777777" w:rsidR="00412760" w:rsidRPr="008C4C97" w:rsidRDefault="00412760" w:rsidP="001E64EA">
            <w:pPr>
              <w:jc w:val="both"/>
              <w:rPr>
                <w:rFonts w:ascii="Arial" w:hAnsi="Arial" w:cs="Arial"/>
                <w:sz w:val="24"/>
                <w:szCs w:val="24"/>
              </w:rPr>
            </w:pPr>
            <w:r w:rsidRPr="008C4C97">
              <w:rPr>
                <w:rFonts w:ascii="Arial" w:hAnsi="Arial" w:cs="Arial"/>
                <w:color w:val="000000"/>
                <w:sz w:val="24"/>
                <w:szCs w:val="24"/>
                <w:shd w:val="clear" w:color="auto" w:fill="FFFFFF"/>
              </w:rPr>
              <w:t>40-2200</w:t>
            </w:r>
          </w:p>
        </w:tc>
      </w:tr>
      <w:tr w:rsidR="00412760" w:rsidRPr="008C4C97" w14:paraId="215E47CD" w14:textId="77777777" w:rsidTr="001E64EA">
        <w:tc>
          <w:tcPr>
            <w:tcW w:w="4765" w:type="dxa"/>
          </w:tcPr>
          <w:p w14:paraId="71D09908"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PECAM</w:t>
            </w:r>
            <w:r w:rsidR="002250C7" w:rsidRPr="008C4C97">
              <w:rPr>
                <w:rFonts w:ascii="Arial" w:hAnsi="Arial" w:cs="Arial"/>
                <w:sz w:val="24"/>
                <w:szCs w:val="24"/>
              </w:rPr>
              <w:t>/CD31</w:t>
            </w:r>
          </w:p>
        </w:tc>
        <w:tc>
          <w:tcPr>
            <w:tcW w:w="2340" w:type="dxa"/>
          </w:tcPr>
          <w:p w14:paraId="6A8BB2E7" w14:textId="77777777" w:rsidR="00412760" w:rsidRPr="008C4C97" w:rsidRDefault="00412760" w:rsidP="001E64EA">
            <w:pPr>
              <w:jc w:val="both"/>
              <w:rPr>
                <w:rFonts w:ascii="Arial" w:hAnsi="Arial" w:cs="Arial"/>
                <w:sz w:val="24"/>
                <w:szCs w:val="24"/>
              </w:rPr>
            </w:pPr>
            <w:r w:rsidRPr="008C4C97">
              <w:rPr>
                <w:rFonts w:ascii="Arial" w:hAnsi="Arial" w:cs="Arial"/>
                <w:color w:val="000000"/>
                <w:sz w:val="24"/>
                <w:szCs w:val="24"/>
                <w:shd w:val="clear" w:color="auto" w:fill="FFFFFF"/>
              </w:rPr>
              <w:t>Invitrogen</w:t>
            </w:r>
          </w:p>
        </w:tc>
        <w:tc>
          <w:tcPr>
            <w:tcW w:w="2249" w:type="dxa"/>
          </w:tcPr>
          <w:p w14:paraId="0C5B3072"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48-0319-42</w:t>
            </w:r>
          </w:p>
        </w:tc>
      </w:tr>
      <w:tr w:rsidR="00412760" w:rsidRPr="008C4C97" w14:paraId="5CABE744" w14:textId="77777777" w:rsidTr="001E64EA">
        <w:tc>
          <w:tcPr>
            <w:tcW w:w="4765" w:type="dxa"/>
          </w:tcPr>
          <w:p w14:paraId="38F55AC4"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GFAP</w:t>
            </w:r>
          </w:p>
        </w:tc>
        <w:tc>
          <w:tcPr>
            <w:tcW w:w="2340" w:type="dxa"/>
          </w:tcPr>
          <w:p w14:paraId="37A7DC22"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Sigma Aldrich</w:t>
            </w:r>
          </w:p>
        </w:tc>
        <w:tc>
          <w:tcPr>
            <w:tcW w:w="2249" w:type="dxa"/>
          </w:tcPr>
          <w:p w14:paraId="3DB4D067" w14:textId="77777777" w:rsidR="00412760" w:rsidRPr="008C4C97" w:rsidRDefault="00412760" w:rsidP="001E64EA">
            <w:pPr>
              <w:jc w:val="both"/>
              <w:rPr>
                <w:rFonts w:ascii="Arial" w:hAnsi="Arial" w:cs="Arial"/>
                <w:sz w:val="24"/>
                <w:szCs w:val="24"/>
              </w:rPr>
            </w:pPr>
            <w:r w:rsidRPr="008C4C97">
              <w:rPr>
                <w:rFonts w:ascii="Arial" w:hAnsi="Arial" w:cs="Arial"/>
                <w:color w:val="000000"/>
                <w:sz w:val="24"/>
                <w:szCs w:val="24"/>
                <w:shd w:val="clear" w:color="auto" w:fill="FFFFFF"/>
              </w:rPr>
              <w:t>AB5541</w:t>
            </w:r>
          </w:p>
        </w:tc>
      </w:tr>
      <w:tr w:rsidR="00412760" w:rsidRPr="008C4C97" w14:paraId="3DC78D95" w14:textId="77777777" w:rsidTr="001E64EA">
        <w:tc>
          <w:tcPr>
            <w:tcW w:w="4765" w:type="dxa"/>
          </w:tcPr>
          <w:p w14:paraId="49D41277"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ALDH1L1</w:t>
            </w:r>
          </w:p>
        </w:tc>
        <w:tc>
          <w:tcPr>
            <w:tcW w:w="2340" w:type="dxa"/>
          </w:tcPr>
          <w:p w14:paraId="67D5353F"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Abcam</w:t>
            </w:r>
          </w:p>
        </w:tc>
        <w:tc>
          <w:tcPr>
            <w:tcW w:w="2249" w:type="dxa"/>
          </w:tcPr>
          <w:p w14:paraId="79689FCE"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AB190298</w:t>
            </w:r>
          </w:p>
        </w:tc>
      </w:tr>
      <w:tr w:rsidR="00412760" w:rsidRPr="008C4C97" w14:paraId="073BF321" w14:textId="77777777" w:rsidTr="001E64EA">
        <w:tc>
          <w:tcPr>
            <w:tcW w:w="4765" w:type="dxa"/>
          </w:tcPr>
          <w:p w14:paraId="2B8F6E9D"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Tuj1</w:t>
            </w:r>
          </w:p>
        </w:tc>
        <w:tc>
          <w:tcPr>
            <w:tcW w:w="2340" w:type="dxa"/>
            <w:vAlign w:val="center"/>
          </w:tcPr>
          <w:p w14:paraId="38933C93"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Novus Biologicals</w:t>
            </w:r>
          </w:p>
        </w:tc>
        <w:tc>
          <w:tcPr>
            <w:tcW w:w="2249" w:type="dxa"/>
            <w:vAlign w:val="center"/>
          </w:tcPr>
          <w:p w14:paraId="0387AE72"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NBP1-42568</w:t>
            </w:r>
          </w:p>
        </w:tc>
      </w:tr>
      <w:tr w:rsidR="00412760" w:rsidRPr="008C4C97" w14:paraId="49B90DE8" w14:textId="77777777" w:rsidTr="001E64EA">
        <w:tc>
          <w:tcPr>
            <w:tcW w:w="4765" w:type="dxa"/>
          </w:tcPr>
          <w:p w14:paraId="21EAF6CE"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NeuN</w:t>
            </w:r>
            <w:proofErr w:type="spellEnd"/>
          </w:p>
        </w:tc>
        <w:tc>
          <w:tcPr>
            <w:tcW w:w="2340" w:type="dxa"/>
            <w:vAlign w:val="center"/>
          </w:tcPr>
          <w:p w14:paraId="4E0B110E"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Abcam</w:t>
            </w:r>
          </w:p>
        </w:tc>
        <w:tc>
          <w:tcPr>
            <w:tcW w:w="2249" w:type="dxa"/>
            <w:vAlign w:val="center"/>
          </w:tcPr>
          <w:p w14:paraId="199A2639"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Ab177487</w:t>
            </w:r>
          </w:p>
        </w:tc>
      </w:tr>
      <w:tr w:rsidR="00412760" w:rsidRPr="008C4C97" w14:paraId="6221838E" w14:textId="77777777" w:rsidTr="001E64EA">
        <w:tc>
          <w:tcPr>
            <w:tcW w:w="4765" w:type="dxa"/>
          </w:tcPr>
          <w:p w14:paraId="5B5755C5"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pTau</w:t>
            </w:r>
            <w:proofErr w:type="spellEnd"/>
            <w:r w:rsidRPr="008C4C97">
              <w:rPr>
                <w:rFonts w:ascii="Arial" w:hAnsi="Arial" w:cs="Arial"/>
                <w:sz w:val="24"/>
                <w:szCs w:val="24"/>
              </w:rPr>
              <w:t xml:space="preserve"> Ser202, Thr205</w:t>
            </w:r>
          </w:p>
        </w:tc>
        <w:tc>
          <w:tcPr>
            <w:tcW w:w="2340" w:type="dxa"/>
          </w:tcPr>
          <w:p w14:paraId="40825443"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Invitrogen</w:t>
            </w:r>
          </w:p>
        </w:tc>
        <w:tc>
          <w:tcPr>
            <w:tcW w:w="2249" w:type="dxa"/>
          </w:tcPr>
          <w:p w14:paraId="62E7652E"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MN1020</w:t>
            </w:r>
          </w:p>
        </w:tc>
      </w:tr>
      <w:tr w:rsidR="00412760" w:rsidRPr="008C4C97" w14:paraId="0B62BB56" w14:textId="77777777" w:rsidTr="001E64EA">
        <w:tc>
          <w:tcPr>
            <w:tcW w:w="4765" w:type="dxa"/>
          </w:tcPr>
          <w:p w14:paraId="3AC0C35D"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iNOS</w:t>
            </w:r>
            <w:proofErr w:type="spellEnd"/>
          </w:p>
        </w:tc>
        <w:tc>
          <w:tcPr>
            <w:tcW w:w="2340" w:type="dxa"/>
          </w:tcPr>
          <w:p w14:paraId="1013AC64"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Thermofisher</w:t>
            </w:r>
            <w:proofErr w:type="spellEnd"/>
          </w:p>
        </w:tc>
        <w:tc>
          <w:tcPr>
            <w:tcW w:w="2249" w:type="dxa"/>
          </w:tcPr>
          <w:p w14:paraId="5DC9377E"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PA1-036</w:t>
            </w:r>
          </w:p>
        </w:tc>
      </w:tr>
      <w:tr w:rsidR="00412760" w:rsidRPr="008C4C97" w14:paraId="1F19901F" w14:textId="77777777" w:rsidTr="001E64EA">
        <w:tc>
          <w:tcPr>
            <w:tcW w:w="4765" w:type="dxa"/>
          </w:tcPr>
          <w:p w14:paraId="65B98E8F"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Synapsin-1</w:t>
            </w:r>
          </w:p>
        </w:tc>
        <w:tc>
          <w:tcPr>
            <w:tcW w:w="2340" w:type="dxa"/>
          </w:tcPr>
          <w:p w14:paraId="1A9EE642"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Abcam</w:t>
            </w:r>
          </w:p>
        </w:tc>
        <w:tc>
          <w:tcPr>
            <w:tcW w:w="2249" w:type="dxa"/>
          </w:tcPr>
          <w:p w14:paraId="5CF43170"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AB254349</w:t>
            </w:r>
          </w:p>
        </w:tc>
      </w:tr>
      <w:tr w:rsidR="00412760" w:rsidRPr="008C4C97" w14:paraId="18576BF5" w14:textId="77777777" w:rsidTr="001E64EA">
        <w:tc>
          <w:tcPr>
            <w:tcW w:w="4765" w:type="dxa"/>
          </w:tcPr>
          <w:p w14:paraId="32BAC776"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1:500 Anti-mouse</w:t>
            </w:r>
          </w:p>
          <w:p w14:paraId="4282B74F"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AlexaFluor</w:t>
            </w:r>
            <w:proofErr w:type="spellEnd"/>
            <w:r w:rsidRPr="008C4C97">
              <w:rPr>
                <w:rFonts w:ascii="Arial" w:hAnsi="Arial" w:cs="Arial"/>
                <w:sz w:val="24"/>
                <w:szCs w:val="24"/>
              </w:rPr>
              <w:t>™ 488</w:t>
            </w:r>
          </w:p>
          <w:p w14:paraId="2BBF2971"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AlexaFluor</w:t>
            </w:r>
            <w:proofErr w:type="spellEnd"/>
            <w:r w:rsidRPr="008C4C97">
              <w:rPr>
                <w:rFonts w:ascii="Arial" w:hAnsi="Arial" w:cs="Arial"/>
                <w:sz w:val="24"/>
                <w:szCs w:val="24"/>
              </w:rPr>
              <w:t>™ 594</w:t>
            </w:r>
          </w:p>
          <w:p w14:paraId="5FA5A26D"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AlexaFluor</w:t>
            </w:r>
            <w:proofErr w:type="spellEnd"/>
            <w:r w:rsidRPr="008C4C97">
              <w:rPr>
                <w:rFonts w:ascii="Arial" w:hAnsi="Arial" w:cs="Arial"/>
                <w:sz w:val="24"/>
                <w:szCs w:val="24"/>
              </w:rPr>
              <w:t>™ 647</w:t>
            </w:r>
          </w:p>
        </w:tc>
        <w:tc>
          <w:tcPr>
            <w:tcW w:w="2340" w:type="dxa"/>
          </w:tcPr>
          <w:p w14:paraId="70550949"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Abcam</w:t>
            </w:r>
          </w:p>
        </w:tc>
        <w:tc>
          <w:tcPr>
            <w:tcW w:w="2249" w:type="dxa"/>
          </w:tcPr>
          <w:p w14:paraId="09521F9F" w14:textId="77777777" w:rsidR="00412760" w:rsidRPr="008C4C97" w:rsidRDefault="00412760" w:rsidP="001E64EA">
            <w:pPr>
              <w:jc w:val="both"/>
              <w:rPr>
                <w:rFonts w:ascii="Arial" w:hAnsi="Arial" w:cs="Arial"/>
                <w:sz w:val="24"/>
                <w:szCs w:val="24"/>
              </w:rPr>
            </w:pPr>
          </w:p>
          <w:p w14:paraId="2E93D208"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ab150113</w:t>
            </w:r>
          </w:p>
          <w:p w14:paraId="77ED4A61"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ab150116</w:t>
            </w:r>
          </w:p>
          <w:p w14:paraId="654B6465"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ab150115</w:t>
            </w:r>
          </w:p>
        </w:tc>
      </w:tr>
      <w:tr w:rsidR="00412760" w:rsidRPr="008C4C97" w14:paraId="191D57DE" w14:textId="77777777" w:rsidTr="001E64EA">
        <w:tc>
          <w:tcPr>
            <w:tcW w:w="4765" w:type="dxa"/>
          </w:tcPr>
          <w:p w14:paraId="6CD553BE"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1:500 Anti-rabbit</w:t>
            </w:r>
          </w:p>
          <w:p w14:paraId="4EFA93A3"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AlexaFluor</w:t>
            </w:r>
            <w:proofErr w:type="spellEnd"/>
            <w:r w:rsidRPr="008C4C97">
              <w:rPr>
                <w:rFonts w:ascii="Arial" w:hAnsi="Arial" w:cs="Arial"/>
                <w:sz w:val="24"/>
                <w:szCs w:val="24"/>
              </w:rPr>
              <w:t>™ 488</w:t>
            </w:r>
          </w:p>
          <w:p w14:paraId="7DFEB88A"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AlexaFluor</w:t>
            </w:r>
            <w:proofErr w:type="spellEnd"/>
            <w:r w:rsidRPr="008C4C97">
              <w:rPr>
                <w:rFonts w:ascii="Arial" w:hAnsi="Arial" w:cs="Arial"/>
                <w:sz w:val="24"/>
                <w:szCs w:val="24"/>
              </w:rPr>
              <w:t>™ 594</w:t>
            </w:r>
          </w:p>
          <w:p w14:paraId="2FFA8EA7"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AlexaFluor</w:t>
            </w:r>
            <w:proofErr w:type="spellEnd"/>
            <w:r w:rsidRPr="008C4C97">
              <w:rPr>
                <w:rFonts w:ascii="Arial" w:hAnsi="Arial" w:cs="Arial"/>
                <w:sz w:val="24"/>
                <w:szCs w:val="24"/>
              </w:rPr>
              <w:t>™ 647</w:t>
            </w:r>
          </w:p>
        </w:tc>
        <w:tc>
          <w:tcPr>
            <w:tcW w:w="2340" w:type="dxa"/>
          </w:tcPr>
          <w:p w14:paraId="3A3F748F"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Abcam</w:t>
            </w:r>
          </w:p>
        </w:tc>
        <w:tc>
          <w:tcPr>
            <w:tcW w:w="2249" w:type="dxa"/>
          </w:tcPr>
          <w:p w14:paraId="2F676E43" w14:textId="77777777" w:rsidR="00412760" w:rsidRPr="008C4C97" w:rsidRDefault="00412760" w:rsidP="001E64EA">
            <w:pPr>
              <w:jc w:val="both"/>
              <w:rPr>
                <w:rFonts w:ascii="Arial" w:hAnsi="Arial" w:cs="Arial"/>
                <w:sz w:val="24"/>
                <w:szCs w:val="24"/>
              </w:rPr>
            </w:pPr>
          </w:p>
          <w:p w14:paraId="2DFDD1CA"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ab150077</w:t>
            </w:r>
          </w:p>
          <w:p w14:paraId="7D65F6DD"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ab150080</w:t>
            </w:r>
          </w:p>
          <w:p w14:paraId="4BBC7D3D"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ab150079</w:t>
            </w:r>
          </w:p>
        </w:tc>
      </w:tr>
      <w:tr w:rsidR="00412760" w:rsidRPr="008C4C97" w14:paraId="41C42DF0" w14:textId="77777777" w:rsidTr="001E64EA">
        <w:tc>
          <w:tcPr>
            <w:tcW w:w="4765" w:type="dxa"/>
          </w:tcPr>
          <w:p w14:paraId="15C096CC"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1:500 Anti-chicken</w:t>
            </w:r>
          </w:p>
          <w:p w14:paraId="1865DDF6"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AlexaFluor</w:t>
            </w:r>
            <w:proofErr w:type="spellEnd"/>
            <w:r w:rsidRPr="008C4C97">
              <w:rPr>
                <w:rFonts w:ascii="Arial" w:hAnsi="Arial" w:cs="Arial"/>
                <w:sz w:val="24"/>
                <w:szCs w:val="24"/>
              </w:rPr>
              <w:t>™ 647</w:t>
            </w:r>
          </w:p>
        </w:tc>
        <w:tc>
          <w:tcPr>
            <w:tcW w:w="2340" w:type="dxa"/>
          </w:tcPr>
          <w:p w14:paraId="1700F5A5" w14:textId="77777777" w:rsidR="00412760" w:rsidRPr="008C4C97" w:rsidRDefault="00412760" w:rsidP="001E64EA">
            <w:pPr>
              <w:jc w:val="both"/>
              <w:rPr>
                <w:rFonts w:ascii="Arial" w:hAnsi="Arial" w:cs="Arial"/>
                <w:sz w:val="24"/>
                <w:szCs w:val="24"/>
              </w:rPr>
            </w:pPr>
          </w:p>
          <w:p w14:paraId="1ADC752A"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Abcam</w:t>
            </w:r>
          </w:p>
        </w:tc>
        <w:tc>
          <w:tcPr>
            <w:tcW w:w="2249" w:type="dxa"/>
          </w:tcPr>
          <w:p w14:paraId="168784E8" w14:textId="77777777" w:rsidR="00412760" w:rsidRPr="008C4C97" w:rsidRDefault="00412760" w:rsidP="001E64EA">
            <w:pPr>
              <w:jc w:val="both"/>
              <w:rPr>
                <w:rFonts w:ascii="Arial" w:hAnsi="Arial" w:cs="Arial"/>
                <w:sz w:val="24"/>
                <w:szCs w:val="24"/>
              </w:rPr>
            </w:pPr>
          </w:p>
          <w:p w14:paraId="6802780B"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ab150171</w:t>
            </w:r>
          </w:p>
        </w:tc>
      </w:tr>
      <w:tr w:rsidR="00412760" w:rsidRPr="008C4C97" w14:paraId="2A6EA9B6" w14:textId="77777777" w:rsidTr="001E64EA">
        <w:tc>
          <w:tcPr>
            <w:tcW w:w="4765" w:type="dxa"/>
          </w:tcPr>
          <w:p w14:paraId="1E233844"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1:500 Anti-goat</w:t>
            </w:r>
          </w:p>
          <w:p w14:paraId="483247A5"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AlexaFluor</w:t>
            </w:r>
            <w:proofErr w:type="spellEnd"/>
            <w:r w:rsidRPr="008C4C97">
              <w:rPr>
                <w:rFonts w:ascii="Arial" w:hAnsi="Arial" w:cs="Arial"/>
                <w:sz w:val="24"/>
                <w:szCs w:val="24"/>
              </w:rPr>
              <w:t>™ 594</w:t>
            </w:r>
          </w:p>
        </w:tc>
        <w:tc>
          <w:tcPr>
            <w:tcW w:w="2340" w:type="dxa"/>
          </w:tcPr>
          <w:p w14:paraId="4BF34E98"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R&amp;D System</w:t>
            </w:r>
          </w:p>
        </w:tc>
        <w:tc>
          <w:tcPr>
            <w:tcW w:w="2249" w:type="dxa"/>
          </w:tcPr>
          <w:p w14:paraId="501B0C43" w14:textId="77777777" w:rsidR="00412760" w:rsidRPr="008C4C97" w:rsidRDefault="00412760" w:rsidP="001E64EA">
            <w:pPr>
              <w:jc w:val="both"/>
              <w:rPr>
                <w:rFonts w:ascii="Arial" w:hAnsi="Arial" w:cs="Arial"/>
                <w:sz w:val="24"/>
                <w:szCs w:val="24"/>
              </w:rPr>
            </w:pPr>
          </w:p>
          <w:p w14:paraId="38B24786" w14:textId="77777777" w:rsidR="00412760" w:rsidRPr="008C4C97" w:rsidRDefault="00412760" w:rsidP="001E64EA">
            <w:pPr>
              <w:jc w:val="both"/>
              <w:rPr>
                <w:rFonts w:ascii="Arial" w:hAnsi="Arial" w:cs="Arial"/>
                <w:sz w:val="24"/>
                <w:szCs w:val="24"/>
              </w:rPr>
            </w:pPr>
            <w:r w:rsidRPr="008C4C97">
              <w:rPr>
                <w:rFonts w:ascii="Arial" w:hAnsi="Arial" w:cs="Arial"/>
                <w:color w:val="000000"/>
                <w:sz w:val="24"/>
                <w:szCs w:val="24"/>
                <w:shd w:val="clear" w:color="auto" w:fill="FFFFFF"/>
              </w:rPr>
              <w:t>NL003</w:t>
            </w:r>
          </w:p>
        </w:tc>
      </w:tr>
      <w:tr w:rsidR="00412760" w:rsidRPr="008C4C97" w14:paraId="04ED2060" w14:textId="77777777" w:rsidTr="001E64EA">
        <w:tc>
          <w:tcPr>
            <w:tcW w:w="9354" w:type="dxa"/>
            <w:gridSpan w:val="3"/>
          </w:tcPr>
          <w:p w14:paraId="72717046" w14:textId="77777777" w:rsidR="00412760" w:rsidRPr="008C4C97" w:rsidRDefault="00412760" w:rsidP="001E64EA">
            <w:pPr>
              <w:jc w:val="both"/>
              <w:rPr>
                <w:rFonts w:ascii="Arial" w:hAnsi="Arial" w:cs="Arial"/>
                <w:b/>
                <w:sz w:val="24"/>
                <w:szCs w:val="24"/>
              </w:rPr>
            </w:pPr>
            <w:r w:rsidRPr="008C4C97">
              <w:rPr>
                <w:rFonts w:ascii="Arial" w:hAnsi="Arial" w:cs="Arial"/>
                <w:b/>
                <w:sz w:val="24"/>
                <w:szCs w:val="24"/>
              </w:rPr>
              <w:t>Equipment</w:t>
            </w:r>
          </w:p>
        </w:tc>
      </w:tr>
      <w:tr w:rsidR="00412760" w:rsidRPr="008C4C97" w14:paraId="335DD5A5" w14:textId="77777777" w:rsidTr="001E64EA">
        <w:tc>
          <w:tcPr>
            <w:tcW w:w="4765" w:type="dxa"/>
          </w:tcPr>
          <w:p w14:paraId="17FFA86B"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96-well absorbance reader</w:t>
            </w:r>
          </w:p>
        </w:tc>
        <w:tc>
          <w:tcPr>
            <w:tcW w:w="2340" w:type="dxa"/>
          </w:tcPr>
          <w:p w14:paraId="45ECC46C"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Bio Tek Instrument, Inc</w:t>
            </w:r>
          </w:p>
        </w:tc>
        <w:tc>
          <w:tcPr>
            <w:tcW w:w="2249" w:type="dxa"/>
          </w:tcPr>
          <w:p w14:paraId="27383BE0"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Take3 Micro-Volume Plate</w:t>
            </w:r>
          </w:p>
        </w:tc>
      </w:tr>
      <w:tr w:rsidR="00412760" w:rsidRPr="008C4C97" w14:paraId="48CC4517" w14:textId="77777777" w:rsidTr="001E64EA">
        <w:tc>
          <w:tcPr>
            <w:tcW w:w="4765" w:type="dxa"/>
          </w:tcPr>
          <w:p w14:paraId="31D9E98B"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Confocal microscope</w:t>
            </w:r>
          </w:p>
        </w:tc>
        <w:tc>
          <w:tcPr>
            <w:tcW w:w="2340" w:type="dxa"/>
          </w:tcPr>
          <w:p w14:paraId="0FE141BB"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Nanoscope</w:t>
            </w:r>
            <w:proofErr w:type="spellEnd"/>
            <w:r w:rsidRPr="008C4C97">
              <w:rPr>
                <w:rFonts w:ascii="Arial" w:hAnsi="Arial" w:cs="Arial"/>
                <w:sz w:val="24"/>
                <w:szCs w:val="24"/>
              </w:rPr>
              <w:t xml:space="preserve"> Systems Co., Ltd.</w:t>
            </w:r>
          </w:p>
        </w:tc>
        <w:tc>
          <w:tcPr>
            <w:tcW w:w="2249" w:type="dxa"/>
          </w:tcPr>
          <w:p w14:paraId="4FA35A4E"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K1-Fluo[ABM] RT-SD</w:t>
            </w:r>
          </w:p>
        </w:tc>
      </w:tr>
      <w:tr w:rsidR="00412760" w:rsidRPr="008C4C97" w14:paraId="242BA759" w14:textId="77777777" w:rsidTr="001E64EA">
        <w:tc>
          <w:tcPr>
            <w:tcW w:w="4765" w:type="dxa"/>
          </w:tcPr>
          <w:p w14:paraId="5F836CA1"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Microscope</w:t>
            </w:r>
          </w:p>
        </w:tc>
        <w:tc>
          <w:tcPr>
            <w:tcW w:w="2340" w:type="dxa"/>
          </w:tcPr>
          <w:p w14:paraId="4FEB3E32"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Nikon Corporation Tokyo, Japan</w:t>
            </w:r>
          </w:p>
        </w:tc>
        <w:tc>
          <w:tcPr>
            <w:tcW w:w="2249" w:type="dxa"/>
          </w:tcPr>
          <w:p w14:paraId="0EBDD89D"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Eclipse Ti2-E</w:t>
            </w:r>
          </w:p>
        </w:tc>
      </w:tr>
      <w:tr w:rsidR="00412760" w:rsidRPr="008C4C97" w14:paraId="3B1666AB" w14:textId="77777777" w:rsidTr="001E64EA">
        <w:tc>
          <w:tcPr>
            <w:tcW w:w="4765" w:type="dxa"/>
          </w:tcPr>
          <w:p w14:paraId="39BFD088"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Oxygen Plasma machine</w:t>
            </w:r>
          </w:p>
        </w:tc>
        <w:tc>
          <w:tcPr>
            <w:tcW w:w="2340" w:type="dxa"/>
          </w:tcPr>
          <w:p w14:paraId="0EAFCB06"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Plasma Etch benchtop system</w:t>
            </w:r>
          </w:p>
        </w:tc>
        <w:tc>
          <w:tcPr>
            <w:tcW w:w="2249" w:type="dxa"/>
          </w:tcPr>
          <w:p w14:paraId="090C61F3"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 xml:space="preserve">PE 50XL with standard </w:t>
            </w:r>
            <w:proofErr w:type="spellStart"/>
            <w:r w:rsidRPr="008C4C97">
              <w:rPr>
                <w:rFonts w:ascii="Arial" w:hAnsi="Arial" w:cs="Arial"/>
                <w:sz w:val="24"/>
                <w:szCs w:val="24"/>
              </w:rPr>
              <w:t>accessoties</w:t>
            </w:r>
            <w:proofErr w:type="spellEnd"/>
          </w:p>
        </w:tc>
      </w:tr>
      <w:tr w:rsidR="00412760" w:rsidRPr="008C4C97" w14:paraId="341D1007" w14:textId="77777777" w:rsidTr="001E64EA">
        <w:tc>
          <w:tcPr>
            <w:tcW w:w="9354" w:type="dxa"/>
            <w:gridSpan w:val="3"/>
          </w:tcPr>
          <w:p w14:paraId="656D7B38" w14:textId="77777777" w:rsidR="00412760" w:rsidRPr="008C4C97" w:rsidRDefault="00412760" w:rsidP="001E64EA">
            <w:pPr>
              <w:jc w:val="both"/>
              <w:rPr>
                <w:rFonts w:ascii="Arial" w:hAnsi="Arial" w:cs="Arial"/>
                <w:b/>
                <w:sz w:val="24"/>
                <w:szCs w:val="24"/>
              </w:rPr>
            </w:pPr>
            <w:r w:rsidRPr="008C4C97">
              <w:rPr>
                <w:rFonts w:ascii="Arial" w:hAnsi="Arial" w:cs="Arial"/>
                <w:b/>
                <w:sz w:val="24"/>
                <w:szCs w:val="24"/>
              </w:rPr>
              <w:t>Experimental models: Cell lines</w:t>
            </w:r>
          </w:p>
        </w:tc>
      </w:tr>
      <w:tr w:rsidR="00412760" w:rsidRPr="008C4C97" w14:paraId="7EE70DA6" w14:textId="77777777" w:rsidTr="001E64EA">
        <w:tc>
          <w:tcPr>
            <w:tcW w:w="4765" w:type="dxa"/>
          </w:tcPr>
          <w:p w14:paraId="59FC999C" w14:textId="77777777" w:rsidR="00412760" w:rsidRPr="008C4C97" w:rsidRDefault="002250C7" w:rsidP="001E64EA">
            <w:pPr>
              <w:jc w:val="both"/>
              <w:rPr>
                <w:rFonts w:ascii="Arial" w:hAnsi="Arial" w:cs="Arial"/>
                <w:sz w:val="24"/>
                <w:szCs w:val="24"/>
              </w:rPr>
            </w:pPr>
            <w:r w:rsidRPr="008C4C97">
              <w:rPr>
                <w:rFonts w:ascii="Arial" w:eastAsia="Times New Roman" w:hAnsi="Arial" w:cs="Arial"/>
                <w:sz w:val="24"/>
                <w:szCs w:val="24"/>
              </w:rPr>
              <w:t>Human Embryonic stem cell</w:t>
            </w:r>
          </w:p>
        </w:tc>
        <w:tc>
          <w:tcPr>
            <w:tcW w:w="2340" w:type="dxa"/>
          </w:tcPr>
          <w:p w14:paraId="4A9DD0EF" w14:textId="77777777" w:rsidR="00412760" w:rsidRPr="008C4C97" w:rsidRDefault="002250C7" w:rsidP="001E64EA">
            <w:pPr>
              <w:jc w:val="both"/>
              <w:rPr>
                <w:rFonts w:ascii="Arial" w:hAnsi="Arial" w:cs="Arial"/>
                <w:sz w:val="24"/>
                <w:szCs w:val="24"/>
              </w:rPr>
            </w:pPr>
            <w:r w:rsidRPr="008C4C97">
              <w:rPr>
                <w:rFonts w:ascii="Arial" w:eastAsia="Times New Roman" w:hAnsi="Arial" w:cs="Arial"/>
                <w:sz w:val="24"/>
                <w:szCs w:val="24"/>
              </w:rPr>
              <w:t>Wi-Cell</w:t>
            </w:r>
          </w:p>
        </w:tc>
        <w:tc>
          <w:tcPr>
            <w:tcW w:w="2249" w:type="dxa"/>
          </w:tcPr>
          <w:p w14:paraId="236543CE" w14:textId="77777777" w:rsidR="00412760" w:rsidRPr="008C4C97" w:rsidRDefault="002250C7" w:rsidP="001E64EA">
            <w:pPr>
              <w:jc w:val="both"/>
              <w:rPr>
                <w:rFonts w:ascii="Arial" w:hAnsi="Arial" w:cs="Arial"/>
                <w:sz w:val="24"/>
                <w:szCs w:val="24"/>
              </w:rPr>
            </w:pPr>
            <w:r w:rsidRPr="008C4C97">
              <w:rPr>
                <w:rFonts w:ascii="Arial" w:hAnsi="Arial" w:cs="Arial"/>
                <w:sz w:val="24"/>
                <w:szCs w:val="24"/>
              </w:rPr>
              <w:t>H9</w:t>
            </w:r>
          </w:p>
        </w:tc>
      </w:tr>
      <w:tr w:rsidR="00412760" w:rsidRPr="008C4C97" w14:paraId="71B6745C" w14:textId="77777777" w:rsidTr="001E64EA">
        <w:tc>
          <w:tcPr>
            <w:tcW w:w="4765" w:type="dxa"/>
          </w:tcPr>
          <w:p w14:paraId="01039504" w14:textId="77777777" w:rsidR="00412760" w:rsidRPr="008C4C97" w:rsidRDefault="00412760" w:rsidP="001E64EA">
            <w:pPr>
              <w:jc w:val="both"/>
              <w:rPr>
                <w:rFonts w:ascii="Arial" w:hAnsi="Arial" w:cs="Arial"/>
                <w:sz w:val="24"/>
                <w:szCs w:val="24"/>
              </w:rPr>
            </w:pPr>
            <w:proofErr w:type="spellStart"/>
            <w:r w:rsidRPr="008C4C97">
              <w:rPr>
                <w:rFonts w:ascii="Arial" w:eastAsia="Times New Roman" w:hAnsi="Arial" w:cs="Arial"/>
                <w:sz w:val="24"/>
                <w:szCs w:val="24"/>
              </w:rPr>
              <w:t>ReN</w:t>
            </w:r>
            <w:proofErr w:type="spellEnd"/>
            <w:r w:rsidRPr="008C4C97">
              <w:rPr>
                <w:rFonts w:ascii="Arial" w:eastAsia="Times New Roman" w:hAnsi="Arial" w:cs="Arial"/>
                <w:sz w:val="24"/>
                <w:szCs w:val="24"/>
              </w:rPr>
              <w:t xml:space="preserve"> cell VM human neural progenitor cells (NPCs)</w:t>
            </w:r>
          </w:p>
        </w:tc>
        <w:tc>
          <w:tcPr>
            <w:tcW w:w="2340" w:type="dxa"/>
          </w:tcPr>
          <w:p w14:paraId="017869BD" w14:textId="77777777" w:rsidR="00412760" w:rsidRPr="008C4C97" w:rsidRDefault="00412760" w:rsidP="001E64EA">
            <w:pPr>
              <w:jc w:val="both"/>
              <w:rPr>
                <w:rFonts w:ascii="Arial" w:hAnsi="Arial" w:cs="Arial"/>
                <w:sz w:val="24"/>
                <w:szCs w:val="24"/>
              </w:rPr>
            </w:pPr>
            <w:proofErr w:type="spellStart"/>
            <w:r w:rsidRPr="008C4C97">
              <w:rPr>
                <w:rFonts w:ascii="Arial" w:eastAsia="Times New Roman" w:hAnsi="Arial" w:cs="Arial"/>
                <w:sz w:val="24"/>
                <w:szCs w:val="24"/>
              </w:rPr>
              <w:t>MilliporeSigma</w:t>
            </w:r>
            <w:proofErr w:type="spellEnd"/>
          </w:p>
        </w:tc>
        <w:tc>
          <w:tcPr>
            <w:tcW w:w="2249" w:type="dxa"/>
          </w:tcPr>
          <w:p w14:paraId="037D1C61"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SCC008</w:t>
            </w:r>
          </w:p>
        </w:tc>
      </w:tr>
      <w:tr w:rsidR="00412760" w:rsidRPr="008C4C97" w14:paraId="4993AD77" w14:textId="77777777" w:rsidTr="001E64EA">
        <w:tc>
          <w:tcPr>
            <w:tcW w:w="4765" w:type="dxa"/>
          </w:tcPr>
          <w:p w14:paraId="7F9AEB0C" w14:textId="77777777" w:rsidR="00412760" w:rsidRPr="008C4C97" w:rsidRDefault="00412760" w:rsidP="00C04FCA">
            <w:pPr>
              <w:jc w:val="both"/>
              <w:rPr>
                <w:rFonts w:ascii="Arial" w:hAnsi="Arial" w:cs="Arial"/>
                <w:sz w:val="24"/>
                <w:szCs w:val="24"/>
              </w:rPr>
            </w:pPr>
            <w:r w:rsidRPr="008C4C97">
              <w:rPr>
                <w:rFonts w:ascii="Arial" w:hAnsi="Arial" w:cs="Arial"/>
                <w:sz w:val="24"/>
                <w:szCs w:val="24"/>
              </w:rPr>
              <w:t xml:space="preserve">Immortalized Human </w:t>
            </w:r>
            <w:r w:rsidR="00F402E6" w:rsidRPr="008C4C97">
              <w:rPr>
                <w:rFonts w:ascii="Arial" w:hAnsi="Arial" w:cs="Arial"/>
                <w:sz w:val="24"/>
                <w:szCs w:val="24"/>
              </w:rPr>
              <w:t>Caco-2 cell</w:t>
            </w:r>
          </w:p>
        </w:tc>
        <w:tc>
          <w:tcPr>
            <w:tcW w:w="2340" w:type="dxa"/>
          </w:tcPr>
          <w:p w14:paraId="7538153B" w14:textId="77777777" w:rsidR="00412760" w:rsidRPr="008C4C97" w:rsidRDefault="00F402E6" w:rsidP="001E64EA">
            <w:pPr>
              <w:jc w:val="both"/>
              <w:rPr>
                <w:rFonts w:ascii="Arial" w:hAnsi="Arial" w:cs="Arial"/>
                <w:sz w:val="24"/>
                <w:szCs w:val="24"/>
              </w:rPr>
            </w:pPr>
            <w:r w:rsidRPr="008C4C97">
              <w:rPr>
                <w:rFonts w:ascii="Arial" w:hAnsi="Arial" w:cs="Arial"/>
                <w:sz w:val="24"/>
                <w:szCs w:val="24"/>
              </w:rPr>
              <w:t>ATCC</w:t>
            </w:r>
            <w:r w:rsidR="00412760" w:rsidRPr="008C4C97">
              <w:rPr>
                <w:rFonts w:ascii="Arial" w:hAnsi="Arial" w:cs="Arial"/>
                <w:sz w:val="24"/>
                <w:szCs w:val="24"/>
              </w:rPr>
              <w:t>, Inc.</w:t>
            </w:r>
          </w:p>
        </w:tc>
        <w:tc>
          <w:tcPr>
            <w:tcW w:w="2249" w:type="dxa"/>
          </w:tcPr>
          <w:p w14:paraId="03936B9A" w14:textId="77777777" w:rsidR="00412760" w:rsidRPr="008C4C97" w:rsidRDefault="00F402E6" w:rsidP="001E64EA">
            <w:pPr>
              <w:jc w:val="both"/>
              <w:rPr>
                <w:rFonts w:ascii="Arial" w:hAnsi="Arial" w:cs="Arial"/>
                <w:sz w:val="24"/>
                <w:szCs w:val="24"/>
              </w:rPr>
            </w:pPr>
            <w:r w:rsidRPr="008C4C97">
              <w:rPr>
                <w:rFonts w:ascii="Arial" w:hAnsi="Arial" w:cs="Arial"/>
                <w:sz w:val="24"/>
                <w:szCs w:val="24"/>
              </w:rPr>
              <w:t>HTB-37</w:t>
            </w:r>
          </w:p>
        </w:tc>
      </w:tr>
      <w:tr w:rsidR="00412760" w:rsidRPr="008C4C97" w14:paraId="610ED564" w14:textId="77777777" w:rsidTr="001E64EA">
        <w:tc>
          <w:tcPr>
            <w:tcW w:w="9354" w:type="dxa"/>
            <w:gridSpan w:val="3"/>
          </w:tcPr>
          <w:p w14:paraId="417282C0" w14:textId="77777777" w:rsidR="00412760" w:rsidRPr="008C4C97" w:rsidRDefault="00412760" w:rsidP="001E64EA">
            <w:pPr>
              <w:jc w:val="both"/>
              <w:rPr>
                <w:rFonts w:ascii="Arial" w:hAnsi="Arial" w:cs="Arial"/>
                <w:b/>
                <w:sz w:val="24"/>
                <w:szCs w:val="24"/>
              </w:rPr>
            </w:pPr>
            <w:r w:rsidRPr="008C4C97">
              <w:rPr>
                <w:rFonts w:ascii="Arial" w:hAnsi="Arial" w:cs="Arial"/>
                <w:b/>
                <w:sz w:val="24"/>
                <w:szCs w:val="24"/>
              </w:rPr>
              <w:t>Software</w:t>
            </w:r>
          </w:p>
        </w:tc>
      </w:tr>
      <w:tr w:rsidR="00412760" w:rsidRPr="008C4C97" w14:paraId="0A309751" w14:textId="77777777" w:rsidTr="001E64EA">
        <w:tc>
          <w:tcPr>
            <w:tcW w:w="4765" w:type="dxa"/>
          </w:tcPr>
          <w:p w14:paraId="111D4EC6"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Graphpad</w:t>
            </w:r>
            <w:proofErr w:type="spellEnd"/>
            <w:r w:rsidRPr="008C4C97">
              <w:rPr>
                <w:rFonts w:ascii="Arial" w:hAnsi="Arial" w:cs="Arial"/>
                <w:sz w:val="24"/>
                <w:szCs w:val="24"/>
              </w:rPr>
              <w:t xml:space="preserve"> Prism</w:t>
            </w:r>
          </w:p>
        </w:tc>
        <w:tc>
          <w:tcPr>
            <w:tcW w:w="2340" w:type="dxa"/>
          </w:tcPr>
          <w:p w14:paraId="2C63B58F"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GraphPad Software</w:t>
            </w:r>
          </w:p>
        </w:tc>
        <w:tc>
          <w:tcPr>
            <w:tcW w:w="2249" w:type="dxa"/>
          </w:tcPr>
          <w:p w14:paraId="0838E833"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https://www.graphpad.com/</w:t>
            </w:r>
          </w:p>
        </w:tc>
      </w:tr>
      <w:tr w:rsidR="00412760" w:rsidRPr="008C4C97" w14:paraId="1A25BFB7" w14:textId="77777777" w:rsidTr="001E64EA">
        <w:tc>
          <w:tcPr>
            <w:tcW w:w="4765" w:type="dxa"/>
          </w:tcPr>
          <w:p w14:paraId="0529A70A"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Fiji (ImageJ)</w:t>
            </w:r>
          </w:p>
        </w:tc>
        <w:tc>
          <w:tcPr>
            <w:tcW w:w="2340" w:type="dxa"/>
          </w:tcPr>
          <w:p w14:paraId="29F9EF58"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National Institutes of Health</w:t>
            </w:r>
          </w:p>
        </w:tc>
        <w:tc>
          <w:tcPr>
            <w:tcW w:w="2249" w:type="dxa"/>
          </w:tcPr>
          <w:p w14:paraId="745FCC19"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https://imagej.nih.gov/ij/</w:t>
            </w:r>
          </w:p>
        </w:tc>
      </w:tr>
      <w:tr w:rsidR="00412760" w:rsidRPr="008C4C97" w14:paraId="162D6CB6" w14:textId="77777777" w:rsidTr="001E64EA">
        <w:tc>
          <w:tcPr>
            <w:tcW w:w="4765" w:type="dxa"/>
          </w:tcPr>
          <w:p w14:paraId="353880DC"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Shapr3D</w:t>
            </w:r>
          </w:p>
        </w:tc>
        <w:tc>
          <w:tcPr>
            <w:tcW w:w="2340" w:type="dxa"/>
          </w:tcPr>
          <w:p w14:paraId="53B4464C"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Shapr3D Software</w:t>
            </w:r>
          </w:p>
        </w:tc>
        <w:tc>
          <w:tcPr>
            <w:tcW w:w="2249" w:type="dxa"/>
          </w:tcPr>
          <w:p w14:paraId="45F9AB4C"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https://www.shapr3d.com/</w:t>
            </w:r>
          </w:p>
        </w:tc>
      </w:tr>
      <w:tr w:rsidR="00412760" w:rsidRPr="008C4C97" w14:paraId="29C59CBC" w14:textId="77777777" w:rsidTr="001E64EA">
        <w:tc>
          <w:tcPr>
            <w:tcW w:w="4765" w:type="dxa"/>
          </w:tcPr>
          <w:p w14:paraId="67B03D62"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lastRenderedPageBreak/>
              <w:t>NIS-elements</w:t>
            </w:r>
          </w:p>
        </w:tc>
        <w:tc>
          <w:tcPr>
            <w:tcW w:w="2340" w:type="dxa"/>
          </w:tcPr>
          <w:p w14:paraId="6F2FCC70"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NIS-element Nikon Software</w:t>
            </w:r>
          </w:p>
        </w:tc>
        <w:tc>
          <w:tcPr>
            <w:tcW w:w="2249" w:type="dxa"/>
          </w:tcPr>
          <w:p w14:paraId="17C2DDD9"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https://www.microscope.healthcare.nikon.com/en_EU/products/software/nis-elements</w:t>
            </w:r>
          </w:p>
        </w:tc>
      </w:tr>
      <w:tr w:rsidR="00412760" w:rsidRPr="008C4C97" w14:paraId="64ED923F" w14:textId="77777777" w:rsidTr="001E64EA">
        <w:tc>
          <w:tcPr>
            <w:tcW w:w="4765" w:type="dxa"/>
          </w:tcPr>
          <w:p w14:paraId="1D1A960A"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BioRender</w:t>
            </w:r>
            <w:proofErr w:type="spellEnd"/>
          </w:p>
        </w:tc>
        <w:tc>
          <w:tcPr>
            <w:tcW w:w="2340" w:type="dxa"/>
          </w:tcPr>
          <w:p w14:paraId="1FFACAE3" w14:textId="77777777" w:rsidR="00412760" w:rsidRPr="008C4C97" w:rsidRDefault="00412760" w:rsidP="001E64EA">
            <w:pPr>
              <w:jc w:val="both"/>
              <w:rPr>
                <w:rFonts w:ascii="Arial" w:hAnsi="Arial" w:cs="Arial"/>
                <w:sz w:val="24"/>
                <w:szCs w:val="24"/>
              </w:rPr>
            </w:pPr>
            <w:proofErr w:type="spellStart"/>
            <w:r w:rsidRPr="008C4C97">
              <w:rPr>
                <w:rFonts w:ascii="Arial" w:hAnsi="Arial" w:cs="Arial"/>
                <w:sz w:val="24"/>
                <w:szCs w:val="24"/>
              </w:rPr>
              <w:t>BioRender</w:t>
            </w:r>
            <w:proofErr w:type="spellEnd"/>
          </w:p>
        </w:tc>
        <w:tc>
          <w:tcPr>
            <w:tcW w:w="2249" w:type="dxa"/>
          </w:tcPr>
          <w:p w14:paraId="7346245A" w14:textId="77777777" w:rsidR="00412760" w:rsidRPr="008C4C97" w:rsidRDefault="00412760" w:rsidP="001E64EA">
            <w:pPr>
              <w:jc w:val="both"/>
              <w:rPr>
                <w:rFonts w:ascii="Arial" w:hAnsi="Arial" w:cs="Arial"/>
                <w:sz w:val="24"/>
                <w:szCs w:val="24"/>
              </w:rPr>
            </w:pPr>
            <w:r w:rsidRPr="008C4C97">
              <w:rPr>
                <w:rFonts w:ascii="Arial" w:hAnsi="Arial" w:cs="Arial"/>
                <w:sz w:val="24"/>
                <w:szCs w:val="24"/>
              </w:rPr>
              <w:t>https://www.biorender.com/</w:t>
            </w:r>
          </w:p>
        </w:tc>
      </w:tr>
    </w:tbl>
    <w:p w14:paraId="091056FA" w14:textId="77777777" w:rsidR="00412760" w:rsidRPr="008C4C97" w:rsidRDefault="00412760">
      <w:pPr>
        <w:jc w:val="both"/>
        <w:rPr>
          <w:rFonts w:ascii="Arial" w:hAnsi="Arial" w:cs="Arial"/>
          <w:sz w:val="24"/>
          <w:szCs w:val="24"/>
        </w:rPr>
      </w:pPr>
    </w:p>
    <w:sectPr w:rsidR="00412760" w:rsidRPr="008C4C97">
      <w:headerReference w:type="defaul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0E7D3D" w14:textId="77777777" w:rsidR="00647D18" w:rsidRDefault="00647D18" w:rsidP="0094108A">
      <w:pPr>
        <w:spacing w:after="0" w:line="240" w:lineRule="auto"/>
      </w:pPr>
      <w:r>
        <w:separator/>
      </w:r>
    </w:p>
  </w:endnote>
  <w:endnote w:type="continuationSeparator" w:id="0">
    <w:p w14:paraId="424AD4FC" w14:textId="77777777" w:rsidR="00647D18" w:rsidRDefault="00647D18" w:rsidP="009410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790D70" w14:textId="77777777" w:rsidR="00647D18" w:rsidRDefault="00647D18" w:rsidP="0094108A">
      <w:pPr>
        <w:spacing w:after="0" w:line="240" w:lineRule="auto"/>
      </w:pPr>
      <w:r>
        <w:separator/>
      </w:r>
    </w:p>
  </w:footnote>
  <w:footnote w:type="continuationSeparator" w:id="0">
    <w:p w14:paraId="1C951BB8" w14:textId="77777777" w:rsidR="00647D18" w:rsidRDefault="00647D18" w:rsidP="009410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A63999" w14:textId="77777777" w:rsidR="0010733B" w:rsidRDefault="0010733B" w:rsidP="00F93BBB">
    <w:pPr>
      <w:pStyle w:val="Header"/>
      <w:ind w:left="72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7B4771"/>
    <w:multiLevelType w:val="multilevel"/>
    <w:tmpl w:val="E6746DD2"/>
    <w:lvl w:ilvl="0">
      <w:start w:val="2"/>
      <w:numFmt w:val="decimal"/>
      <w:lvlText w:val="%1"/>
      <w:lvlJc w:val="left"/>
      <w:pPr>
        <w:ind w:left="360" w:hanging="360"/>
      </w:pPr>
      <w:rPr>
        <w:rFonts w:hint="default"/>
        <w:b w:val="0"/>
      </w:rPr>
    </w:lvl>
    <w:lvl w:ilvl="1">
      <w:start w:val="1"/>
      <w:numFmt w:val="decimal"/>
      <w:lvlText w:val="%1.%2"/>
      <w:lvlJc w:val="left"/>
      <w:pPr>
        <w:ind w:left="72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1" w15:restartNumberingAfterBreak="0">
    <w:nsid w:val="28D76903"/>
    <w:multiLevelType w:val="hybridMultilevel"/>
    <w:tmpl w:val="E8D825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CE26255"/>
    <w:multiLevelType w:val="multilevel"/>
    <w:tmpl w:val="C6F43C4C"/>
    <w:lvl w:ilvl="0">
      <w:start w:val="5"/>
      <w:numFmt w:val="decimal"/>
      <w:lvlText w:val="%1"/>
      <w:lvlJc w:val="left"/>
      <w:pPr>
        <w:ind w:left="375" w:hanging="375"/>
      </w:pPr>
      <w:rPr>
        <w:rFonts w:hint="default"/>
      </w:rPr>
    </w:lvl>
    <w:lvl w:ilvl="1">
      <w:start w:val="1"/>
      <w:numFmt w:val="decimal"/>
      <w:lvlText w:val="%1.%2"/>
      <w:lvlJc w:val="left"/>
      <w:pPr>
        <w:ind w:left="735" w:hanging="375"/>
      </w:pPr>
      <w:rPr>
        <w:rFonts w:hint="default"/>
        <w:b/>
        <w:sz w:val="24"/>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 w15:restartNumberingAfterBreak="0">
    <w:nsid w:val="3EE50930"/>
    <w:multiLevelType w:val="multilevel"/>
    <w:tmpl w:val="E918DE6E"/>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4" w15:restartNumberingAfterBreak="0">
    <w:nsid w:val="6BB26218"/>
    <w:multiLevelType w:val="hybridMultilevel"/>
    <w:tmpl w:val="30CEA4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2C5B"/>
    <w:rsid w:val="000034C9"/>
    <w:rsid w:val="00006A46"/>
    <w:rsid w:val="0001198B"/>
    <w:rsid w:val="00026EA0"/>
    <w:rsid w:val="00036EEF"/>
    <w:rsid w:val="0004690D"/>
    <w:rsid w:val="000510EC"/>
    <w:rsid w:val="00051109"/>
    <w:rsid w:val="0006134C"/>
    <w:rsid w:val="000669A0"/>
    <w:rsid w:val="00087ABE"/>
    <w:rsid w:val="0009093A"/>
    <w:rsid w:val="000943AE"/>
    <w:rsid w:val="000A37C0"/>
    <w:rsid w:val="000B11BC"/>
    <w:rsid w:val="000C5016"/>
    <w:rsid w:val="000D5000"/>
    <w:rsid w:val="000D7C4F"/>
    <w:rsid w:val="000E03D0"/>
    <w:rsid w:val="000E2BFC"/>
    <w:rsid w:val="000F1795"/>
    <w:rsid w:val="000F7801"/>
    <w:rsid w:val="000F7E5F"/>
    <w:rsid w:val="00100783"/>
    <w:rsid w:val="00106E0A"/>
    <w:rsid w:val="0010733B"/>
    <w:rsid w:val="00120F02"/>
    <w:rsid w:val="00121BE4"/>
    <w:rsid w:val="0012317D"/>
    <w:rsid w:val="001240E2"/>
    <w:rsid w:val="00125DE2"/>
    <w:rsid w:val="00130856"/>
    <w:rsid w:val="001319A3"/>
    <w:rsid w:val="00133F62"/>
    <w:rsid w:val="00141ABD"/>
    <w:rsid w:val="001603A6"/>
    <w:rsid w:val="001618DB"/>
    <w:rsid w:val="001635AC"/>
    <w:rsid w:val="00164B85"/>
    <w:rsid w:val="0018301B"/>
    <w:rsid w:val="0018720A"/>
    <w:rsid w:val="001A486C"/>
    <w:rsid w:val="001B06D4"/>
    <w:rsid w:val="001B492E"/>
    <w:rsid w:val="001B77EE"/>
    <w:rsid w:val="001C2A57"/>
    <w:rsid w:val="001E4F65"/>
    <w:rsid w:val="001E5636"/>
    <w:rsid w:val="001E64EA"/>
    <w:rsid w:val="001F0C5E"/>
    <w:rsid w:val="002010D3"/>
    <w:rsid w:val="00202834"/>
    <w:rsid w:val="00202E79"/>
    <w:rsid w:val="0020308D"/>
    <w:rsid w:val="002036E6"/>
    <w:rsid w:val="00207A4A"/>
    <w:rsid w:val="00213B9E"/>
    <w:rsid w:val="002250C7"/>
    <w:rsid w:val="00227263"/>
    <w:rsid w:val="0023645E"/>
    <w:rsid w:val="00240138"/>
    <w:rsid w:val="00245E91"/>
    <w:rsid w:val="002501BF"/>
    <w:rsid w:val="0025068D"/>
    <w:rsid w:val="00254346"/>
    <w:rsid w:val="00263820"/>
    <w:rsid w:val="002734EE"/>
    <w:rsid w:val="00287FCD"/>
    <w:rsid w:val="002A4223"/>
    <w:rsid w:val="002A49B4"/>
    <w:rsid w:val="002A7CC4"/>
    <w:rsid w:val="002B44BA"/>
    <w:rsid w:val="002B68AE"/>
    <w:rsid w:val="002B6D69"/>
    <w:rsid w:val="002C4C64"/>
    <w:rsid w:val="002E0A01"/>
    <w:rsid w:val="002E160D"/>
    <w:rsid w:val="002E1E07"/>
    <w:rsid w:val="002F27BC"/>
    <w:rsid w:val="002F7486"/>
    <w:rsid w:val="0030412C"/>
    <w:rsid w:val="0031622D"/>
    <w:rsid w:val="003326AB"/>
    <w:rsid w:val="00343AD3"/>
    <w:rsid w:val="00346521"/>
    <w:rsid w:val="0034685C"/>
    <w:rsid w:val="00347150"/>
    <w:rsid w:val="003517A2"/>
    <w:rsid w:val="003653B0"/>
    <w:rsid w:val="003671D8"/>
    <w:rsid w:val="0037016E"/>
    <w:rsid w:val="00376C2E"/>
    <w:rsid w:val="003823CD"/>
    <w:rsid w:val="0039511D"/>
    <w:rsid w:val="003A46C3"/>
    <w:rsid w:val="003B3B91"/>
    <w:rsid w:val="003B7EAC"/>
    <w:rsid w:val="003C5E13"/>
    <w:rsid w:val="003D2B17"/>
    <w:rsid w:val="003E1F5B"/>
    <w:rsid w:val="0040530F"/>
    <w:rsid w:val="00412760"/>
    <w:rsid w:val="00417354"/>
    <w:rsid w:val="004229D5"/>
    <w:rsid w:val="00430767"/>
    <w:rsid w:val="00432104"/>
    <w:rsid w:val="00432FF0"/>
    <w:rsid w:val="004405A4"/>
    <w:rsid w:val="00455F60"/>
    <w:rsid w:val="0045606A"/>
    <w:rsid w:val="00491AA8"/>
    <w:rsid w:val="004926E3"/>
    <w:rsid w:val="00496305"/>
    <w:rsid w:val="004A1E14"/>
    <w:rsid w:val="004D0F59"/>
    <w:rsid w:val="004D10E7"/>
    <w:rsid w:val="004D3738"/>
    <w:rsid w:val="004D504A"/>
    <w:rsid w:val="004E3DA6"/>
    <w:rsid w:val="004E7738"/>
    <w:rsid w:val="004F515D"/>
    <w:rsid w:val="005105BF"/>
    <w:rsid w:val="00515791"/>
    <w:rsid w:val="00517825"/>
    <w:rsid w:val="00522B02"/>
    <w:rsid w:val="00526B6F"/>
    <w:rsid w:val="005338A3"/>
    <w:rsid w:val="005350C6"/>
    <w:rsid w:val="005410B9"/>
    <w:rsid w:val="00541C2C"/>
    <w:rsid w:val="00542529"/>
    <w:rsid w:val="00546581"/>
    <w:rsid w:val="005536D4"/>
    <w:rsid w:val="005700D1"/>
    <w:rsid w:val="0058077D"/>
    <w:rsid w:val="0058295D"/>
    <w:rsid w:val="005901C1"/>
    <w:rsid w:val="0059165E"/>
    <w:rsid w:val="00595A63"/>
    <w:rsid w:val="005975B6"/>
    <w:rsid w:val="005978E2"/>
    <w:rsid w:val="005A1FB6"/>
    <w:rsid w:val="005A3936"/>
    <w:rsid w:val="005A5680"/>
    <w:rsid w:val="005B5EF7"/>
    <w:rsid w:val="005C078A"/>
    <w:rsid w:val="005C3AAE"/>
    <w:rsid w:val="005D07FE"/>
    <w:rsid w:val="005D2C5B"/>
    <w:rsid w:val="005E1D7D"/>
    <w:rsid w:val="005E3C05"/>
    <w:rsid w:val="005F2643"/>
    <w:rsid w:val="005F5A3B"/>
    <w:rsid w:val="00601877"/>
    <w:rsid w:val="00617322"/>
    <w:rsid w:val="00622795"/>
    <w:rsid w:val="0062327A"/>
    <w:rsid w:val="00627DEF"/>
    <w:rsid w:val="00631AF2"/>
    <w:rsid w:val="00634B3D"/>
    <w:rsid w:val="00640976"/>
    <w:rsid w:val="00641E2A"/>
    <w:rsid w:val="00646EA1"/>
    <w:rsid w:val="00647D18"/>
    <w:rsid w:val="00650BF2"/>
    <w:rsid w:val="006612C4"/>
    <w:rsid w:val="00662BB1"/>
    <w:rsid w:val="00663F78"/>
    <w:rsid w:val="006705AB"/>
    <w:rsid w:val="00687C63"/>
    <w:rsid w:val="006957DD"/>
    <w:rsid w:val="006A3260"/>
    <w:rsid w:val="006A49B0"/>
    <w:rsid w:val="006A55EA"/>
    <w:rsid w:val="006A78A4"/>
    <w:rsid w:val="006B3399"/>
    <w:rsid w:val="006C636D"/>
    <w:rsid w:val="006C678E"/>
    <w:rsid w:val="006C7CDE"/>
    <w:rsid w:val="006E193D"/>
    <w:rsid w:val="006E61FD"/>
    <w:rsid w:val="006E64AD"/>
    <w:rsid w:val="00710DB9"/>
    <w:rsid w:val="00712855"/>
    <w:rsid w:val="00714F97"/>
    <w:rsid w:val="007157F0"/>
    <w:rsid w:val="00726654"/>
    <w:rsid w:val="00741B69"/>
    <w:rsid w:val="00744624"/>
    <w:rsid w:val="00745A55"/>
    <w:rsid w:val="00751686"/>
    <w:rsid w:val="007645E9"/>
    <w:rsid w:val="00767EA2"/>
    <w:rsid w:val="00773D31"/>
    <w:rsid w:val="0077423F"/>
    <w:rsid w:val="00777DF5"/>
    <w:rsid w:val="007B09F5"/>
    <w:rsid w:val="007B17E2"/>
    <w:rsid w:val="007B4AC9"/>
    <w:rsid w:val="007D0D97"/>
    <w:rsid w:val="007D1D3E"/>
    <w:rsid w:val="007D29BA"/>
    <w:rsid w:val="007D66DA"/>
    <w:rsid w:val="007E0016"/>
    <w:rsid w:val="007E3DAA"/>
    <w:rsid w:val="007E4F2B"/>
    <w:rsid w:val="0080601F"/>
    <w:rsid w:val="00837CAC"/>
    <w:rsid w:val="008438B2"/>
    <w:rsid w:val="008451DB"/>
    <w:rsid w:val="00852C98"/>
    <w:rsid w:val="0086057C"/>
    <w:rsid w:val="00863DE1"/>
    <w:rsid w:val="00866B22"/>
    <w:rsid w:val="008676A4"/>
    <w:rsid w:val="0087595A"/>
    <w:rsid w:val="008831A6"/>
    <w:rsid w:val="00885518"/>
    <w:rsid w:val="008915A8"/>
    <w:rsid w:val="008A42C5"/>
    <w:rsid w:val="008A4D26"/>
    <w:rsid w:val="008B07A7"/>
    <w:rsid w:val="008B2397"/>
    <w:rsid w:val="008B41B7"/>
    <w:rsid w:val="008B739F"/>
    <w:rsid w:val="008C0D4E"/>
    <w:rsid w:val="008C4C97"/>
    <w:rsid w:val="008C668B"/>
    <w:rsid w:val="008D18AD"/>
    <w:rsid w:val="008E093B"/>
    <w:rsid w:val="008E2D01"/>
    <w:rsid w:val="008E7750"/>
    <w:rsid w:val="008E79C9"/>
    <w:rsid w:val="008E7EFE"/>
    <w:rsid w:val="00910790"/>
    <w:rsid w:val="00917079"/>
    <w:rsid w:val="009309A4"/>
    <w:rsid w:val="00936721"/>
    <w:rsid w:val="0094108A"/>
    <w:rsid w:val="00950536"/>
    <w:rsid w:val="00953D6B"/>
    <w:rsid w:val="00964CFC"/>
    <w:rsid w:val="00965878"/>
    <w:rsid w:val="009718BF"/>
    <w:rsid w:val="00986F66"/>
    <w:rsid w:val="00987841"/>
    <w:rsid w:val="0099337D"/>
    <w:rsid w:val="009971EE"/>
    <w:rsid w:val="009A0AA9"/>
    <w:rsid w:val="009A78EC"/>
    <w:rsid w:val="009B3C72"/>
    <w:rsid w:val="009D5BF2"/>
    <w:rsid w:val="00A01EC3"/>
    <w:rsid w:val="00A06566"/>
    <w:rsid w:val="00A10D3C"/>
    <w:rsid w:val="00A131BF"/>
    <w:rsid w:val="00A15885"/>
    <w:rsid w:val="00A22D52"/>
    <w:rsid w:val="00A67621"/>
    <w:rsid w:val="00A718B1"/>
    <w:rsid w:val="00A86EAC"/>
    <w:rsid w:val="00A917BD"/>
    <w:rsid w:val="00AC684D"/>
    <w:rsid w:val="00AD089D"/>
    <w:rsid w:val="00AF1FDE"/>
    <w:rsid w:val="00AF58E8"/>
    <w:rsid w:val="00B01EC4"/>
    <w:rsid w:val="00B10FA1"/>
    <w:rsid w:val="00B127DA"/>
    <w:rsid w:val="00B1512E"/>
    <w:rsid w:val="00B233F3"/>
    <w:rsid w:val="00B45049"/>
    <w:rsid w:val="00B61C49"/>
    <w:rsid w:val="00B625D4"/>
    <w:rsid w:val="00B629FC"/>
    <w:rsid w:val="00B67EE7"/>
    <w:rsid w:val="00B70151"/>
    <w:rsid w:val="00B72D22"/>
    <w:rsid w:val="00B83FDB"/>
    <w:rsid w:val="00B90F56"/>
    <w:rsid w:val="00B912CD"/>
    <w:rsid w:val="00BA091E"/>
    <w:rsid w:val="00BC0797"/>
    <w:rsid w:val="00BC75D3"/>
    <w:rsid w:val="00BE4E2E"/>
    <w:rsid w:val="00BF5FD0"/>
    <w:rsid w:val="00C02AC5"/>
    <w:rsid w:val="00C04FCA"/>
    <w:rsid w:val="00C06015"/>
    <w:rsid w:val="00C1420B"/>
    <w:rsid w:val="00C170FB"/>
    <w:rsid w:val="00C23037"/>
    <w:rsid w:val="00C33A2A"/>
    <w:rsid w:val="00C377E9"/>
    <w:rsid w:val="00C46030"/>
    <w:rsid w:val="00C55B43"/>
    <w:rsid w:val="00C56BAF"/>
    <w:rsid w:val="00C56EAF"/>
    <w:rsid w:val="00C67E9B"/>
    <w:rsid w:val="00C71EDB"/>
    <w:rsid w:val="00C73566"/>
    <w:rsid w:val="00C86F78"/>
    <w:rsid w:val="00C87560"/>
    <w:rsid w:val="00C91610"/>
    <w:rsid w:val="00C93B44"/>
    <w:rsid w:val="00CB34D5"/>
    <w:rsid w:val="00CC6B11"/>
    <w:rsid w:val="00CC7D45"/>
    <w:rsid w:val="00CD19E9"/>
    <w:rsid w:val="00CD6389"/>
    <w:rsid w:val="00CE027E"/>
    <w:rsid w:val="00CE0F8A"/>
    <w:rsid w:val="00CF6DBD"/>
    <w:rsid w:val="00D01134"/>
    <w:rsid w:val="00D03CBA"/>
    <w:rsid w:val="00D063BA"/>
    <w:rsid w:val="00D14DD1"/>
    <w:rsid w:val="00D21865"/>
    <w:rsid w:val="00D34DB3"/>
    <w:rsid w:val="00D3719B"/>
    <w:rsid w:val="00D4015D"/>
    <w:rsid w:val="00D4086F"/>
    <w:rsid w:val="00D43059"/>
    <w:rsid w:val="00D4352C"/>
    <w:rsid w:val="00D4666C"/>
    <w:rsid w:val="00D65361"/>
    <w:rsid w:val="00D67E5E"/>
    <w:rsid w:val="00D74DC3"/>
    <w:rsid w:val="00D753A0"/>
    <w:rsid w:val="00D8309F"/>
    <w:rsid w:val="00D877AF"/>
    <w:rsid w:val="00D93BAD"/>
    <w:rsid w:val="00D9625A"/>
    <w:rsid w:val="00DB4FC3"/>
    <w:rsid w:val="00DB7016"/>
    <w:rsid w:val="00DC0E3E"/>
    <w:rsid w:val="00DD080C"/>
    <w:rsid w:val="00DE1755"/>
    <w:rsid w:val="00DF3DD4"/>
    <w:rsid w:val="00E0190E"/>
    <w:rsid w:val="00E06C08"/>
    <w:rsid w:val="00E13BC1"/>
    <w:rsid w:val="00E330DE"/>
    <w:rsid w:val="00E43EAD"/>
    <w:rsid w:val="00E448DC"/>
    <w:rsid w:val="00E458F9"/>
    <w:rsid w:val="00E523BE"/>
    <w:rsid w:val="00E548BC"/>
    <w:rsid w:val="00E62F89"/>
    <w:rsid w:val="00E74C58"/>
    <w:rsid w:val="00E80D2F"/>
    <w:rsid w:val="00EB36EA"/>
    <w:rsid w:val="00ED15C0"/>
    <w:rsid w:val="00ED2456"/>
    <w:rsid w:val="00EE41A5"/>
    <w:rsid w:val="00EF11F4"/>
    <w:rsid w:val="00F402E6"/>
    <w:rsid w:val="00F41A2C"/>
    <w:rsid w:val="00F45DB3"/>
    <w:rsid w:val="00F50E0D"/>
    <w:rsid w:val="00F527A6"/>
    <w:rsid w:val="00F6170E"/>
    <w:rsid w:val="00F92C9A"/>
    <w:rsid w:val="00F9348C"/>
    <w:rsid w:val="00F934E8"/>
    <w:rsid w:val="00F93BBB"/>
    <w:rsid w:val="00F96D3A"/>
    <w:rsid w:val="00FA6219"/>
    <w:rsid w:val="00FA7A3D"/>
    <w:rsid w:val="00FB138F"/>
    <w:rsid w:val="00FB33DF"/>
    <w:rsid w:val="00FC6119"/>
    <w:rsid w:val="00FE1DC1"/>
    <w:rsid w:val="00FE6BDD"/>
    <w:rsid w:val="00FF3660"/>
    <w:rsid w:val="00FF544F"/>
    <w:rsid w:val="00FF5E79"/>
    <w:rsid w:val="00FF693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C0776"/>
  <w15:chartTrackingRefBased/>
  <w15:docId w15:val="{E5D18F56-35A5-46EB-AEDE-77503A19A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53B0"/>
  </w:style>
  <w:style w:type="paragraph" w:styleId="Heading1">
    <w:name w:val="heading 1"/>
    <w:basedOn w:val="Normal"/>
    <w:next w:val="Normal"/>
    <w:link w:val="Heading1Char"/>
    <w:uiPriority w:val="9"/>
    <w:qFormat/>
    <w:rsid w:val="006957D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E1D7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41276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3D2B17"/>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E2D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01">
    <w:name w:val="fontstyle01"/>
    <w:basedOn w:val="DefaultParagraphFont"/>
    <w:rsid w:val="008E2D01"/>
    <w:rPr>
      <w:rFonts w:ascii="TimesNewRomanPSMT" w:hAnsi="TimesNewRomanPSMT" w:hint="default"/>
      <w:b w:val="0"/>
      <w:bCs w:val="0"/>
      <w:i w:val="0"/>
      <w:iCs w:val="0"/>
      <w:color w:val="000000"/>
      <w:sz w:val="24"/>
      <w:szCs w:val="24"/>
    </w:rPr>
  </w:style>
  <w:style w:type="paragraph" w:styleId="Header">
    <w:name w:val="header"/>
    <w:basedOn w:val="Normal"/>
    <w:link w:val="HeaderChar"/>
    <w:uiPriority w:val="99"/>
    <w:unhideWhenUsed/>
    <w:rsid w:val="009410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108A"/>
  </w:style>
  <w:style w:type="paragraph" w:styleId="Footer">
    <w:name w:val="footer"/>
    <w:basedOn w:val="Normal"/>
    <w:link w:val="FooterChar"/>
    <w:uiPriority w:val="99"/>
    <w:unhideWhenUsed/>
    <w:rsid w:val="009410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108A"/>
  </w:style>
  <w:style w:type="paragraph" w:styleId="ListParagraph">
    <w:name w:val="List Paragraph"/>
    <w:basedOn w:val="Normal"/>
    <w:uiPriority w:val="34"/>
    <w:qFormat/>
    <w:rsid w:val="00C56EAF"/>
    <w:pPr>
      <w:ind w:left="720"/>
      <w:contextualSpacing/>
    </w:pPr>
  </w:style>
  <w:style w:type="character" w:customStyle="1" w:styleId="Heading1Char">
    <w:name w:val="Heading 1 Char"/>
    <w:basedOn w:val="DefaultParagraphFont"/>
    <w:link w:val="Heading1"/>
    <w:uiPriority w:val="9"/>
    <w:rsid w:val="006957DD"/>
    <w:rPr>
      <w:rFonts w:asciiTheme="majorHAnsi" w:eastAsiaTheme="majorEastAsia" w:hAnsiTheme="majorHAnsi" w:cstheme="majorBidi"/>
      <w:color w:val="2E74B5" w:themeColor="accent1" w:themeShade="BF"/>
      <w:sz w:val="32"/>
      <w:szCs w:val="32"/>
    </w:rPr>
  </w:style>
  <w:style w:type="paragraph" w:styleId="Title">
    <w:name w:val="Title"/>
    <w:basedOn w:val="Normal"/>
    <w:next w:val="Normal"/>
    <w:link w:val="TitleChar"/>
    <w:uiPriority w:val="10"/>
    <w:qFormat/>
    <w:rsid w:val="006957D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57DD"/>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5E1D7D"/>
    <w:rPr>
      <w:rFonts w:asciiTheme="majorHAnsi" w:eastAsiaTheme="majorEastAsia" w:hAnsiTheme="majorHAnsi" w:cstheme="majorBidi"/>
      <w:color w:val="2E74B5" w:themeColor="accent1" w:themeShade="BF"/>
      <w:sz w:val="26"/>
      <w:szCs w:val="26"/>
    </w:rPr>
  </w:style>
  <w:style w:type="character" w:customStyle="1" w:styleId="Heading4Char">
    <w:name w:val="Heading 4 Char"/>
    <w:basedOn w:val="DefaultParagraphFont"/>
    <w:link w:val="Heading4"/>
    <w:uiPriority w:val="9"/>
    <w:semiHidden/>
    <w:rsid w:val="003D2B17"/>
    <w:rPr>
      <w:rFonts w:asciiTheme="majorHAnsi" w:eastAsiaTheme="majorEastAsia" w:hAnsiTheme="majorHAnsi" w:cstheme="majorBidi"/>
      <w:i/>
      <w:iCs/>
      <w:color w:val="2E74B5" w:themeColor="accent1" w:themeShade="BF"/>
    </w:rPr>
  </w:style>
  <w:style w:type="paragraph" w:styleId="BalloonText">
    <w:name w:val="Balloon Text"/>
    <w:basedOn w:val="Normal"/>
    <w:link w:val="BalloonTextChar"/>
    <w:uiPriority w:val="99"/>
    <w:semiHidden/>
    <w:unhideWhenUsed/>
    <w:rsid w:val="00662B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2BB1"/>
    <w:rPr>
      <w:rFonts w:ascii="Segoe UI" w:hAnsi="Segoe UI" w:cs="Segoe UI"/>
      <w:sz w:val="18"/>
      <w:szCs w:val="18"/>
    </w:rPr>
  </w:style>
  <w:style w:type="character" w:styleId="PlaceholderText">
    <w:name w:val="Placeholder Text"/>
    <w:basedOn w:val="DefaultParagraphFont"/>
    <w:uiPriority w:val="99"/>
    <w:semiHidden/>
    <w:rsid w:val="005536D4"/>
    <w:rPr>
      <w:color w:val="808080"/>
    </w:rPr>
  </w:style>
  <w:style w:type="character" w:customStyle="1" w:styleId="Heading3Char">
    <w:name w:val="Heading 3 Char"/>
    <w:basedOn w:val="DefaultParagraphFont"/>
    <w:link w:val="Heading3"/>
    <w:uiPriority w:val="9"/>
    <w:rsid w:val="00412760"/>
    <w:rPr>
      <w:rFonts w:asciiTheme="majorHAnsi" w:eastAsiaTheme="majorEastAsia" w:hAnsiTheme="majorHAnsi" w:cstheme="majorBidi"/>
      <w:color w:val="1F4D78" w:themeColor="accent1" w:themeShade="7F"/>
      <w:sz w:val="24"/>
      <w:szCs w:val="24"/>
    </w:rPr>
  </w:style>
  <w:style w:type="table" w:styleId="TableGrid">
    <w:name w:val="Table Grid"/>
    <w:basedOn w:val="TableNormal"/>
    <w:uiPriority w:val="39"/>
    <w:rsid w:val="004127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ainText">
    <w:name w:val="Main Text"/>
    <w:basedOn w:val="Normal"/>
    <w:link w:val="MainTextChar"/>
    <w:rsid w:val="00412760"/>
    <w:pPr>
      <w:spacing w:after="0" w:line="480" w:lineRule="auto"/>
    </w:pPr>
    <w:rPr>
      <w:rFonts w:ascii="Times New Roman" w:eastAsia="MS Mincho" w:hAnsi="Times New Roman" w:cs="Times New Roman"/>
      <w:sz w:val="24"/>
      <w:szCs w:val="24"/>
      <w:lang w:eastAsia="ja-JP"/>
    </w:rPr>
  </w:style>
  <w:style w:type="character" w:customStyle="1" w:styleId="MainTextChar">
    <w:name w:val="Main Text Char"/>
    <w:link w:val="MainText"/>
    <w:rsid w:val="00412760"/>
    <w:rPr>
      <w:rFonts w:ascii="Times New Roman" w:eastAsia="MS Mincho" w:hAnsi="Times New Roman" w:cs="Times New Roman"/>
      <w:sz w:val="24"/>
      <w:szCs w:val="24"/>
      <w:lang w:eastAsia="ja-JP"/>
    </w:rPr>
  </w:style>
  <w:style w:type="paragraph" w:styleId="Revision">
    <w:name w:val="Revision"/>
    <w:hidden/>
    <w:uiPriority w:val="99"/>
    <w:semiHidden/>
    <w:rsid w:val="000943AE"/>
    <w:pPr>
      <w:spacing w:after="0" w:line="240" w:lineRule="auto"/>
    </w:pPr>
  </w:style>
  <w:style w:type="character" w:styleId="CommentReference">
    <w:name w:val="annotation reference"/>
    <w:basedOn w:val="DefaultParagraphFont"/>
    <w:uiPriority w:val="99"/>
    <w:semiHidden/>
    <w:unhideWhenUsed/>
    <w:rsid w:val="008A42C5"/>
    <w:rPr>
      <w:sz w:val="16"/>
      <w:szCs w:val="16"/>
    </w:rPr>
  </w:style>
  <w:style w:type="paragraph" w:styleId="CommentText">
    <w:name w:val="annotation text"/>
    <w:basedOn w:val="Normal"/>
    <w:link w:val="CommentTextChar"/>
    <w:uiPriority w:val="99"/>
    <w:semiHidden/>
    <w:unhideWhenUsed/>
    <w:rsid w:val="008A42C5"/>
    <w:pPr>
      <w:spacing w:line="240" w:lineRule="auto"/>
    </w:pPr>
    <w:rPr>
      <w:sz w:val="20"/>
      <w:szCs w:val="20"/>
    </w:rPr>
  </w:style>
  <w:style w:type="character" w:customStyle="1" w:styleId="CommentTextChar">
    <w:name w:val="Comment Text Char"/>
    <w:basedOn w:val="DefaultParagraphFont"/>
    <w:link w:val="CommentText"/>
    <w:uiPriority w:val="99"/>
    <w:semiHidden/>
    <w:rsid w:val="008A42C5"/>
    <w:rPr>
      <w:sz w:val="20"/>
      <w:szCs w:val="20"/>
    </w:rPr>
  </w:style>
  <w:style w:type="paragraph" w:styleId="CommentSubject">
    <w:name w:val="annotation subject"/>
    <w:basedOn w:val="CommentText"/>
    <w:next w:val="CommentText"/>
    <w:link w:val="CommentSubjectChar"/>
    <w:uiPriority w:val="99"/>
    <w:semiHidden/>
    <w:unhideWhenUsed/>
    <w:rsid w:val="008A42C5"/>
    <w:rPr>
      <w:b/>
      <w:bCs/>
    </w:rPr>
  </w:style>
  <w:style w:type="character" w:customStyle="1" w:styleId="CommentSubjectChar">
    <w:name w:val="Comment Subject Char"/>
    <w:basedOn w:val="CommentTextChar"/>
    <w:link w:val="CommentSubject"/>
    <w:uiPriority w:val="99"/>
    <w:semiHidden/>
    <w:rsid w:val="008A42C5"/>
    <w:rPr>
      <w:b/>
      <w:bCs/>
      <w:sz w:val="20"/>
      <w:szCs w:val="20"/>
    </w:rPr>
  </w:style>
  <w:style w:type="character" w:styleId="Hyperlink">
    <w:name w:val="Hyperlink"/>
    <w:basedOn w:val="DefaultParagraphFont"/>
    <w:uiPriority w:val="99"/>
    <w:unhideWhenUsed/>
    <w:rsid w:val="00036EE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818874">
      <w:bodyDiv w:val="1"/>
      <w:marLeft w:val="0"/>
      <w:marRight w:val="0"/>
      <w:marTop w:val="0"/>
      <w:marBottom w:val="0"/>
      <w:divBdr>
        <w:top w:val="none" w:sz="0" w:space="0" w:color="auto"/>
        <w:left w:val="none" w:sz="0" w:space="0" w:color="auto"/>
        <w:bottom w:val="none" w:sz="0" w:space="0" w:color="auto"/>
        <w:right w:val="none" w:sz="0" w:space="0" w:color="auto"/>
      </w:divBdr>
    </w:div>
    <w:div w:id="80874860">
      <w:bodyDiv w:val="1"/>
      <w:marLeft w:val="0"/>
      <w:marRight w:val="0"/>
      <w:marTop w:val="0"/>
      <w:marBottom w:val="0"/>
      <w:divBdr>
        <w:top w:val="none" w:sz="0" w:space="0" w:color="auto"/>
        <w:left w:val="none" w:sz="0" w:space="0" w:color="auto"/>
        <w:bottom w:val="none" w:sz="0" w:space="0" w:color="auto"/>
        <w:right w:val="none" w:sz="0" w:space="0" w:color="auto"/>
      </w:divBdr>
    </w:div>
    <w:div w:id="94251607">
      <w:bodyDiv w:val="1"/>
      <w:marLeft w:val="0"/>
      <w:marRight w:val="0"/>
      <w:marTop w:val="0"/>
      <w:marBottom w:val="0"/>
      <w:divBdr>
        <w:top w:val="none" w:sz="0" w:space="0" w:color="auto"/>
        <w:left w:val="none" w:sz="0" w:space="0" w:color="auto"/>
        <w:bottom w:val="none" w:sz="0" w:space="0" w:color="auto"/>
        <w:right w:val="none" w:sz="0" w:space="0" w:color="auto"/>
      </w:divBdr>
    </w:div>
    <w:div w:id="103617043">
      <w:bodyDiv w:val="1"/>
      <w:marLeft w:val="0"/>
      <w:marRight w:val="0"/>
      <w:marTop w:val="0"/>
      <w:marBottom w:val="0"/>
      <w:divBdr>
        <w:top w:val="none" w:sz="0" w:space="0" w:color="auto"/>
        <w:left w:val="none" w:sz="0" w:space="0" w:color="auto"/>
        <w:bottom w:val="none" w:sz="0" w:space="0" w:color="auto"/>
        <w:right w:val="none" w:sz="0" w:space="0" w:color="auto"/>
      </w:divBdr>
    </w:div>
    <w:div w:id="105778914">
      <w:bodyDiv w:val="1"/>
      <w:marLeft w:val="0"/>
      <w:marRight w:val="0"/>
      <w:marTop w:val="0"/>
      <w:marBottom w:val="0"/>
      <w:divBdr>
        <w:top w:val="none" w:sz="0" w:space="0" w:color="auto"/>
        <w:left w:val="none" w:sz="0" w:space="0" w:color="auto"/>
        <w:bottom w:val="none" w:sz="0" w:space="0" w:color="auto"/>
        <w:right w:val="none" w:sz="0" w:space="0" w:color="auto"/>
      </w:divBdr>
    </w:div>
    <w:div w:id="106511346">
      <w:bodyDiv w:val="1"/>
      <w:marLeft w:val="0"/>
      <w:marRight w:val="0"/>
      <w:marTop w:val="0"/>
      <w:marBottom w:val="0"/>
      <w:divBdr>
        <w:top w:val="none" w:sz="0" w:space="0" w:color="auto"/>
        <w:left w:val="none" w:sz="0" w:space="0" w:color="auto"/>
        <w:bottom w:val="none" w:sz="0" w:space="0" w:color="auto"/>
        <w:right w:val="none" w:sz="0" w:space="0" w:color="auto"/>
      </w:divBdr>
    </w:div>
    <w:div w:id="108355649">
      <w:bodyDiv w:val="1"/>
      <w:marLeft w:val="0"/>
      <w:marRight w:val="0"/>
      <w:marTop w:val="0"/>
      <w:marBottom w:val="0"/>
      <w:divBdr>
        <w:top w:val="none" w:sz="0" w:space="0" w:color="auto"/>
        <w:left w:val="none" w:sz="0" w:space="0" w:color="auto"/>
        <w:bottom w:val="none" w:sz="0" w:space="0" w:color="auto"/>
        <w:right w:val="none" w:sz="0" w:space="0" w:color="auto"/>
      </w:divBdr>
    </w:div>
    <w:div w:id="111556310">
      <w:bodyDiv w:val="1"/>
      <w:marLeft w:val="0"/>
      <w:marRight w:val="0"/>
      <w:marTop w:val="0"/>
      <w:marBottom w:val="0"/>
      <w:divBdr>
        <w:top w:val="none" w:sz="0" w:space="0" w:color="auto"/>
        <w:left w:val="none" w:sz="0" w:space="0" w:color="auto"/>
        <w:bottom w:val="none" w:sz="0" w:space="0" w:color="auto"/>
        <w:right w:val="none" w:sz="0" w:space="0" w:color="auto"/>
      </w:divBdr>
    </w:div>
    <w:div w:id="142623566">
      <w:bodyDiv w:val="1"/>
      <w:marLeft w:val="0"/>
      <w:marRight w:val="0"/>
      <w:marTop w:val="0"/>
      <w:marBottom w:val="0"/>
      <w:divBdr>
        <w:top w:val="none" w:sz="0" w:space="0" w:color="auto"/>
        <w:left w:val="none" w:sz="0" w:space="0" w:color="auto"/>
        <w:bottom w:val="none" w:sz="0" w:space="0" w:color="auto"/>
        <w:right w:val="none" w:sz="0" w:space="0" w:color="auto"/>
      </w:divBdr>
    </w:div>
    <w:div w:id="151457560">
      <w:bodyDiv w:val="1"/>
      <w:marLeft w:val="0"/>
      <w:marRight w:val="0"/>
      <w:marTop w:val="0"/>
      <w:marBottom w:val="0"/>
      <w:divBdr>
        <w:top w:val="none" w:sz="0" w:space="0" w:color="auto"/>
        <w:left w:val="none" w:sz="0" w:space="0" w:color="auto"/>
        <w:bottom w:val="none" w:sz="0" w:space="0" w:color="auto"/>
        <w:right w:val="none" w:sz="0" w:space="0" w:color="auto"/>
      </w:divBdr>
    </w:div>
    <w:div w:id="189228862">
      <w:bodyDiv w:val="1"/>
      <w:marLeft w:val="0"/>
      <w:marRight w:val="0"/>
      <w:marTop w:val="0"/>
      <w:marBottom w:val="0"/>
      <w:divBdr>
        <w:top w:val="none" w:sz="0" w:space="0" w:color="auto"/>
        <w:left w:val="none" w:sz="0" w:space="0" w:color="auto"/>
        <w:bottom w:val="none" w:sz="0" w:space="0" w:color="auto"/>
        <w:right w:val="none" w:sz="0" w:space="0" w:color="auto"/>
      </w:divBdr>
    </w:div>
    <w:div w:id="197360090">
      <w:bodyDiv w:val="1"/>
      <w:marLeft w:val="0"/>
      <w:marRight w:val="0"/>
      <w:marTop w:val="0"/>
      <w:marBottom w:val="0"/>
      <w:divBdr>
        <w:top w:val="none" w:sz="0" w:space="0" w:color="auto"/>
        <w:left w:val="none" w:sz="0" w:space="0" w:color="auto"/>
        <w:bottom w:val="none" w:sz="0" w:space="0" w:color="auto"/>
        <w:right w:val="none" w:sz="0" w:space="0" w:color="auto"/>
      </w:divBdr>
    </w:div>
    <w:div w:id="271976400">
      <w:bodyDiv w:val="1"/>
      <w:marLeft w:val="0"/>
      <w:marRight w:val="0"/>
      <w:marTop w:val="0"/>
      <w:marBottom w:val="0"/>
      <w:divBdr>
        <w:top w:val="none" w:sz="0" w:space="0" w:color="auto"/>
        <w:left w:val="none" w:sz="0" w:space="0" w:color="auto"/>
        <w:bottom w:val="none" w:sz="0" w:space="0" w:color="auto"/>
        <w:right w:val="none" w:sz="0" w:space="0" w:color="auto"/>
      </w:divBdr>
    </w:div>
    <w:div w:id="272323153">
      <w:bodyDiv w:val="1"/>
      <w:marLeft w:val="0"/>
      <w:marRight w:val="0"/>
      <w:marTop w:val="0"/>
      <w:marBottom w:val="0"/>
      <w:divBdr>
        <w:top w:val="none" w:sz="0" w:space="0" w:color="auto"/>
        <w:left w:val="none" w:sz="0" w:space="0" w:color="auto"/>
        <w:bottom w:val="none" w:sz="0" w:space="0" w:color="auto"/>
        <w:right w:val="none" w:sz="0" w:space="0" w:color="auto"/>
      </w:divBdr>
    </w:div>
    <w:div w:id="284432527">
      <w:bodyDiv w:val="1"/>
      <w:marLeft w:val="0"/>
      <w:marRight w:val="0"/>
      <w:marTop w:val="0"/>
      <w:marBottom w:val="0"/>
      <w:divBdr>
        <w:top w:val="none" w:sz="0" w:space="0" w:color="auto"/>
        <w:left w:val="none" w:sz="0" w:space="0" w:color="auto"/>
        <w:bottom w:val="none" w:sz="0" w:space="0" w:color="auto"/>
        <w:right w:val="none" w:sz="0" w:space="0" w:color="auto"/>
      </w:divBdr>
    </w:div>
    <w:div w:id="329020768">
      <w:bodyDiv w:val="1"/>
      <w:marLeft w:val="0"/>
      <w:marRight w:val="0"/>
      <w:marTop w:val="0"/>
      <w:marBottom w:val="0"/>
      <w:divBdr>
        <w:top w:val="none" w:sz="0" w:space="0" w:color="auto"/>
        <w:left w:val="none" w:sz="0" w:space="0" w:color="auto"/>
        <w:bottom w:val="none" w:sz="0" w:space="0" w:color="auto"/>
        <w:right w:val="none" w:sz="0" w:space="0" w:color="auto"/>
      </w:divBdr>
    </w:div>
    <w:div w:id="330068511">
      <w:bodyDiv w:val="1"/>
      <w:marLeft w:val="0"/>
      <w:marRight w:val="0"/>
      <w:marTop w:val="0"/>
      <w:marBottom w:val="0"/>
      <w:divBdr>
        <w:top w:val="none" w:sz="0" w:space="0" w:color="auto"/>
        <w:left w:val="none" w:sz="0" w:space="0" w:color="auto"/>
        <w:bottom w:val="none" w:sz="0" w:space="0" w:color="auto"/>
        <w:right w:val="none" w:sz="0" w:space="0" w:color="auto"/>
      </w:divBdr>
    </w:div>
    <w:div w:id="340011825">
      <w:bodyDiv w:val="1"/>
      <w:marLeft w:val="0"/>
      <w:marRight w:val="0"/>
      <w:marTop w:val="0"/>
      <w:marBottom w:val="0"/>
      <w:divBdr>
        <w:top w:val="none" w:sz="0" w:space="0" w:color="auto"/>
        <w:left w:val="none" w:sz="0" w:space="0" w:color="auto"/>
        <w:bottom w:val="none" w:sz="0" w:space="0" w:color="auto"/>
        <w:right w:val="none" w:sz="0" w:space="0" w:color="auto"/>
      </w:divBdr>
    </w:div>
    <w:div w:id="399787934">
      <w:bodyDiv w:val="1"/>
      <w:marLeft w:val="0"/>
      <w:marRight w:val="0"/>
      <w:marTop w:val="0"/>
      <w:marBottom w:val="0"/>
      <w:divBdr>
        <w:top w:val="none" w:sz="0" w:space="0" w:color="auto"/>
        <w:left w:val="none" w:sz="0" w:space="0" w:color="auto"/>
        <w:bottom w:val="none" w:sz="0" w:space="0" w:color="auto"/>
        <w:right w:val="none" w:sz="0" w:space="0" w:color="auto"/>
      </w:divBdr>
    </w:div>
    <w:div w:id="511073548">
      <w:bodyDiv w:val="1"/>
      <w:marLeft w:val="0"/>
      <w:marRight w:val="0"/>
      <w:marTop w:val="0"/>
      <w:marBottom w:val="0"/>
      <w:divBdr>
        <w:top w:val="none" w:sz="0" w:space="0" w:color="auto"/>
        <w:left w:val="none" w:sz="0" w:space="0" w:color="auto"/>
        <w:bottom w:val="none" w:sz="0" w:space="0" w:color="auto"/>
        <w:right w:val="none" w:sz="0" w:space="0" w:color="auto"/>
      </w:divBdr>
    </w:div>
    <w:div w:id="524288534">
      <w:bodyDiv w:val="1"/>
      <w:marLeft w:val="0"/>
      <w:marRight w:val="0"/>
      <w:marTop w:val="0"/>
      <w:marBottom w:val="0"/>
      <w:divBdr>
        <w:top w:val="none" w:sz="0" w:space="0" w:color="auto"/>
        <w:left w:val="none" w:sz="0" w:space="0" w:color="auto"/>
        <w:bottom w:val="none" w:sz="0" w:space="0" w:color="auto"/>
        <w:right w:val="none" w:sz="0" w:space="0" w:color="auto"/>
      </w:divBdr>
    </w:div>
    <w:div w:id="536509390">
      <w:bodyDiv w:val="1"/>
      <w:marLeft w:val="0"/>
      <w:marRight w:val="0"/>
      <w:marTop w:val="0"/>
      <w:marBottom w:val="0"/>
      <w:divBdr>
        <w:top w:val="none" w:sz="0" w:space="0" w:color="auto"/>
        <w:left w:val="none" w:sz="0" w:space="0" w:color="auto"/>
        <w:bottom w:val="none" w:sz="0" w:space="0" w:color="auto"/>
        <w:right w:val="none" w:sz="0" w:space="0" w:color="auto"/>
      </w:divBdr>
    </w:div>
    <w:div w:id="595090137">
      <w:bodyDiv w:val="1"/>
      <w:marLeft w:val="0"/>
      <w:marRight w:val="0"/>
      <w:marTop w:val="0"/>
      <w:marBottom w:val="0"/>
      <w:divBdr>
        <w:top w:val="none" w:sz="0" w:space="0" w:color="auto"/>
        <w:left w:val="none" w:sz="0" w:space="0" w:color="auto"/>
        <w:bottom w:val="none" w:sz="0" w:space="0" w:color="auto"/>
        <w:right w:val="none" w:sz="0" w:space="0" w:color="auto"/>
      </w:divBdr>
    </w:div>
    <w:div w:id="633870856">
      <w:bodyDiv w:val="1"/>
      <w:marLeft w:val="0"/>
      <w:marRight w:val="0"/>
      <w:marTop w:val="0"/>
      <w:marBottom w:val="0"/>
      <w:divBdr>
        <w:top w:val="none" w:sz="0" w:space="0" w:color="auto"/>
        <w:left w:val="none" w:sz="0" w:space="0" w:color="auto"/>
        <w:bottom w:val="none" w:sz="0" w:space="0" w:color="auto"/>
        <w:right w:val="none" w:sz="0" w:space="0" w:color="auto"/>
      </w:divBdr>
    </w:div>
    <w:div w:id="689137506">
      <w:bodyDiv w:val="1"/>
      <w:marLeft w:val="0"/>
      <w:marRight w:val="0"/>
      <w:marTop w:val="0"/>
      <w:marBottom w:val="0"/>
      <w:divBdr>
        <w:top w:val="none" w:sz="0" w:space="0" w:color="auto"/>
        <w:left w:val="none" w:sz="0" w:space="0" w:color="auto"/>
        <w:bottom w:val="none" w:sz="0" w:space="0" w:color="auto"/>
        <w:right w:val="none" w:sz="0" w:space="0" w:color="auto"/>
      </w:divBdr>
    </w:div>
    <w:div w:id="710685967">
      <w:bodyDiv w:val="1"/>
      <w:marLeft w:val="0"/>
      <w:marRight w:val="0"/>
      <w:marTop w:val="0"/>
      <w:marBottom w:val="0"/>
      <w:divBdr>
        <w:top w:val="none" w:sz="0" w:space="0" w:color="auto"/>
        <w:left w:val="none" w:sz="0" w:space="0" w:color="auto"/>
        <w:bottom w:val="none" w:sz="0" w:space="0" w:color="auto"/>
        <w:right w:val="none" w:sz="0" w:space="0" w:color="auto"/>
      </w:divBdr>
    </w:div>
    <w:div w:id="741026221">
      <w:bodyDiv w:val="1"/>
      <w:marLeft w:val="0"/>
      <w:marRight w:val="0"/>
      <w:marTop w:val="0"/>
      <w:marBottom w:val="0"/>
      <w:divBdr>
        <w:top w:val="none" w:sz="0" w:space="0" w:color="auto"/>
        <w:left w:val="none" w:sz="0" w:space="0" w:color="auto"/>
        <w:bottom w:val="none" w:sz="0" w:space="0" w:color="auto"/>
        <w:right w:val="none" w:sz="0" w:space="0" w:color="auto"/>
      </w:divBdr>
    </w:div>
    <w:div w:id="748114147">
      <w:bodyDiv w:val="1"/>
      <w:marLeft w:val="0"/>
      <w:marRight w:val="0"/>
      <w:marTop w:val="0"/>
      <w:marBottom w:val="0"/>
      <w:divBdr>
        <w:top w:val="none" w:sz="0" w:space="0" w:color="auto"/>
        <w:left w:val="none" w:sz="0" w:space="0" w:color="auto"/>
        <w:bottom w:val="none" w:sz="0" w:space="0" w:color="auto"/>
        <w:right w:val="none" w:sz="0" w:space="0" w:color="auto"/>
      </w:divBdr>
    </w:div>
    <w:div w:id="772869632">
      <w:bodyDiv w:val="1"/>
      <w:marLeft w:val="0"/>
      <w:marRight w:val="0"/>
      <w:marTop w:val="0"/>
      <w:marBottom w:val="0"/>
      <w:divBdr>
        <w:top w:val="none" w:sz="0" w:space="0" w:color="auto"/>
        <w:left w:val="none" w:sz="0" w:space="0" w:color="auto"/>
        <w:bottom w:val="none" w:sz="0" w:space="0" w:color="auto"/>
        <w:right w:val="none" w:sz="0" w:space="0" w:color="auto"/>
      </w:divBdr>
    </w:div>
    <w:div w:id="811949417">
      <w:bodyDiv w:val="1"/>
      <w:marLeft w:val="0"/>
      <w:marRight w:val="0"/>
      <w:marTop w:val="0"/>
      <w:marBottom w:val="0"/>
      <w:divBdr>
        <w:top w:val="none" w:sz="0" w:space="0" w:color="auto"/>
        <w:left w:val="none" w:sz="0" w:space="0" w:color="auto"/>
        <w:bottom w:val="none" w:sz="0" w:space="0" w:color="auto"/>
        <w:right w:val="none" w:sz="0" w:space="0" w:color="auto"/>
      </w:divBdr>
    </w:div>
    <w:div w:id="888028678">
      <w:bodyDiv w:val="1"/>
      <w:marLeft w:val="0"/>
      <w:marRight w:val="0"/>
      <w:marTop w:val="0"/>
      <w:marBottom w:val="0"/>
      <w:divBdr>
        <w:top w:val="none" w:sz="0" w:space="0" w:color="auto"/>
        <w:left w:val="none" w:sz="0" w:space="0" w:color="auto"/>
        <w:bottom w:val="none" w:sz="0" w:space="0" w:color="auto"/>
        <w:right w:val="none" w:sz="0" w:space="0" w:color="auto"/>
      </w:divBdr>
    </w:div>
    <w:div w:id="888683230">
      <w:bodyDiv w:val="1"/>
      <w:marLeft w:val="0"/>
      <w:marRight w:val="0"/>
      <w:marTop w:val="0"/>
      <w:marBottom w:val="0"/>
      <w:divBdr>
        <w:top w:val="none" w:sz="0" w:space="0" w:color="auto"/>
        <w:left w:val="none" w:sz="0" w:space="0" w:color="auto"/>
        <w:bottom w:val="none" w:sz="0" w:space="0" w:color="auto"/>
        <w:right w:val="none" w:sz="0" w:space="0" w:color="auto"/>
      </w:divBdr>
      <w:divsChild>
        <w:div w:id="522287721">
          <w:marLeft w:val="0"/>
          <w:marRight w:val="0"/>
          <w:marTop w:val="120"/>
          <w:marBottom w:val="120"/>
          <w:divBdr>
            <w:top w:val="none" w:sz="0" w:space="0" w:color="auto"/>
            <w:left w:val="none" w:sz="0" w:space="0" w:color="auto"/>
            <w:bottom w:val="none" w:sz="0" w:space="0" w:color="auto"/>
            <w:right w:val="none" w:sz="0" w:space="0" w:color="auto"/>
          </w:divBdr>
          <w:divsChild>
            <w:div w:id="1360273333">
              <w:marLeft w:val="0"/>
              <w:marRight w:val="0"/>
              <w:marTop w:val="0"/>
              <w:marBottom w:val="0"/>
              <w:divBdr>
                <w:top w:val="none" w:sz="0" w:space="0" w:color="auto"/>
                <w:left w:val="none" w:sz="0" w:space="0" w:color="auto"/>
                <w:bottom w:val="none" w:sz="0" w:space="0" w:color="auto"/>
                <w:right w:val="none" w:sz="0" w:space="0" w:color="auto"/>
              </w:divBdr>
              <w:divsChild>
                <w:div w:id="1054815928">
                  <w:marLeft w:val="0"/>
                  <w:marRight w:val="0"/>
                  <w:marTop w:val="240"/>
                  <w:marBottom w:val="240"/>
                  <w:divBdr>
                    <w:top w:val="none" w:sz="0" w:space="0" w:color="auto"/>
                    <w:left w:val="none" w:sz="0" w:space="0" w:color="auto"/>
                    <w:bottom w:val="none" w:sz="0" w:space="0" w:color="auto"/>
                    <w:right w:val="none" w:sz="0" w:space="0" w:color="auto"/>
                  </w:divBdr>
                </w:div>
              </w:divsChild>
            </w:div>
            <w:div w:id="1705016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308604">
      <w:bodyDiv w:val="1"/>
      <w:marLeft w:val="0"/>
      <w:marRight w:val="0"/>
      <w:marTop w:val="0"/>
      <w:marBottom w:val="0"/>
      <w:divBdr>
        <w:top w:val="none" w:sz="0" w:space="0" w:color="auto"/>
        <w:left w:val="none" w:sz="0" w:space="0" w:color="auto"/>
        <w:bottom w:val="none" w:sz="0" w:space="0" w:color="auto"/>
        <w:right w:val="none" w:sz="0" w:space="0" w:color="auto"/>
      </w:divBdr>
    </w:div>
    <w:div w:id="925264241">
      <w:bodyDiv w:val="1"/>
      <w:marLeft w:val="0"/>
      <w:marRight w:val="0"/>
      <w:marTop w:val="0"/>
      <w:marBottom w:val="0"/>
      <w:divBdr>
        <w:top w:val="none" w:sz="0" w:space="0" w:color="auto"/>
        <w:left w:val="none" w:sz="0" w:space="0" w:color="auto"/>
        <w:bottom w:val="none" w:sz="0" w:space="0" w:color="auto"/>
        <w:right w:val="none" w:sz="0" w:space="0" w:color="auto"/>
      </w:divBdr>
    </w:div>
    <w:div w:id="1011493772">
      <w:bodyDiv w:val="1"/>
      <w:marLeft w:val="0"/>
      <w:marRight w:val="0"/>
      <w:marTop w:val="0"/>
      <w:marBottom w:val="0"/>
      <w:divBdr>
        <w:top w:val="none" w:sz="0" w:space="0" w:color="auto"/>
        <w:left w:val="none" w:sz="0" w:space="0" w:color="auto"/>
        <w:bottom w:val="none" w:sz="0" w:space="0" w:color="auto"/>
        <w:right w:val="none" w:sz="0" w:space="0" w:color="auto"/>
      </w:divBdr>
    </w:div>
    <w:div w:id="1021200383">
      <w:bodyDiv w:val="1"/>
      <w:marLeft w:val="0"/>
      <w:marRight w:val="0"/>
      <w:marTop w:val="0"/>
      <w:marBottom w:val="0"/>
      <w:divBdr>
        <w:top w:val="none" w:sz="0" w:space="0" w:color="auto"/>
        <w:left w:val="none" w:sz="0" w:space="0" w:color="auto"/>
        <w:bottom w:val="none" w:sz="0" w:space="0" w:color="auto"/>
        <w:right w:val="none" w:sz="0" w:space="0" w:color="auto"/>
      </w:divBdr>
      <w:divsChild>
        <w:div w:id="1024793340">
          <w:marLeft w:val="0"/>
          <w:marRight w:val="0"/>
          <w:marTop w:val="600"/>
          <w:marBottom w:val="45"/>
          <w:divBdr>
            <w:top w:val="none" w:sz="0" w:space="0" w:color="auto"/>
            <w:left w:val="none" w:sz="0" w:space="0" w:color="auto"/>
            <w:bottom w:val="none" w:sz="0" w:space="0" w:color="auto"/>
            <w:right w:val="none" w:sz="0" w:space="0" w:color="auto"/>
          </w:divBdr>
        </w:div>
      </w:divsChild>
    </w:div>
    <w:div w:id="1029259223">
      <w:bodyDiv w:val="1"/>
      <w:marLeft w:val="0"/>
      <w:marRight w:val="0"/>
      <w:marTop w:val="0"/>
      <w:marBottom w:val="0"/>
      <w:divBdr>
        <w:top w:val="none" w:sz="0" w:space="0" w:color="auto"/>
        <w:left w:val="none" w:sz="0" w:space="0" w:color="auto"/>
        <w:bottom w:val="none" w:sz="0" w:space="0" w:color="auto"/>
        <w:right w:val="none" w:sz="0" w:space="0" w:color="auto"/>
      </w:divBdr>
    </w:div>
    <w:div w:id="1083143945">
      <w:bodyDiv w:val="1"/>
      <w:marLeft w:val="0"/>
      <w:marRight w:val="0"/>
      <w:marTop w:val="0"/>
      <w:marBottom w:val="0"/>
      <w:divBdr>
        <w:top w:val="none" w:sz="0" w:space="0" w:color="auto"/>
        <w:left w:val="none" w:sz="0" w:space="0" w:color="auto"/>
        <w:bottom w:val="none" w:sz="0" w:space="0" w:color="auto"/>
        <w:right w:val="none" w:sz="0" w:space="0" w:color="auto"/>
      </w:divBdr>
    </w:div>
    <w:div w:id="1103459172">
      <w:bodyDiv w:val="1"/>
      <w:marLeft w:val="0"/>
      <w:marRight w:val="0"/>
      <w:marTop w:val="0"/>
      <w:marBottom w:val="0"/>
      <w:divBdr>
        <w:top w:val="none" w:sz="0" w:space="0" w:color="auto"/>
        <w:left w:val="none" w:sz="0" w:space="0" w:color="auto"/>
        <w:bottom w:val="none" w:sz="0" w:space="0" w:color="auto"/>
        <w:right w:val="none" w:sz="0" w:space="0" w:color="auto"/>
      </w:divBdr>
    </w:div>
    <w:div w:id="1119952691">
      <w:bodyDiv w:val="1"/>
      <w:marLeft w:val="0"/>
      <w:marRight w:val="0"/>
      <w:marTop w:val="0"/>
      <w:marBottom w:val="0"/>
      <w:divBdr>
        <w:top w:val="none" w:sz="0" w:space="0" w:color="auto"/>
        <w:left w:val="none" w:sz="0" w:space="0" w:color="auto"/>
        <w:bottom w:val="none" w:sz="0" w:space="0" w:color="auto"/>
        <w:right w:val="none" w:sz="0" w:space="0" w:color="auto"/>
      </w:divBdr>
    </w:div>
    <w:div w:id="1134446544">
      <w:bodyDiv w:val="1"/>
      <w:marLeft w:val="0"/>
      <w:marRight w:val="0"/>
      <w:marTop w:val="0"/>
      <w:marBottom w:val="0"/>
      <w:divBdr>
        <w:top w:val="none" w:sz="0" w:space="0" w:color="auto"/>
        <w:left w:val="none" w:sz="0" w:space="0" w:color="auto"/>
        <w:bottom w:val="none" w:sz="0" w:space="0" w:color="auto"/>
        <w:right w:val="none" w:sz="0" w:space="0" w:color="auto"/>
      </w:divBdr>
    </w:div>
    <w:div w:id="1158695102">
      <w:bodyDiv w:val="1"/>
      <w:marLeft w:val="0"/>
      <w:marRight w:val="0"/>
      <w:marTop w:val="0"/>
      <w:marBottom w:val="0"/>
      <w:divBdr>
        <w:top w:val="none" w:sz="0" w:space="0" w:color="auto"/>
        <w:left w:val="none" w:sz="0" w:space="0" w:color="auto"/>
        <w:bottom w:val="none" w:sz="0" w:space="0" w:color="auto"/>
        <w:right w:val="none" w:sz="0" w:space="0" w:color="auto"/>
      </w:divBdr>
    </w:div>
    <w:div w:id="1165169325">
      <w:bodyDiv w:val="1"/>
      <w:marLeft w:val="0"/>
      <w:marRight w:val="0"/>
      <w:marTop w:val="0"/>
      <w:marBottom w:val="0"/>
      <w:divBdr>
        <w:top w:val="none" w:sz="0" w:space="0" w:color="auto"/>
        <w:left w:val="none" w:sz="0" w:space="0" w:color="auto"/>
        <w:bottom w:val="none" w:sz="0" w:space="0" w:color="auto"/>
        <w:right w:val="none" w:sz="0" w:space="0" w:color="auto"/>
      </w:divBdr>
    </w:div>
    <w:div w:id="1172572357">
      <w:bodyDiv w:val="1"/>
      <w:marLeft w:val="0"/>
      <w:marRight w:val="0"/>
      <w:marTop w:val="0"/>
      <w:marBottom w:val="0"/>
      <w:divBdr>
        <w:top w:val="none" w:sz="0" w:space="0" w:color="auto"/>
        <w:left w:val="none" w:sz="0" w:space="0" w:color="auto"/>
        <w:bottom w:val="none" w:sz="0" w:space="0" w:color="auto"/>
        <w:right w:val="none" w:sz="0" w:space="0" w:color="auto"/>
      </w:divBdr>
    </w:div>
    <w:div w:id="1228371020">
      <w:bodyDiv w:val="1"/>
      <w:marLeft w:val="0"/>
      <w:marRight w:val="0"/>
      <w:marTop w:val="0"/>
      <w:marBottom w:val="0"/>
      <w:divBdr>
        <w:top w:val="none" w:sz="0" w:space="0" w:color="auto"/>
        <w:left w:val="none" w:sz="0" w:space="0" w:color="auto"/>
        <w:bottom w:val="none" w:sz="0" w:space="0" w:color="auto"/>
        <w:right w:val="none" w:sz="0" w:space="0" w:color="auto"/>
      </w:divBdr>
    </w:div>
    <w:div w:id="1230115791">
      <w:bodyDiv w:val="1"/>
      <w:marLeft w:val="0"/>
      <w:marRight w:val="0"/>
      <w:marTop w:val="0"/>
      <w:marBottom w:val="0"/>
      <w:divBdr>
        <w:top w:val="none" w:sz="0" w:space="0" w:color="auto"/>
        <w:left w:val="none" w:sz="0" w:space="0" w:color="auto"/>
        <w:bottom w:val="none" w:sz="0" w:space="0" w:color="auto"/>
        <w:right w:val="none" w:sz="0" w:space="0" w:color="auto"/>
      </w:divBdr>
    </w:div>
    <w:div w:id="1255288753">
      <w:bodyDiv w:val="1"/>
      <w:marLeft w:val="0"/>
      <w:marRight w:val="0"/>
      <w:marTop w:val="0"/>
      <w:marBottom w:val="0"/>
      <w:divBdr>
        <w:top w:val="none" w:sz="0" w:space="0" w:color="auto"/>
        <w:left w:val="none" w:sz="0" w:space="0" w:color="auto"/>
        <w:bottom w:val="none" w:sz="0" w:space="0" w:color="auto"/>
        <w:right w:val="none" w:sz="0" w:space="0" w:color="auto"/>
      </w:divBdr>
    </w:div>
    <w:div w:id="1261063292">
      <w:bodyDiv w:val="1"/>
      <w:marLeft w:val="0"/>
      <w:marRight w:val="0"/>
      <w:marTop w:val="0"/>
      <w:marBottom w:val="0"/>
      <w:divBdr>
        <w:top w:val="none" w:sz="0" w:space="0" w:color="auto"/>
        <w:left w:val="none" w:sz="0" w:space="0" w:color="auto"/>
        <w:bottom w:val="none" w:sz="0" w:space="0" w:color="auto"/>
        <w:right w:val="none" w:sz="0" w:space="0" w:color="auto"/>
      </w:divBdr>
    </w:div>
    <w:div w:id="1272280440">
      <w:bodyDiv w:val="1"/>
      <w:marLeft w:val="0"/>
      <w:marRight w:val="0"/>
      <w:marTop w:val="0"/>
      <w:marBottom w:val="0"/>
      <w:divBdr>
        <w:top w:val="none" w:sz="0" w:space="0" w:color="auto"/>
        <w:left w:val="none" w:sz="0" w:space="0" w:color="auto"/>
        <w:bottom w:val="none" w:sz="0" w:space="0" w:color="auto"/>
        <w:right w:val="none" w:sz="0" w:space="0" w:color="auto"/>
      </w:divBdr>
    </w:div>
    <w:div w:id="1283996407">
      <w:bodyDiv w:val="1"/>
      <w:marLeft w:val="0"/>
      <w:marRight w:val="0"/>
      <w:marTop w:val="0"/>
      <w:marBottom w:val="0"/>
      <w:divBdr>
        <w:top w:val="none" w:sz="0" w:space="0" w:color="auto"/>
        <w:left w:val="none" w:sz="0" w:space="0" w:color="auto"/>
        <w:bottom w:val="none" w:sz="0" w:space="0" w:color="auto"/>
        <w:right w:val="none" w:sz="0" w:space="0" w:color="auto"/>
      </w:divBdr>
    </w:div>
    <w:div w:id="1329136833">
      <w:bodyDiv w:val="1"/>
      <w:marLeft w:val="0"/>
      <w:marRight w:val="0"/>
      <w:marTop w:val="0"/>
      <w:marBottom w:val="0"/>
      <w:divBdr>
        <w:top w:val="none" w:sz="0" w:space="0" w:color="auto"/>
        <w:left w:val="none" w:sz="0" w:space="0" w:color="auto"/>
        <w:bottom w:val="none" w:sz="0" w:space="0" w:color="auto"/>
        <w:right w:val="none" w:sz="0" w:space="0" w:color="auto"/>
      </w:divBdr>
    </w:div>
    <w:div w:id="1331639522">
      <w:bodyDiv w:val="1"/>
      <w:marLeft w:val="0"/>
      <w:marRight w:val="0"/>
      <w:marTop w:val="0"/>
      <w:marBottom w:val="0"/>
      <w:divBdr>
        <w:top w:val="none" w:sz="0" w:space="0" w:color="auto"/>
        <w:left w:val="none" w:sz="0" w:space="0" w:color="auto"/>
        <w:bottom w:val="none" w:sz="0" w:space="0" w:color="auto"/>
        <w:right w:val="none" w:sz="0" w:space="0" w:color="auto"/>
      </w:divBdr>
    </w:div>
    <w:div w:id="1389766350">
      <w:bodyDiv w:val="1"/>
      <w:marLeft w:val="0"/>
      <w:marRight w:val="0"/>
      <w:marTop w:val="0"/>
      <w:marBottom w:val="0"/>
      <w:divBdr>
        <w:top w:val="none" w:sz="0" w:space="0" w:color="auto"/>
        <w:left w:val="none" w:sz="0" w:space="0" w:color="auto"/>
        <w:bottom w:val="none" w:sz="0" w:space="0" w:color="auto"/>
        <w:right w:val="none" w:sz="0" w:space="0" w:color="auto"/>
      </w:divBdr>
    </w:div>
    <w:div w:id="1393044485">
      <w:bodyDiv w:val="1"/>
      <w:marLeft w:val="0"/>
      <w:marRight w:val="0"/>
      <w:marTop w:val="0"/>
      <w:marBottom w:val="0"/>
      <w:divBdr>
        <w:top w:val="none" w:sz="0" w:space="0" w:color="auto"/>
        <w:left w:val="none" w:sz="0" w:space="0" w:color="auto"/>
        <w:bottom w:val="none" w:sz="0" w:space="0" w:color="auto"/>
        <w:right w:val="none" w:sz="0" w:space="0" w:color="auto"/>
      </w:divBdr>
    </w:div>
    <w:div w:id="1408114352">
      <w:bodyDiv w:val="1"/>
      <w:marLeft w:val="0"/>
      <w:marRight w:val="0"/>
      <w:marTop w:val="0"/>
      <w:marBottom w:val="0"/>
      <w:divBdr>
        <w:top w:val="none" w:sz="0" w:space="0" w:color="auto"/>
        <w:left w:val="none" w:sz="0" w:space="0" w:color="auto"/>
        <w:bottom w:val="none" w:sz="0" w:space="0" w:color="auto"/>
        <w:right w:val="none" w:sz="0" w:space="0" w:color="auto"/>
      </w:divBdr>
    </w:div>
    <w:div w:id="1419525293">
      <w:bodyDiv w:val="1"/>
      <w:marLeft w:val="0"/>
      <w:marRight w:val="0"/>
      <w:marTop w:val="0"/>
      <w:marBottom w:val="0"/>
      <w:divBdr>
        <w:top w:val="none" w:sz="0" w:space="0" w:color="auto"/>
        <w:left w:val="none" w:sz="0" w:space="0" w:color="auto"/>
        <w:bottom w:val="none" w:sz="0" w:space="0" w:color="auto"/>
        <w:right w:val="none" w:sz="0" w:space="0" w:color="auto"/>
      </w:divBdr>
    </w:div>
    <w:div w:id="1429693886">
      <w:bodyDiv w:val="1"/>
      <w:marLeft w:val="0"/>
      <w:marRight w:val="0"/>
      <w:marTop w:val="0"/>
      <w:marBottom w:val="0"/>
      <w:divBdr>
        <w:top w:val="none" w:sz="0" w:space="0" w:color="auto"/>
        <w:left w:val="none" w:sz="0" w:space="0" w:color="auto"/>
        <w:bottom w:val="none" w:sz="0" w:space="0" w:color="auto"/>
        <w:right w:val="none" w:sz="0" w:space="0" w:color="auto"/>
      </w:divBdr>
    </w:div>
    <w:div w:id="1458643123">
      <w:bodyDiv w:val="1"/>
      <w:marLeft w:val="0"/>
      <w:marRight w:val="0"/>
      <w:marTop w:val="0"/>
      <w:marBottom w:val="0"/>
      <w:divBdr>
        <w:top w:val="none" w:sz="0" w:space="0" w:color="auto"/>
        <w:left w:val="none" w:sz="0" w:space="0" w:color="auto"/>
        <w:bottom w:val="none" w:sz="0" w:space="0" w:color="auto"/>
        <w:right w:val="none" w:sz="0" w:space="0" w:color="auto"/>
      </w:divBdr>
    </w:div>
    <w:div w:id="1478304863">
      <w:bodyDiv w:val="1"/>
      <w:marLeft w:val="0"/>
      <w:marRight w:val="0"/>
      <w:marTop w:val="0"/>
      <w:marBottom w:val="0"/>
      <w:divBdr>
        <w:top w:val="none" w:sz="0" w:space="0" w:color="auto"/>
        <w:left w:val="none" w:sz="0" w:space="0" w:color="auto"/>
        <w:bottom w:val="none" w:sz="0" w:space="0" w:color="auto"/>
        <w:right w:val="none" w:sz="0" w:space="0" w:color="auto"/>
      </w:divBdr>
    </w:div>
    <w:div w:id="1517429510">
      <w:bodyDiv w:val="1"/>
      <w:marLeft w:val="0"/>
      <w:marRight w:val="0"/>
      <w:marTop w:val="0"/>
      <w:marBottom w:val="0"/>
      <w:divBdr>
        <w:top w:val="none" w:sz="0" w:space="0" w:color="auto"/>
        <w:left w:val="none" w:sz="0" w:space="0" w:color="auto"/>
        <w:bottom w:val="none" w:sz="0" w:space="0" w:color="auto"/>
        <w:right w:val="none" w:sz="0" w:space="0" w:color="auto"/>
      </w:divBdr>
    </w:div>
    <w:div w:id="1517619404">
      <w:bodyDiv w:val="1"/>
      <w:marLeft w:val="0"/>
      <w:marRight w:val="0"/>
      <w:marTop w:val="0"/>
      <w:marBottom w:val="0"/>
      <w:divBdr>
        <w:top w:val="none" w:sz="0" w:space="0" w:color="auto"/>
        <w:left w:val="none" w:sz="0" w:space="0" w:color="auto"/>
        <w:bottom w:val="none" w:sz="0" w:space="0" w:color="auto"/>
        <w:right w:val="none" w:sz="0" w:space="0" w:color="auto"/>
      </w:divBdr>
    </w:div>
    <w:div w:id="1534347845">
      <w:bodyDiv w:val="1"/>
      <w:marLeft w:val="0"/>
      <w:marRight w:val="0"/>
      <w:marTop w:val="0"/>
      <w:marBottom w:val="0"/>
      <w:divBdr>
        <w:top w:val="none" w:sz="0" w:space="0" w:color="auto"/>
        <w:left w:val="none" w:sz="0" w:space="0" w:color="auto"/>
        <w:bottom w:val="none" w:sz="0" w:space="0" w:color="auto"/>
        <w:right w:val="none" w:sz="0" w:space="0" w:color="auto"/>
      </w:divBdr>
    </w:div>
    <w:div w:id="1573270274">
      <w:bodyDiv w:val="1"/>
      <w:marLeft w:val="0"/>
      <w:marRight w:val="0"/>
      <w:marTop w:val="0"/>
      <w:marBottom w:val="0"/>
      <w:divBdr>
        <w:top w:val="none" w:sz="0" w:space="0" w:color="auto"/>
        <w:left w:val="none" w:sz="0" w:space="0" w:color="auto"/>
        <w:bottom w:val="none" w:sz="0" w:space="0" w:color="auto"/>
        <w:right w:val="none" w:sz="0" w:space="0" w:color="auto"/>
      </w:divBdr>
    </w:div>
    <w:div w:id="1588688130">
      <w:bodyDiv w:val="1"/>
      <w:marLeft w:val="0"/>
      <w:marRight w:val="0"/>
      <w:marTop w:val="0"/>
      <w:marBottom w:val="0"/>
      <w:divBdr>
        <w:top w:val="none" w:sz="0" w:space="0" w:color="auto"/>
        <w:left w:val="none" w:sz="0" w:space="0" w:color="auto"/>
        <w:bottom w:val="none" w:sz="0" w:space="0" w:color="auto"/>
        <w:right w:val="none" w:sz="0" w:space="0" w:color="auto"/>
      </w:divBdr>
    </w:div>
    <w:div w:id="1628511134">
      <w:bodyDiv w:val="1"/>
      <w:marLeft w:val="0"/>
      <w:marRight w:val="0"/>
      <w:marTop w:val="0"/>
      <w:marBottom w:val="0"/>
      <w:divBdr>
        <w:top w:val="none" w:sz="0" w:space="0" w:color="auto"/>
        <w:left w:val="none" w:sz="0" w:space="0" w:color="auto"/>
        <w:bottom w:val="none" w:sz="0" w:space="0" w:color="auto"/>
        <w:right w:val="none" w:sz="0" w:space="0" w:color="auto"/>
      </w:divBdr>
      <w:divsChild>
        <w:div w:id="1469594314">
          <w:marLeft w:val="0"/>
          <w:marRight w:val="0"/>
          <w:marTop w:val="600"/>
          <w:marBottom w:val="45"/>
          <w:divBdr>
            <w:top w:val="none" w:sz="0" w:space="0" w:color="auto"/>
            <w:left w:val="none" w:sz="0" w:space="0" w:color="auto"/>
            <w:bottom w:val="none" w:sz="0" w:space="0" w:color="auto"/>
            <w:right w:val="none" w:sz="0" w:space="0" w:color="auto"/>
          </w:divBdr>
        </w:div>
      </w:divsChild>
    </w:div>
    <w:div w:id="1675180750">
      <w:bodyDiv w:val="1"/>
      <w:marLeft w:val="0"/>
      <w:marRight w:val="0"/>
      <w:marTop w:val="0"/>
      <w:marBottom w:val="0"/>
      <w:divBdr>
        <w:top w:val="none" w:sz="0" w:space="0" w:color="auto"/>
        <w:left w:val="none" w:sz="0" w:space="0" w:color="auto"/>
        <w:bottom w:val="none" w:sz="0" w:space="0" w:color="auto"/>
        <w:right w:val="none" w:sz="0" w:space="0" w:color="auto"/>
      </w:divBdr>
    </w:div>
    <w:div w:id="1687094091">
      <w:bodyDiv w:val="1"/>
      <w:marLeft w:val="0"/>
      <w:marRight w:val="0"/>
      <w:marTop w:val="0"/>
      <w:marBottom w:val="0"/>
      <w:divBdr>
        <w:top w:val="none" w:sz="0" w:space="0" w:color="auto"/>
        <w:left w:val="none" w:sz="0" w:space="0" w:color="auto"/>
        <w:bottom w:val="none" w:sz="0" w:space="0" w:color="auto"/>
        <w:right w:val="none" w:sz="0" w:space="0" w:color="auto"/>
      </w:divBdr>
    </w:div>
    <w:div w:id="1704481810">
      <w:bodyDiv w:val="1"/>
      <w:marLeft w:val="0"/>
      <w:marRight w:val="0"/>
      <w:marTop w:val="0"/>
      <w:marBottom w:val="0"/>
      <w:divBdr>
        <w:top w:val="none" w:sz="0" w:space="0" w:color="auto"/>
        <w:left w:val="none" w:sz="0" w:space="0" w:color="auto"/>
        <w:bottom w:val="none" w:sz="0" w:space="0" w:color="auto"/>
        <w:right w:val="none" w:sz="0" w:space="0" w:color="auto"/>
      </w:divBdr>
    </w:div>
    <w:div w:id="1740904564">
      <w:bodyDiv w:val="1"/>
      <w:marLeft w:val="0"/>
      <w:marRight w:val="0"/>
      <w:marTop w:val="0"/>
      <w:marBottom w:val="0"/>
      <w:divBdr>
        <w:top w:val="none" w:sz="0" w:space="0" w:color="auto"/>
        <w:left w:val="none" w:sz="0" w:space="0" w:color="auto"/>
        <w:bottom w:val="none" w:sz="0" w:space="0" w:color="auto"/>
        <w:right w:val="none" w:sz="0" w:space="0" w:color="auto"/>
      </w:divBdr>
    </w:div>
    <w:div w:id="1742362189">
      <w:bodyDiv w:val="1"/>
      <w:marLeft w:val="0"/>
      <w:marRight w:val="0"/>
      <w:marTop w:val="0"/>
      <w:marBottom w:val="0"/>
      <w:divBdr>
        <w:top w:val="none" w:sz="0" w:space="0" w:color="auto"/>
        <w:left w:val="none" w:sz="0" w:space="0" w:color="auto"/>
        <w:bottom w:val="none" w:sz="0" w:space="0" w:color="auto"/>
        <w:right w:val="none" w:sz="0" w:space="0" w:color="auto"/>
      </w:divBdr>
    </w:div>
    <w:div w:id="1772050063">
      <w:bodyDiv w:val="1"/>
      <w:marLeft w:val="0"/>
      <w:marRight w:val="0"/>
      <w:marTop w:val="0"/>
      <w:marBottom w:val="0"/>
      <w:divBdr>
        <w:top w:val="none" w:sz="0" w:space="0" w:color="auto"/>
        <w:left w:val="none" w:sz="0" w:space="0" w:color="auto"/>
        <w:bottom w:val="none" w:sz="0" w:space="0" w:color="auto"/>
        <w:right w:val="none" w:sz="0" w:space="0" w:color="auto"/>
      </w:divBdr>
    </w:div>
    <w:div w:id="1777217164">
      <w:bodyDiv w:val="1"/>
      <w:marLeft w:val="0"/>
      <w:marRight w:val="0"/>
      <w:marTop w:val="0"/>
      <w:marBottom w:val="0"/>
      <w:divBdr>
        <w:top w:val="none" w:sz="0" w:space="0" w:color="auto"/>
        <w:left w:val="none" w:sz="0" w:space="0" w:color="auto"/>
        <w:bottom w:val="none" w:sz="0" w:space="0" w:color="auto"/>
        <w:right w:val="none" w:sz="0" w:space="0" w:color="auto"/>
      </w:divBdr>
    </w:div>
    <w:div w:id="1793477838">
      <w:bodyDiv w:val="1"/>
      <w:marLeft w:val="0"/>
      <w:marRight w:val="0"/>
      <w:marTop w:val="0"/>
      <w:marBottom w:val="0"/>
      <w:divBdr>
        <w:top w:val="none" w:sz="0" w:space="0" w:color="auto"/>
        <w:left w:val="none" w:sz="0" w:space="0" w:color="auto"/>
        <w:bottom w:val="none" w:sz="0" w:space="0" w:color="auto"/>
        <w:right w:val="none" w:sz="0" w:space="0" w:color="auto"/>
      </w:divBdr>
    </w:div>
    <w:div w:id="1798598226">
      <w:bodyDiv w:val="1"/>
      <w:marLeft w:val="0"/>
      <w:marRight w:val="0"/>
      <w:marTop w:val="0"/>
      <w:marBottom w:val="0"/>
      <w:divBdr>
        <w:top w:val="none" w:sz="0" w:space="0" w:color="auto"/>
        <w:left w:val="none" w:sz="0" w:space="0" w:color="auto"/>
        <w:bottom w:val="none" w:sz="0" w:space="0" w:color="auto"/>
        <w:right w:val="none" w:sz="0" w:space="0" w:color="auto"/>
      </w:divBdr>
    </w:div>
    <w:div w:id="1838959203">
      <w:bodyDiv w:val="1"/>
      <w:marLeft w:val="0"/>
      <w:marRight w:val="0"/>
      <w:marTop w:val="0"/>
      <w:marBottom w:val="0"/>
      <w:divBdr>
        <w:top w:val="none" w:sz="0" w:space="0" w:color="auto"/>
        <w:left w:val="none" w:sz="0" w:space="0" w:color="auto"/>
        <w:bottom w:val="none" w:sz="0" w:space="0" w:color="auto"/>
        <w:right w:val="none" w:sz="0" w:space="0" w:color="auto"/>
      </w:divBdr>
    </w:div>
    <w:div w:id="1866551551">
      <w:bodyDiv w:val="1"/>
      <w:marLeft w:val="0"/>
      <w:marRight w:val="0"/>
      <w:marTop w:val="0"/>
      <w:marBottom w:val="0"/>
      <w:divBdr>
        <w:top w:val="none" w:sz="0" w:space="0" w:color="auto"/>
        <w:left w:val="none" w:sz="0" w:space="0" w:color="auto"/>
        <w:bottom w:val="none" w:sz="0" w:space="0" w:color="auto"/>
        <w:right w:val="none" w:sz="0" w:space="0" w:color="auto"/>
      </w:divBdr>
    </w:div>
    <w:div w:id="1898472103">
      <w:bodyDiv w:val="1"/>
      <w:marLeft w:val="0"/>
      <w:marRight w:val="0"/>
      <w:marTop w:val="0"/>
      <w:marBottom w:val="0"/>
      <w:divBdr>
        <w:top w:val="none" w:sz="0" w:space="0" w:color="auto"/>
        <w:left w:val="none" w:sz="0" w:space="0" w:color="auto"/>
        <w:bottom w:val="none" w:sz="0" w:space="0" w:color="auto"/>
        <w:right w:val="none" w:sz="0" w:space="0" w:color="auto"/>
      </w:divBdr>
    </w:div>
    <w:div w:id="1908807136">
      <w:bodyDiv w:val="1"/>
      <w:marLeft w:val="0"/>
      <w:marRight w:val="0"/>
      <w:marTop w:val="0"/>
      <w:marBottom w:val="0"/>
      <w:divBdr>
        <w:top w:val="none" w:sz="0" w:space="0" w:color="auto"/>
        <w:left w:val="none" w:sz="0" w:space="0" w:color="auto"/>
        <w:bottom w:val="none" w:sz="0" w:space="0" w:color="auto"/>
        <w:right w:val="none" w:sz="0" w:space="0" w:color="auto"/>
      </w:divBdr>
    </w:div>
    <w:div w:id="1978366475">
      <w:bodyDiv w:val="1"/>
      <w:marLeft w:val="0"/>
      <w:marRight w:val="0"/>
      <w:marTop w:val="0"/>
      <w:marBottom w:val="0"/>
      <w:divBdr>
        <w:top w:val="none" w:sz="0" w:space="0" w:color="auto"/>
        <w:left w:val="none" w:sz="0" w:space="0" w:color="auto"/>
        <w:bottom w:val="none" w:sz="0" w:space="0" w:color="auto"/>
        <w:right w:val="none" w:sz="0" w:space="0" w:color="auto"/>
      </w:divBdr>
    </w:div>
    <w:div w:id="1987467421">
      <w:bodyDiv w:val="1"/>
      <w:marLeft w:val="0"/>
      <w:marRight w:val="0"/>
      <w:marTop w:val="0"/>
      <w:marBottom w:val="0"/>
      <w:divBdr>
        <w:top w:val="none" w:sz="0" w:space="0" w:color="auto"/>
        <w:left w:val="none" w:sz="0" w:space="0" w:color="auto"/>
        <w:bottom w:val="none" w:sz="0" w:space="0" w:color="auto"/>
        <w:right w:val="none" w:sz="0" w:space="0" w:color="auto"/>
      </w:divBdr>
    </w:div>
    <w:div w:id="2039350400">
      <w:bodyDiv w:val="1"/>
      <w:marLeft w:val="0"/>
      <w:marRight w:val="0"/>
      <w:marTop w:val="0"/>
      <w:marBottom w:val="0"/>
      <w:divBdr>
        <w:top w:val="none" w:sz="0" w:space="0" w:color="auto"/>
        <w:left w:val="none" w:sz="0" w:space="0" w:color="auto"/>
        <w:bottom w:val="none" w:sz="0" w:space="0" w:color="auto"/>
        <w:right w:val="none" w:sz="0" w:space="0" w:color="auto"/>
      </w:divBdr>
    </w:div>
    <w:div w:id="2047633859">
      <w:bodyDiv w:val="1"/>
      <w:marLeft w:val="0"/>
      <w:marRight w:val="0"/>
      <w:marTop w:val="0"/>
      <w:marBottom w:val="0"/>
      <w:divBdr>
        <w:top w:val="none" w:sz="0" w:space="0" w:color="auto"/>
        <w:left w:val="none" w:sz="0" w:space="0" w:color="auto"/>
        <w:bottom w:val="none" w:sz="0" w:space="0" w:color="auto"/>
        <w:right w:val="none" w:sz="0" w:space="0" w:color="auto"/>
      </w:divBdr>
    </w:div>
    <w:div w:id="2052724751">
      <w:bodyDiv w:val="1"/>
      <w:marLeft w:val="0"/>
      <w:marRight w:val="0"/>
      <w:marTop w:val="0"/>
      <w:marBottom w:val="0"/>
      <w:divBdr>
        <w:top w:val="none" w:sz="0" w:space="0" w:color="auto"/>
        <w:left w:val="none" w:sz="0" w:space="0" w:color="auto"/>
        <w:bottom w:val="none" w:sz="0" w:space="0" w:color="auto"/>
        <w:right w:val="none" w:sz="0" w:space="0" w:color="auto"/>
      </w:divBdr>
    </w:div>
    <w:div w:id="2062824729">
      <w:bodyDiv w:val="1"/>
      <w:marLeft w:val="0"/>
      <w:marRight w:val="0"/>
      <w:marTop w:val="0"/>
      <w:marBottom w:val="0"/>
      <w:divBdr>
        <w:top w:val="none" w:sz="0" w:space="0" w:color="auto"/>
        <w:left w:val="none" w:sz="0" w:space="0" w:color="auto"/>
        <w:bottom w:val="none" w:sz="0" w:space="0" w:color="auto"/>
        <w:right w:val="none" w:sz="0" w:space="0" w:color="auto"/>
      </w:divBdr>
    </w:div>
    <w:div w:id="2071532303">
      <w:bodyDiv w:val="1"/>
      <w:marLeft w:val="0"/>
      <w:marRight w:val="0"/>
      <w:marTop w:val="0"/>
      <w:marBottom w:val="0"/>
      <w:divBdr>
        <w:top w:val="none" w:sz="0" w:space="0" w:color="auto"/>
        <w:left w:val="none" w:sz="0" w:space="0" w:color="auto"/>
        <w:bottom w:val="none" w:sz="0" w:space="0" w:color="auto"/>
        <w:right w:val="none" w:sz="0" w:space="0" w:color="auto"/>
      </w:divBdr>
    </w:div>
    <w:div w:id="2087992927">
      <w:bodyDiv w:val="1"/>
      <w:marLeft w:val="0"/>
      <w:marRight w:val="0"/>
      <w:marTop w:val="0"/>
      <w:marBottom w:val="0"/>
      <w:divBdr>
        <w:top w:val="none" w:sz="0" w:space="0" w:color="auto"/>
        <w:left w:val="none" w:sz="0" w:space="0" w:color="auto"/>
        <w:bottom w:val="none" w:sz="0" w:space="0" w:color="auto"/>
        <w:right w:val="none" w:sz="0" w:space="0" w:color="auto"/>
      </w:divBdr>
    </w:div>
    <w:div w:id="2088067646">
      <w:bodyDiv w:val="1"/>
      <w:marLeft w:val="0"/>
      <w:marRight w:val="0"/>
      <w:marTop w:val="0"/>
      <w:marBottom w:val="0"/>
      <w:divBdr>
        <w:top w:val="none" w:sz="0" w:space="0" w:color="auto"/>
        <w:left w:val="none" w:sz="0" w:space="0" w:color="auto"/>
        <w:bottom w:val="none" w:sz="0" w:space="0" w:color="auto"/>
        <w:right w:val="none" w:sz="0" w:space="0" w:color="auto"/>
      </w:divBdr>
    </w:div>
    <w:div w:id="2131897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nhtran@g.skku.edu" TargetMode="External"/><Relationship Id="rId13" Type="http://schemas.openxmlformats.org/officeDocument/2006/relationships/hyperlink" Target="mailto:ttaivan@g.skku.edu" TargetMode="External"/><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image" Target="media/image6.png"/><Relationship Id="rId7" Type="http://schemas.openxmlformats.org/officeDocument/2006/relationships/endnotes" Target="endnotes.xml"/><Relationship Id="rId12" Type="http://schemas.openxmlformats.org/officeDocument/2006/relationships/hyperlink" Target="mailto:amj010403@g.skku.edu" TargetMode="External"/><Relationship Id="rId17" Type="http://schemas.openxmlformats.org/officeDocument/2006/relationships/image" Target="media/image2.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riunzaya95@g.skku.ed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lplee@bwh.harvard.edu" TargetMode="External"/><Relationship Id="rId23" Type="http://schemas.openxmlformats.org/officeDocument/2006/relationships/header" Target="header1.xml"/><Relationship Id="rId10" Type="http://schemas.openxmlformats.org/officeDocument/2006/relationships/hyperlink" Target="mailto:qlscodus@g.skku.edu" TargetMode="External"/><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yperlink" Target="mailto:dkesjung@naver.com" TargetMode="External"/><Relationship Id="rId14" Type="http://schemas.openxmlformats.org/officeDocument/2006/relationships/hyperlink" Target="mailto:h.cho@g.skku.edu" TargetMode="External"/><Relationship Id="rId22"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034077-E310-4D4E-A51A-758FD03335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10</Pages>
  <Words>2187</Words>
  <Characters>12468</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Trần Thị Minh</dc:creator>
  <cp:keywords/>
  <dc:description/>
  <cp:lastModifiedBy>Trần Thị Minh</cp:lastModifiedBy>
  <cp:revision>4</cp:revision>
  <dcterms:created xsi:type="dcterms:W3CDTF">2025-02-28T06:27:00Z</dcterms:created>
  <dcterms:modified xsi:type="dcterms:W3CDTF">2025-02-28T07:12:00Z</dcterms:modified>
</cp:coreProperties>
</file>