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A8BC51" w14:textId="5C12F8C6" w:rsidR="00072562" w:rsidRDefault="001C4062" w:rsidP="00072562">
      <w:pPr>
        <w:spacing w:line="480" w:lineRule="auto"/>
        <w:rPr>
          <w:b/>
          <w:bCs/>
          <w:lang w:val="en-US"/>
        </w:rPr>
      </w:pPr>
      <w:r>
        <w:rPr>
          <w:b/>
          <w:bCs/>
          <w:lang w:val="en-US"/>
        </w:rPr>
        <w:t>H</w:t>
      </w:r>
      <w:r w:rsidR="00072562">
        <w:rPr>
          <w:b/>
          <w:bCs/>
          <w:lang w:val="en-US"/>
        </w:rPr>
        <w:t>ypothesized mechanism of GRHPR-loop</w:t>
      </w:r>
      <w:r>
        <w:rPr>
          <w:b/>
          <w:bCs/>
          <w:lang w:val="en-US"/>
        </w:rPr>
        <w:t xml:space="preserve">, location of </w:t>
      </w:r>
      <w:proofErr w:type="spellStart"/>
      <w:r>
        <w:rPr>
          <w:b/>
          <w:bCs/>
          <w:lang w:val="en-US"/>
        </w:rPr>
        <w:t>GLYCTKm</w:t>
      </w:r>
      <w:proofErr w:type="spellEnd"/>
      <w:r>
        <w:rPr>
          <w:b/>
          <w:bCs/>
          <w:lang w:val="en-US"/>
        </w:rPr>
        <w:t xml:space="preserve">, and </w:t>
      </w:r>
      <w:r w:rsidR="009D6E6C">
        <w:rPr>
          <w:b/>
          <w:bCs/>
          <w:lang w:val="en-US"/>
        </w:rPr>
        <w:t>unknown</w:t>
      </w:r>
      <w:r>
        <w:rPr>
          <w:b/>
          <w:bCs/>
          <w:lang w:val="en-US"/>
        </w:rPr>
        <w:t xml:space="preserve"> IMM transporter</w:t>
      </w:r>
    </w:p>
    <w:p w14:paraId="247A71D8" w14:textId="77777777" w:rsidR="001C4062" w:rsidRDefault="00072562" w:rsidP="001C4062">
      <w:pPr>
        <w:spacing w:line="480" w:lineRule="auto"/>
        <w:rPr>
          <w:rFonts w:ascii="Calibri" w:eastAsia="Calibri" w:hAnsi="Calibri" w:cs="Calibri"/>
          <w:lang w:val="en-US" w:eastAsia="fi-FI"/>
        </w:rPr>
      </w:pPr>
      <w:r w:rsidRPr="0067298B">
        <w:rPr>
          <w:rFonts w:ascii="Calibri" w:eastAsia="Calibri" w:hAnsi="Calibri" w:cs="Calibri"/>
          <w:lang w:val="en-US" w:eastAsia="fi-FI"/>
        </w:rPr>
        <w:t xml:space="preserve">The mRNA expression signal of GRHPR enzyme was low in WBCs. </w:t>
      </w:r>
      <w:r w:rsidR="001C4062">
        <w:rPr>
          <w:rFonts w:ascii="Calibri" w:eastAsia="Calibri" w:hAnsi="Calibri" w:cs="Calibri"/>
          <w:lang w:val="en-US" w:eastAsia="fi-FI"/>
        </w:rPr>
        <w:t xml:space="preserve">Nevertheless, by analysing the changes and their associations, we managed to gain a surprisingly high amount of unambiguous but indirect information from WBC expressions. </w:t>
      </w:r>
    </w:p>
    <w:p w14:paraId="2B09DCB1" w14:textId="58C3A086" w:rsidR="001C4062" w:rsidRDefault="001C4062" w:rsidP="001C4062">
      <w:pPr>
        <w:spacing w:line="480" w:lineRule="auto"/>
        <w:rPr>
          <w:lang w:val="en-US"/>
        </w:rPr>
      </w:pPr>
      <w:r w:rsidRPr="0067298B">
        <w:rPr>
          <w:rFonts w:ascii="Calibri" w:eastAsia="Calibri" w:hAnsi="Calibri" w:cs="Calibri"/>
          <w:lang w:val="en-US" w:eastAsia="fi-FI"/>
        </w:rPr>
        <w:t xml:space="preserve">Interestingly, </w:t>
      </w:r>
      <w:r>
        <w:rPr>
          <w:rFonts w:ascii="Calibri" w:eastAsia="Calibri" w:hAnsi="Calibri" w:cs="Calibri"/>
          <w:lang w:val="en-US" w:eastAsia="fi-FI"/>
        </w:rPr>
        <w:t xml:space="preserve">the </w:t>
      </w:r>
      <w:r w:rsidRPr="0067298B">
        <w:rPr>
          <w:rFonts w:ascii="Calibri" w:eastAsia="Calibri" w:hAnsi="Calibri" w:cs="Calibri"/>
          <w:lang w:val="en-US" w:eastAsia="fi-FI"/>
        </w:rPr>
        <w:t>GRHPR  enzyme can use both NADPH and NADH as cofactor</w:t>
      </w:r>
      <w:r>
        <w:rPr>
          <w:rFonts w:ascii="Calibri" w:eastAsia="Calibri" w:hAnsi="Calibri" w:cs="Calibri"/>
          <w:lang w:val="en-US" w:eastAsia="fi-FI"/>
        </w:rPr>
        <w:t>s</w:t>
      </w:r>
      <w:r w:rsidRPr="0067298B">
        <w:rPr>
          <w:rFonts w:ascii="Calibri" w:eastAsia="Calibri" w:hAnsi="Calibri" w:cs="Calibri"/>
          <w:lang w:val="en-US" w:eastAsia="fi-FI"/>
        </w:rPr>
        <w:t xml:space="preserve"> in oxid</w:t>
      </w:r>
      <w:r>
        <w:rPr>
          <w:rFonts w:ascii="Calibri" w:eastAsia="Calibri" w:hAnsi="Calibri" w:cs="Calibri"/>
          <w:lang w:val="en-US" w:eastAsia="fi-FI"/>
        </w:rPr>
        <w:t xml:space="preserve">ation-reduction </w:t>
      </w:r>
      <w:r w:rsidRPr="0067298B">
        <w:rPr>
          <w:rFonts w:ascii="Calibri" w:eastAsia="Calibri" w:hAnsi="Calibri" w:cs="Calibri"/>
          <w:lang w:val="en-US" w:eastAsia="fi-FI"/>
        </w:rPr>
        <w:t>reaction</w:t>
      </w:r>
      <w:r>
        <w:rPr>
          <w:rFonts w:ascii="Calibri" w:eastAsia="Calibri" w:hAnsi="Calibri" w:cs="Calibri"/>
          <w:lang w:val="en-US" w:eastAsia="fi-FI"/>
        </w:rPr>
        <w:t>s</w:t>
      </w:r>
      <w:r w:rsidRPr="0067298B">
        <w:rPr>
          <w:rFonts w:ascii="Calibri" w:eastAsia="Calibri" w:hAnsi="Calibri" w:cs="Calibri"/>
          <w:lang w:val="en-US" w:eastAsia="fi-FI"/>
        </w:rPr>
        <w:t xml:space="preserve"> between DGA and HPA (Kegg database). There is a small bias to </w:t>
      </w:r>
      <w:r w:rsidRPr="00073A4A">
        <w:rPr>
          <w:rFonts w:ascii="Calibri" w:eastAsia="Calibri" w:hAnsi="Calibri" w:cs="Calibri"/>
          <w:lang w:val="en-US" w:eastAsia="fi-FI"/>
        </w:rPr>
        <w:t>favo</w:t>
      </w:r>
      <w:r>
        <w:rPr>
          <w:rFonts w:ascii="Calibri" w:eastAsia="Calibri" w:hAnsi="Calibri" w:cs="Calibri"/>
          <w:lang w:val="en-US" w:eastAsia="fi-FI"/>
        </w:rPr>
        <w:t>r</w:t>
      </w:r>
      <w:r w:rsidRPr="0067298B">
        <w:rPr>
          <w:rFonts w:ascii="Calibri" w:eastAsia="Calibri" w:hAnsi="Calibri" w:cs="Calibri"/>
          <w:lang w:val="en-US" w:eastAsia="fi-FI"/>
        </w:rPr>
        <w:t xml:space="preserve"> NADPH as a </w:t>
      </w:r>
      <w:r w:rsidR="00553652" w:rsidRPr="0067298B">
        <w:rPr>
          <w:rFonts w:ascii="Calibri" w:eastAsia="Calibri" w:hAnsi="Calibri" w:cs="Calibri"/>
          <w:lang w:val="en-US" w:eastAsia="fi-FI"/>
        </w:rPr>
        <w:t>co-factor</w:t>
      </w:r>
      <w:r w:rsidRPr="0067298B">
        <w:rPr>
          <w:rFonts w:ascii="Calibri" w:eastAsia="Calibri" w:hAnsi="Calibri" w:cs="Calibri"/>
          <w:lang w:val="en-US" w:eastAsia="fi-FI"/>
        </w:rPr>
        <w:t xml:space="preserve"> in reactions</w:t>
      </w:r>
      <w:r>
        <w:rPr>
          <w:rFonts w:ascii="Calibri" w:eastAsia="Calibri" w:hAnsi="Calibri" w:cs="Calibri"/>
          <w:lang w:val="en-US" w:eastAsia="fi-FI"/>
        </w:rPr>
        <w:t>,</w:t>
      </w:r>
      <w:r w:rsidRPr="0067298B">
        <w:rPr>
          <w:rFonts w:ascii="Calibri" w:eastAsia="Calibri" w:hAnsi="Calibri" w:cs="Calibri"/>
          <w:lang w:val="en-US" w:eastAsia="fi-FI"/>
        </w:rPr>
        <w:t xml:space="preserve"> but NADH is </w:t>
      </w:r>
      <w:r>
        <w:rPr>
          <w:rFonts w:ascii="Calibri" w:eastAsia="Calibri" w:hAnsi="Calibri" w:cs="Calibri"/>
          <w:lang w:val="en-US" w:eastAsia="fi-FI"/>
        </w:rPr>
        <w:t>also</w:t>
      </w:r>
      <w:r w:rsidRPr="0067298B">
        <w:rPr>
          <w:rFonts w:ascii="Calibri" w:eastAsia="Calibri" w:hAnsi="Calibri" w:cs="Calibri"/>
          <w:lang w:val="en-US" w:eastAsia="fi-FI"/>
        </w:rPr>
        <w:t xml:space="preserve"> </w:t>
      </w:r>
      <w:r>
        <w:rPr>
          <w:rFonts w:ascii="Calibri" w:eastAsia="Calibri" w:hAnsi="Calibri" w:cs="Calibri"/>
          <w:lang w:val="en-US" w:eastAsia="fi-FI"/>
        </w:rPr>
        <w:t xml:space="preserve">a </w:t>
      </w:r>
      <w:r w:rsidRPr="0067298B">
        <w:rPr>
          <w:rFonts w:ascii="Calibri" w:eastAsia="Calibri" w:hAnsi="Calibri" w:cs="Calibri"/>
          <w:lang w:val="en-US" w:eastAsia="fi-FI"/>
        </w:rPr>
        <w:t>possible co-factor</w:t>
      </w:r>
      <w:r w:rsidR="00F431D6">
        <w:rPr>
          <w:rFonts w:ascii="Calibri" w:eastAsia="Calibri" w:hAnsi="Calibri" w:cs="Calibri"/>
          <w:lang w:val="en-US" w:eastAsia="fi-FI"/>
        </w:rPr>
        <w:t xml:space="preserve"> [2]</w:t>
      </w:r>
      <w:r w:rsidRPr="0067298B">
        <w:rPr>
          <w:rFonts w:ascii="Calibri" w:eastAsia="Calibri" w:hAnsi="Calibri" w:cs="Calibri"/>
          <w:lang w:val="en-US" w:eastAsia="fi-FI"/>
        </w:rPr>
        <w:t>. In peripheral tissues</w:t>
      </w:r>
      <w:r>
        <w:rPr>
          <w:rFonts w:ascii="Calibri" w:eastAsia="Calibri" w:hAnsi="Calibri" w:cs="Calibri"/>
          <w:lang w:val="en-US" w:eastAsia="fi-FI"/>
        </w:rPr>
        <w:t>,</w:t>
      </w:r>
      <w:r w:rsidRPr="0067298B">
        <w:rPr>
          <w:rFonts w:ascii="Calibri" w:eastAsia="Calibri" w:hAnsi="Calibri" w:cs="Calibri"/>
          <w:lang w:val="en-US" w:eastAsia="fi-FI"/>
        </w:rPr>
        <w:t xml:space="preserve"> HPA cannot typically be metabolized </w:t>
      </w:r>
      <w:r>
        <w:rPr>
          <w:rFonts w:ascii="Calibri" w:eastAsia="Calibri" w:hAnsi="Calibri" w:cs="Calibri"/>
          <w:lang w:val="en-US" w:eastAsia="fi-FI"/>
        </w:rPr>
        <w:t>in</w:t>
      </w:r>
      <w:r w:rsidRPr="0067298B">
        <w:rPr>
          <w:rFonts w:ascii="Calibri" w:eastAsia="Calibri" w:hAnsi="Calibri" w:cs="Calibri"/>
          <w:lang w:val="en-US" w:eastAsia="fi-FI"/>
        </w:rPr>
        <w:t xml:space="preserve"> any direction </w:t>
      </w:r>
      <w:r w:rsidRPr="008E3396">
        <w:rPr>
          <w:rFonts w:ascii="Calibri" w:eastAsia="Calibri" w:hAnsi="Calibri" w:cs="Calibri"/>
          <w:lang w:val="en-US" w:eastAsia="fi-FI"/>
        </w:rPr>
        <w:t xml:space="preserve">other </w:t>
      </w:r>
      <w:r w:rsidRPr="0067298B">
        <w:rPr>
          <w:rFonts w:ascii="Calibri" w:eastAsia="Calibri" w:hAnsi="Calibri" w:cs="Calibri"/>
          <w:lang w:val="en-US" w:eastAsia="fi-FI"/>
        </w:rPr>
        <w:t xml:space="preserve">than back to DGA (Fig. </w:t>
      </w:r>
      <w:r w:rsidR="00F804B1">
        <w:rPr>
          <w:rFonts w:ascii="Calibri" w:eastAsia="Calibri" w:hAnsi="Calibri" w:cs="Calibri"/>
          <w:lang w:val="en-US" w:eastAsia="fi-FI"/>
        </w:rPr>
        <w:t>AF</w:t>
      </w:r>
      <w:r w:rsidR="00F431D6">
        <w:rPr>
          <w:rFonts w:ascii="Calibri" w:eastAsia="Calibri" w:hAnsi="Calibri" w:cs="Calibri"/>
          <w:lang w:val="en-US" w:eastAsia="fi-FI"/>
        </w:rPr>
        <w:t>31</w:t>
      </w:r>
      <w:r w:rsidRPr="0067298B">
        <w:rPr>
          <w:rFonts w:ascii="Calibri" w:eastAsia="Calibri" w:hAnsi="Calibri" w:cs="Calibri"/>
          <w:lang w:val="en-US" w:eastAsia="fi-FI"/>
        </w:rPr>
        <w:t>). Seemingly futile cycle from DGA to HPA and back to DGA may have interesting beneficial role in assisting cytosolic NADPH/NADP</w:t>
      </w:r>
      <w:r w:rsidRPr="0067298B">
        <w:rPr>
          <w:rFonts w:ascii="Calibri" w:eastAsia="Calibri" w:hAnsi="Calibri" w:cs="Calibri"/>
          <w:vertAlign w:val="superscript"/>
          <w:lang w:val="en-US" w:eastAsia="fi-FI"/>
        </w:rPr>
        <w:t>+</w:t>
      </w:r>
      <w:r w:rsidRPr="0067298B">
        <w:rPr>
          <w:rFonts w:ascii="Calibri" w:eastAsia="Calibri" w:hAnsi="Calibri" w:cs="Calibri"/>
          <w:lang w:val="en-US" w:eastAsia="fi-FI"/>
        </w:rPr>
        <w:t>- and NADH/NAD</w:t>
      </w:r>
      <w:r w:rsidRPr="0067298B">
        <w:rPr>
          <w:rFonts w:ascii="Calibri" w:eastAsia="Calibri" w:hAnsi="Calibri" w:cs="Calibri"/>
          <w:vertAlign w:val="superscript"/>
          <w:lang w:val="en-US" w:eastAsia="fi-FI"/>
        </w:rPr>
        <w:t>+</w:t>
      </w:r>
      <w:r w:rsidRPr="0067298B">
        <w:rPr>
          <w:rFonts w:ascii="Calibri" w:eastAsia="Calibri" w:hAnsi="Calibri" w:cs="Calibri"/>
          <w:lang w:val="en-US" w:eastAsia="fi-FI"/>
        </w:rPr>
        <w:t xml:space="preserve">-redox imbalances when needed. </w:t>
      </w:r>
      <w:r>
        <w:rPr>
          <w:rFonts w:ascii="Calibri" w:eastAsia="Calibri" w:hAnsi="Calibri" w:cs="Calibri"/>
          <w:lang w:val="en-US" w:eastAsia="fi-FI"/>
        </w:rPr>
        <w:t>I</w:t>
      </w:r>
      <w:r w:rsidRPr="0067298B">
        <w:rPr>
          <w:rFonts w:ascii="Calibri" w:eastAsia="Calibri" w:hAnsi="Calibri" w:cs="Calibri"/>
          <w:lang w:val="en-US" w:eastAsia="fi-FI"/>
        </w:rPr>
        <w:t>n older pe</w:t>
      </w:r>
      <w:r>
        <w:rPr>
          <w:rFonts w:ascii="Calibri" w:eastAsia="Calibri" w:hAnsi="Calibri" w:cs="Calibri"/>
          <w:lang w:val="en-US" w:eastAsia="fi-FI"/>
        </w:rPr>
        <w:t>ople,</w:t>
      </w:r>
      <w:r w:rsidRPr="0067298B">
        <w:rPr>
          <w:rFonts w:ascii="Calibri" w:eastAsia="Calibri" w:hAnsi="Calibri" w:cs="Calibri"/>
          <w:lang w:val="en-US" w:eastAsia="fi-FI"/>
        </w:rPr>
        <w:t xml:space="preserve"> the scarcity </w:t>
      </w:r>
      <w:r>
        <w:rPr>
          <w:rFonts w:ascii="Calibri" w:eastAsia="Calibri" w:hAnsi="Calibri" w:cs="Calibri"/>
          <w:lang w:val="en-US" w:eastAsia="fi-FI"/>
        </w:rPr>
        <w:t>of</w:t>
      </w:r>
      <w:r w:rsidRPr="0067298B">
        <w:rPr>
          <w:rFonts w:ascii="Calibri" w:eastAsia="Calibri" w:hAnsi="Calibri" w:cs="Calibri"/>
          <w:lang w:val="en-US" w:eastAsia="fi-FI"/>
        </w:rPr>
        <w:t xml:space="preserve"> cytosolic NAD+ often coincides with scarcity </w:t>
      </w:r>
      <w:r>
        <w:rPr>
          <w:rFonts w:ascii="Calibri" w:eastAsia="Calibri" w:hAnsi="Calibri" w:cs="Calibri"/>
          <w:lang w:val="en-US" w:eastAsia="fi-FI"/>
        </w:rPr>
        <w:t>of</w:t>
      </w:r>
      <w:r w:rsidRPr="0067298B">
        <w:rPr>
          <w:rFonts w:ascii="Calibri" w:eastAsia="Calibri" w:hAnsi="Calibri" w:cs="Calibri"/>
          <w:lang w:val="en-US" w:eastAsia="fi-FI"/>
        </w:rPr>
        <w:t xml:space="preserve"> cytosolic NADPH</w:t>
      </w:r>
      <w:r w:rsidR="00F431D6">
        <w:rPr>
          <w:rFonts w:ascii="Calibri" w:eastAsia="Calibri" w:hAnsi="Calibri" w:cs="Calibri"/>
          <w:lang w:val="en-US" w:eastAsia="fi-FI"/>
        </w:rPr>
        <w:t xml:space="preserve"> [3</w:t>
      </w:r>
      <w:r w:rsidR="00553652">
        <w:rPr>
          <w:rFonts w:ascii="Calibri" w:eastAsia="Calibri" w:hAnsi="Calibri" w:cs="Calibri"/>
          <w:lang w:val="en-US" w:eastAsia="fi-FI"/>
        </w:rPr>
        <w:t>3</w:t>
      </w:r>
      <w:r w:rsidR="00F431D6">
        <w:rPr>
          <w:rFonts w:ascii="Calibri" w:eastAsia="Calibri" w:hAnsi="Calibri" w:cs="Calibri"/>
          <w:lang w:val="en-US" w:eastAsia="fi-FI"/>
        </w:rPr>
        <w:t>]</w:t>
      </w:r>
      <w:r>
        <w:rPr>
          <w:rFonts w:ascii="Calibri" w:eastAsia="Calibri" w:hAnsi="Calibri" w:cs="Calibri"/>
          <w:lang w:val="en-US" w:eastAsia="fi-FI"/>
        </w:rPr>
        <w:t xml:space="preserve">. Thus, </w:t>
      </w:r>
      <w:r w:rsidRPr="0067298B">
        <w:rPr>
          <w:rFonts w:ascii="Calibri" w:eastAsia="Calibri" w:hAnsi="Calibri" w:cs="Calibri"/>
          <w:lang w:val="en-US" w:eastAsia="fi-FI"/>
        </w:rPr>
        <w:t xml:space="preserve">the </w:t>
      </w:r>
      <w:r>
        <w:rPr>
          <w:rFonts w:ascii="Calibri" w:eastAsia="Calibri" w:hAnsi="Calibri" w:cs="Calibri"/>
          <w:lang w:val="en-US" w:eastAsia="fi-FI"/>
        </w:rPr>
        <w:t xml:space="preserve">hypothesized </w:t>
      </w:r>
      <w:r w:rsidRPr="0067298B">
        <w:rPr>
          <w:rFonts w:ascii="Calibri" w:eastAsia="Calibri" w:hAnsi="Calibri" w:cs="Calibri"/>
          <w:lang w:val="en-US" w:eastAsia="fi-FI"/>
        </w:rPr>
        <w:t xml:space="preserve">DGA-HPA-loop </w:t>
      </w:r>
      <w:r>
        <w:rPr>
          <w:rFonts w:ascii="Calibri" w:eastAsia="Calibri" w:hAnsi="Calibri" w:cs="Calibri"/>
          <w:lang w:val="en-US" w:eastAsia="fi-FI"/>
        </w:rPr>
        <w:t xml:space="preserve">could be a </w:t>
      </w:r>
      <w:r w:rsidRPr="0067298B">
        <w:rPr>
          <w:rFonts w:ascii="Calibri" w:eastAsia="Calibri" w:hAnsi="Calibri" w:cs="Calibri"/>
          <w:lang w:val="en-US" w:eastAsia="fi-FI"/>
        </w:rPr>
        <w:t xml:space="preserve">suitable remedy </w:t>
      </w:r>
      <w:r>
        <w:rPr>
          <w:rFonts w:ascii="Calibri" w:eastAsia="Calibri" w:hAnsi="Calibri" w:cs="Calibri"/>
          <w:lang w:val="en-US" w:eastAsia="fi-FI"/>
        </w:rPr>
        <w:t xml:space="preserve">for redox imbalances </w:t>
      </w:r>
      <w:r w:rsidRPr="0067298B">
        <w:rPr>
          <w:rFonts w:ascii="Calibri" w:eastAsia="Calibri" w:hAnsi="Calibri" w:cs="Calibri"/>
          <w:lang w:val="en-US" w:eastAsia="fi-FI"/>
        </w:rPr>
        <w:t xml:space="preserve">(Fig. </w:t>
      </w:r>
      <w:r w:rsidR="00376A3B">
        <w:rPr>
          <w:rFonts w:ascii="Calibri" w:eastAsia="Calibri" w:hAnsi="Calibri" w:cs="Calibri"/>
          <w:lang w:val="en-US" w:eastAsia="fi-FI"/>
        </w:rPr>
        <w:t>AF</w:t>
      </w:r>
      <w:r w:rsidR="00F431D6">
        <w:rPr>
          <w:rFonts w:ascii="Calibri" w:eastAsia="Calibri" w:hAnsi="Calibri" w:cs="Calibri"/>
          <w:lang w:val="en-US" w:eastAsia="fi-FI"/>
        </w:rPr>
        <w:t>31</w:t>
      </w:r>
      <w:r w:rsidRPr="0067298B">
        <w:rPr>
          <w:rFonts w:ascii="Calibri" w:eastAsia="Calibri" w:hAnsi="Calibri" w:cs="Calibri"/>
          <w:lang w:val="en-US" w:eastAsia="fi-FI"/>
        </w:rPr>
        <w:t xml:space="preserve">, left hand reaction). </w:t>
      </w:r>
      <w:r>
        <w:rPr>
          <w:lang w:val="en-US"/>
        </w:rPr>
        <w:t>The r</w:t>
      </w:r>
      <w:r w:rsidRPr="00A838E1">
        <w:rPr>
          <w:lang w:val="en-US"/>
        </w:rPr>
        <w:t xml:space="preserve">epeated mode of action between </w:t>
      </w:r>
      <w:r>
        <w:rPr>
          <w:lang w:val="en-US"/>
        </w:rPr>
        <w:t xml:space="preserve">the </w:t>
      </w:r>
      <w:r w:rsidRPr="00A838E1">
        <w:rPr>
          <w:lang w:val="en-US"/>
        </w:rPr>
        <w:t>DGA and HPA was first proposed by Hirvonen et al</w:t>
      </w:r>
      <w:r w:rsidR="00F431D6">
        <w:rPr>
          <w:lang w:val="en-US"/>
        </w:rPr>
        <w:t>. [2</w:t>
      </w:r>
      <w:r w:rsidR="00553652">
        <w:rPr>
          <w:lang w:val="en-US"/>
        </w:rPr>
        <w:t>8</w:t>
      </w:r>
      <w:r w:rsidR="00F431D6">
        <w:rPr>
          <w:lang w:val="en-US"/>
        </w:rPr>
        <w:t>]</w:t>
      </w:r>
      <w:r w:rsidRPr="00A838E1">
        <w:rPr>
          <w:lang w:val="en-US"/>
        </w:rPr>
        <w:t>.</w:t>
      </w:r>
      <w:r>
        <w:rPr>
          <w:lang w:val="en-US"/>
        </w:rPr>
        <w:t xml:space="preserve"> </w:t>
      </w:r>
    </w:p>
    <w:p w14:paraId="4178B7D6" w14:textId="5FEA7088" w:rsidR="00F431D6" w:rsidRDefault="00072562" w:rsidP="00072562">
      <w:pPr>
        <w:spacing w:line="480" w:lineRule="auto"/>
        <w:rPr>
          <w:rFonts w:ascii="Calibri" w:eastAsia="Calibri" w:hAnsi="Calibri" w:cs="Calibri"/>
          <w:lang w:val="en-US" w:eastAsia="fi-FI"/>
        </w:rPr>
      </w:pPr>
      <w:r>
        <w:rPr>
          <w:b/>
          <w:bCs/>
          <w:lang w:val="en-US"/>
        </w:rPr>
        <w:t xml:space="preserve">Figure </w:t>
      </w:r>
      <w:r w:rsidR="00376A3B">
        <w:rPr>
          <w:b/>
          <w:bCs/>
          <w:lang w:val="en-US"/>
        </w:rPr>
        <w:t>AF3</w:t>
      </w:r>
      <w:r w:rsidR="00F431D6">
        <w:rPr>
          <w:b/>
          <w:bCs/>
          <w:lang w:val="en-US"/>
        </w:rPr>
        <w:t>1</w:t>
      </w:r>
      <w:r>
        <w:rPr>
          <w:b/>
          <w:bCs/>
          <w:lang w:val="en-US"/>
        </w:rPr>
        <w:t>.</w:t>
      </w:r>
      <w:r>
        <w:rPr>
          <w:i/>
          <w:iCs/>
          <w:lang w:val="en-US"/>
        </w:rPr>
        <w:t xml:space="preserve"> </w:t>
      </w:r>
      <w:r w:rsidRPr="005315CC">
        <w:rPr>
          <w:b/>
          <w:bCs/>
          <w:i/>
          <w:iCs/>
          <w:lang w:val="en-US"/>
        </w:rPr>
        <w:t xml:space="preserve">DGA induced </w:t>
      </w:r>
      <w:r>
        <w:rPr>
          <w:b/>
          <w:bCs/>
          <w:i/>
          <w:iCs/>
          <w:lang w:val="en-US"/>
        </w:rPr>
        <w:t xml:space="preserve">cytosolic GRHPR-loop mechanism for antioxidant (NADPH) and glycolysis </w:t>
      </w:r>
      <w:r w:rsidR="00F1444D">
        <w:rPr>
          <w:b/>
          <w:bCs/>
          <w:i/>
          <w:iCs/>
          <w:lang w:val="en-US"/>
        </w:rPr>
        <w:t xml:space="preserve">and peroxisomal </w:t>
      </w:r>
      <w:r w:rsidR="000B3F29" w:rsidRPr="000B3F29">
        <w:rPr>
          <w:b/>
          <w:bCs/>
          <w:i/>
          <w:iCs/>
          <w:lang w:val="en-US"/>
        </w:rPr>
        <w:t>β-oxidation</w:t>
      </w:r>
      <w:r w:rsidR="000B3F29">
        <w:rPr>
          <w:b/>
          <w:bCs/>
          <w:i/>
          <w:iCs/>
          <w:lang w:val="en-US"/>
        </w:rPr>
        <w:t xml:space="preserve"> </w:t>
      </w:r>
      <w:bookmarkStart w:id="0" w:name="_Hlk179792832"/>
      <w:r w:rsidR="00D75440">
        <w:rPr>
          <w:b/>
          <w:bCs/>
          <w:i/>
          <w:iCs/>
          <w:lang w:val="en-US"/>
        </w:rPr>
        <w:t>[3</w:t>
      </w:r>
      <w:r w:rsidR="00553652">
        <w:rPr>
          <w:b/>
          <w:bCs/>
          <w:i/>
          <w:iCs/>
          <w:lang w:val="en-US"/>
        </w:rPr>
        <w:t>1</w:t>
      </w:r>
      <w:r w:rsidR="00D75440">
        <w:rPr>
          <w:b/>
          <w:bCs/>
          <w:i/>
          <w:iCs/>
          <w:lang w:val="en-US"/>
        </w:rPr>
        <w:t xml:space="preserve">] </w:t>
      </w:r>
      <w:bookmarkEnd w:id="0"/>
      <w:r>
        <w:rPr>
          <w:b/>
          <w:bCs/>
          <w:i/>
          <w:iCs/>
          <w:lang w:val="en-US"/>
        </w:rPr>
        <w:t>facilitating (</w:t>
      </w:r>
      <w:bookmarkStart w:id="1" w:name="_Hlk179535897"/>
      <w:r>
        <w:rPr>
          <w:b/>
          <w:bCs/>
          <w:i/>
          <w:iCs/>
          <w:lang w:val="en-US"/>
        </w:rPr>
        <w:t>NAD</w:t>
      </w:r>
      <w:r w:rsidRPr="00277692">
        <w:rPr>
          <w:b/>
          <w:bCs/>
          <w:i/>
          <w:iCs/>
          <w:vertAlign w:val="superscript"/>
          <w:lang w:val="en-US"/>
        </w:rPr>
        <w:t>+</w:t>
      </w:r>
      <w:bookmarkEnd w:id="1"/>
      <w:r>
        <w:rPr>
          <w:b/>
          <w:bCs/>
          <w:i/>
          <w:iCs/>
          <w:lang w:val="en-US"/>
        </w:rPr>
        <w:t>) repeatable mechanisms (left hand  reactions). In another compartment</w:t>
      </w:r>
      <w:r w:rsidR="00756A8B">
        <w:rPr>
          <w:b/>
          <w:bCs/>
          <w:i/>
          <w:iCs/>
          <w:lang w:val="en-US"/>
        </w:rPr>
        <w:t xml:space="preserve"> such as ER</w:t>
      </w:r>
      <w:r>
        <w:rPr>
          <w:b/>
          <w:bCs/>
          <w:i/>
          <w:iCs/>
          <w:lang w:val="en-US"/>
        </w:rPr>
        <w:t xml:space="preserve">, </w:t>
      </w:r>
      <w:r w:rsidR="00CF1E86">
        <w:rPr>
          <w:b/>
          <w:bCs/>
          <w:i/>
          <w:iCs/>
          <w:lang w:val="en-US"/>
        </w:rPr>
        <w:t xml:space="preserve">NADH needing </w:t>
      </w:r>
      <w:r w:rsidR="00553652">
        <w:rPr>
          <w:b/>
          <w:bCs/>
          <w:i/>
          <w:iCs/>
          <w:lang w:val="en-US"/>
        </w:rPr>
        <w:t>fatty acid desaturase</w:t>
      </w:r>
      <w:r w:rsidR="00CF1E86">
        <w:rPr>
          <w:b/>
          <w:bCs/>
          <w:i/>
          <w:iCs/>
          <w:lang w:val="en-US"/>
        </w:rPr>
        <w:t xml:space="preserve"> and elongation reactions </w:t>
      </w:r>
      <w:r w:rsidR="00553652">
        <w:rPr>
          <w:b/>
          <w:bCs/>
          <w:i/>
          <w:iCs/>
          <w:lang w:val="en-US"/>
        </w:rPr>
        <w:t xml:space="preserve">[20] may be </w:t>
      </w:r>
      <w:r>
        <w:rPr>
          <w:b/>
          <w:bCs/>
          <w:i/>
          <w:iCs/>
          <w:lang w:val="en-US"/>
        </w:rPr>
        <w:t xml:space="preserve"> facilitated by DGA oxidation </w:t>
      </w:r>
      <w:r w:rsidR="00CF1E86">
        <w:rPr>
          <w:b/>
          <w:bCs/>
          <w:i/>
          <w:iCs/>
          <w:lang w:val="en-US"/>
        </w:rPr>
        <w:t>into HPA</w:t>
      </w:r>
      <w:r w:rsidR="00D61ED0">
        <w:rPr>
          <w:b/>
          <w:bCs/>
          <w:i/>
          <w:iCs/>
          <w:lang w:val="en-US"/>
        </w:rPr>
        <w:t xml:space="preserve"> (</w:t>
      </w:r>
      <w:r>
        <w:rPr>
          <w:b/>
          <w:bCs/>
          <w:i/>
          <w:iCs/>
          <w:lang w:val="en-US"/>
        </w:rPr>
        <w:t>right hand reaction)</w:t>
      </w:r>
      <w:r w:rsidRPr="005315CC">
        <w:rPr>
          <w:b/>
          <w:bCs/>
          <w:i/>
          <w:iCs/>
          <w:lang w:val="en-US"/>
        </w:rPr>
        <w:t>.</w:t>
      </w:r>
      <w:r w:rsidR="008D7022">
        <w:rPr>
          <w:b/>
          <w:bCs/>
          <w:i/>
          <w:iCs/>
          <w:lang w:val="en-US"/>
        </w:rPr>
        <w:t xml:space="preserve"> </w:t>
      </w:r>
      <w:r>
        <w:rPr>
          <w:noProof/>
        </w:rPr>
        <w:drawing>
          <wp:inline distT="0" distB="0" distL="0" distR="0" wp14:anchorId="25E9F07B" wp14:editId="63F21376">
            <wp:extent cx="5303227" cy="1811990"/>
            <wp:effectExtent l="19050" t="19050" r="12065" b="17145"/>
            <wp:docPr id="1086393379" name="Kuva 7" descr="Kuva, joka sisältää kohteen teksti, viiva, kuvakaappaus, Fontti&#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831057" name="Kuva 7" descr="Kuva, joka sisältää kohteen teksti, viiva, kuvakaappaus, Fontti&#10;&#10;Kuvaus luotu automaattisesti"/>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33753" cy="1822420"/>
                    </a:xfrm>
                    <a:prstGeom prst="rect">
                      <a:avLst/>
                    </a:prstGeom>
                    <a:noFill/>
                    <a:ln w="3175">
                      <a:solidFill>
                        <a:sysClr val="windowText" lastClr="000000"/>
                      </a:solidFill>
                    </a:ln>
                  </pic:spPr>
                </pic:pic>
              </a:graphicData>
            </a:graphic>
          </wp:inline>
        </w:drawing>
      </w:r>
    </w:p>
    <w:p w14:paraId="6134DC6A" w14:textId="6B6673D5" w:rsidR="00F431D6" w:rsidRDefault="00F431D6" w:rsidP="00F431D6">
      <w:pPr>
        <w:spacing w:line="480" w:lineRule="auto"/>
        <w:rPr>
          <w:rFonts w:ascii="Calibri" w:eastAsia="Calibri" w:hAnsi="Calibri" w:cs="Calibri"/>
          <w:lang w:val="en-US" w:eastAsia="fi-FI"/>
        </w:rPr>
      </w:pPr>
      <w:r w:rsidRPr="0067298B">
        <w:rPr>
          <w:rFonts w:ascii="Calibri" w:eastAsia="Calibri" w:hAnsi="Calibri" w:cs="Calibri"/>
          <w:lang w:val="en-US" w:eastAsia="fi-FI"/>
        </w:rPr>
        <w:lastRenderedPageBreak/>
        <w:t xml:space="preserve">According to </w:t>
      </w:r>
      <w:r>
        <w:rPr>
          <w:rFonts w:ascii="Calibri" w:eastAsia="Calibri" w:hAnsi="Calibri" w:cs="Calibri"/>
          <w:lang w:val="en-US" w:eastAsia="fi-FI"/>
        </w:rPr>
        <w:t xml:space="preserve">the </w:t>
      </w:r>
      <w:r w:rsidRPr="0067298B">
        <w:rPr>
          <w:rFonts w:ascii="Calibri" w:eastAsia="Calibri" w:hAnsi="Calibri" w:cs="Calibri"/>
          <w:lang w:val="en-US" w:eastAsia="fi-FI"/>
        </w:rPr>
        <w:t>Human Protein Atlas</w:t>
      </w:r>
      <w:r>
        <w:rPr>
          <w:rFonts w:ascii="Calibri" w:eastAsia="Calibri" w:hAnsi="Calibri" w:cs="Calibri"/>
          <w:lang w:val="en-US" w:eastAsia="fi-FI"/>
        </w:rPr>
        <w:t>,</w:t>
      </w:r>
      <w:r w:rsidRPr="0067298B">
        <w:rPr>
          <w:rFonts w:ascii="Calibri" w:eastAsia="Calibri" w:hAnsi="Calibri" w:cs="Calibri"/>
          <w:lang w:val="en-US" w:eastAsia="fi-FI"/>
        </w:rPr>
        <w:t xml:space="preserve"> the RNA of GRHPR is widely expressed</w:t>
      </w:r>
      <w:r>
        <w:rPr>
          <w:rFonts w:ascii="Calibri" w:eastAsia="Calibri" w:hAnsi="Calibri" w:cs="Calibri"/>
          <w:lang w:val="en-US" w:eastAsia="fi-FI"/>
        </w:rPr>
        <w:t>,</w:t>
      </w:r>
      <w:r w:rsidRPr="0067298B">
        <w:rPr>
          <w:rFonts w:ascii="Calibri" w:eastAsia="Calibri" w:hAnsi="Calibri" w:cs="Calibri"/>
          <w:lang w:val="en-US" w:eastAsia="fi-FI"/>
        </w:rPr>
        <w:t xml:space="preserve"> with the highest </w:t>
      </w:r>
      <w:r>
        <w:rPr>
          <w:rFonts w:ascii="Calibri" w:eastAsia="Calibri" w:hAnsi="Calibri" w:cs="Calibri"/>
          <w:lang w:val="en-US" w:eastAsia="fi-FI"/>
        </w:rPr>
        <w:t xml:space="preserve">RNA </w:t>
      </w:r>
      <w:r w:rsidRPr="0067298B">
        <w:rPr>
          <w:rFonts w:ascii="Calibri" w:eastAsia="Calibri" w:hAnsi="Calibri" w:cs="Calibri"/>
          <w:lang w:val="en-US" w:eastAsia="fi-FI"/>
        </w:rPr>
        <w:t>expression in the liver</w:t>
      </w:r>
      <w:r>
        <w:rPr>
          <w:rFonts w:ascii="Calibri" w:eastAsia="Calibri" w:hAnsi="Calibri" w:cs="Calibri"/>
          <w:lang w:val="en-US" w:eastAsia="fi-FI"/>
        </w:rPr>
        <w:t>,</w:t>
      </w:r>
      <w:r w:rsidRPr="0067298B">
        <w:rPr>
          <w:rFonts w:ascii="Calibri" w:eastAsia="Calibri" w:hAnsi="Calibri" w:cs="Calibri"/>
          <w:lang w:val="en-US" w:eastAsia="fi-FI"/>
        </w:rPr>
        <w:t xml:space="preserve"> followed by </w:t>
      </w:r>
      <w:r>
        <w:rPr>
          <w:rFonts w:ascii="Calibri" w:eastAsia="Calibri" w:hAnsi="Calibri" w:cs="Calibri"/>
          <w:lang w:val="en-US" w:eastAsia="fi-FI"/>
        </w:rPr>
        <w:t xml:space="preserve">that in </w:t>
      </w:r>
      <w:r w:rsidRPr="0067298B">
        <w:rPr>
          <w:rFonts w:ascii="Calibri" w:eastAsia="Calibri" w:hAnsi="Calibri" w:cs="Calibri"/>
          <w:lang w:val="en-US" w:eastAsia="fi-FI"/>
        </w:rPr>
        <w:t>skeletal muscles</w:t>
      </w:r>
      <w:r>
        <w:rPr>
          <w:rFonts w:ascii="Calibri" w:eastAsia="Calibri" w:hAnsi="Calibri" w:cs="Calibri"/>
          <w:lang w:val="en-US" w:eastAsia="fi-FI"/>
        </w:rPr>
        <w:t xml:space="preserve">; the brains exhibit high protein expression of GRHPR. </w:t>
      </w:r>
      <w:r w:rsidRPr="0067298B">
        <w:rPr>
          <w:rFonts w:ascii="Calibri" w:eastAsia="Calibri" w:hAnsi="Calibri" w:cs="Calibri"/>
          <w:lang w:val="en-US" w:eastAsia="fi-FI"/>
        </w:rPr>
        <w:t xml:space="preserve">There </w:t>
      </w:r>
      <w:r>
        <w:rPr>
          <w:rFonts w:ascii="Calibri" w:eastAsia="Calibri" w:hAnsi="Calibri" w:cs="Calibri"/>
          <w:lang w:val="en-US" w:eastAsia="fi-FI"/>
        </w:rPr>
        <w:t>has been</w:t>
      </w:r>
      <w:r w:rsidRPr="0067298B">
        <w:rPr>
          <w:rFonts w:ascii="Calibri" w:eastAsia="Calibri" w:hAnsi="Calibri" w:cs="Calibri"/>
          <w:lang w:val="en-US" w:eastAsia="fi-FI"/>
        </w:rPr>
        <w:t xml:space="preserve"> extremely little earlier research on the metabolic role of </w:t>
      </w:r>
      <w:r>
        <w:rPr>
          <w:rFonts w:ascii="Calibri" w:eastAsia="Calibri" w:hAnsi="Calibri" w:cs="Calibri"/>
          <w:lang w:val="en-US" w:eastAsia="fi-FI"/>
        </w:rPr>
        <w:t xml:space="preserve">the </w:t>
      </w:r>
      <w:r w:rsidRPr="0067298B">
        <w:rPr>
          <w:rFonts w:ascii="Calibri" w:eastAsia="Calibri" w:hAnsi="Calibri" w:cs="Calibri"/>
          <w:lang w:val="en-US" w:eastAsia="fi-FI"/>
        </w:rPr>
        <w:t xml:space="preserve">GRHPR enzyme </w:t>
      </w:r>
      <w:r>
        <w:rPr>
          <w:rFonts w:ascii="Calibri" w:eastAsia="Calibri" w:hAnsi="Calibri" w:cs="Calibri"/>
          <w:lang w:val="en-US" w:eastAsia="fi-FI"/>
        </w:rPr>
        <w:t>in relation</w:t>
      </w:r>
      <w:r w:rsidRPr="0067298B">
        <w:rPr>
          <w:rFonts w:ascii="Calibri" w:eastAsia="Calibri" w:hAnsi="Calibri" w:cs="Calibri"/>
          <w:lang w:val="en-US" w:eastAsia="fi-FI"/>
        </w:rPr>
        <w:t xml:space="preserve"> to DGA. </w:t>
      </w:r>
      <w:r>
        <w:rPr>
          <w:rFonts w:ascii="Calibri" w:eastAsia="Calibri" w:hAnsi="Calibri" w:cs="Calibri"/>
          <w:lang w:val="en-US" w:eastAsia="fi-FI"/>
        </w:rPr>
        <w:t>With respect</w:t>
      </w:r>
      <w:r w:rsidRPr="0067298B">
        <w:rPr>
          <w:rFonts w:ascii="Calibri" w:eastAsia="Calibri" w:hAnsi="Calibri" w:cs="Calibri"/>
          <w:lang w:val="en-US" w:eastAsia="fi-FI"/>
        </w:rPr>
        <w:t xml:space="preserve"> to exercise training, one transcriptional activation study </w:t>
      </w:r>
      <w:r>
        <w:rPr>
          <w:rFonts w:ascii="Calibri" w:eastAsia="Calibri" w:hAnsi="Calibri" w:cs="Calibri"/>
          <w:color w:val="000000"/>
          <w:lang w:val="en-US" w:eastAsia="fi-FI"/>
        </w:rPr>
        <w:t xml:space="preserve">revealed </w:t>
      </w:r>
      <w:r w:rsidRPr="0067298B">
        <w:rPr>
          <w:rFonts w:ascii="Calibri" w:eastAsia="Calibri" w:hAnsi="Calibri" w:cs="Calibri"/>
          <w:lang w:val="en-US" w:eastAsia="fi-FI"/>
        </w:rPr>
        <w:t xml:space="preserve">the activation of </w:t>
      </w:r>
      <w:r>
        <w:rPr>
          <w:rFonts w:ascii="Calibri" w:eastAsia="Calibri" w:hAnsi="Calibri" w:cs="Calibri"/>
          <w:lang w:val="en-US" w:eastAsia="fi-FI"/>
        </w:rPr>
        <w:t xml:space="preserve">the </w:t>
      </w:r>
      <w:r w:rsidRPr="0067298B">
        <w:rPr>
          <w:rFonts w:ascii="Calibri" w:eastAsia="Calibri" w:hAnsi="Calibri" w:cs="Calibri"/>
          <w:lang w:val="en-US" w:eastAsia="fi-FI"/>
        </w:rPr>
        <w:t>GRHPR enzyme in leg muscle biopsies from exercise naïve humans after two bouts of concentric resistan</w:t>
      </w:r>
      <w:r>
        <w:rPr>
          <w:rFonts w:ascii="Calibri" w:eastAsia="Calibri" w:hAnsi="Calibri" w:cs="Calibri"/>
          <w:lang w:val="en-US" w:eastAsia="fi-FI"/>
        </w:rPr>
        <w:t xml:space="preserve">ce </w:t>
      </w:r>
      <w:r w:rsidRPr="0067298B">
        <w:rPr>
          <w:rFonts w:ascii="Calibri" w:eastAsia="Calibri" w:hAnsi="Calibri" w:cs="Calibri"/>
          <w:lang w:val="en-US" w:eastAsia="fi-FI"/>
        </w:rPr>
        <w:t>exercise training</w:t>
      </w:r>
      <w:r w:rsidRPr="0067298B">
        <w:rPr>
          <w:rFonts w:ascii="Calibri" w:eastAsia="Calibri" w:hAnsi="Calibri" w:cs="Calibri"/>
          <w:color w:val="000000"/>
          <w:lang w:val="en-US" w:eastAsia="fi-FI"/>
        </w:rPr>
        <w:t xml:space="preserve"> </w:t>
      </w:r>
      <w:r>
        <w:rPr>
          <w:rFonts w:ascii="Calibri" w:eastAsia="Calibri" w:hAnsi="Calibri" w:cs="Calibri"/>
          <w:color w:val="000000"/>
          <w:lang w:val="en-US" w:eastAsia="fi-FI"/>
        </w:rPr>
        <w:t>[5</w:t>
      </w:r>
      <w:r w:rsidR="00BA758D">
        <w:rPr>
          <w:rFonts w:ascii="Calibri" w:eastAsia="Calibri" w:hAnsi="Calibri" w:cs="Calibri"/>
          <w:color w:val="000000"/>
          <w:lang w:val="en-US" w:eastAsia="fi-FI"/>
        </w:rPr>
        <w:t>5</w:t>
      </w:r>
      <w:r>
        <w:rPr>
          <w:rFonts w:ascii="Calibri" w:eastAsia="Calibri" w:hAnsi="Calibri" w:cs="Calibri"/>
          <w:color w:val="000000"/>
          <w:lang w:val="en-US" w:eastAsia="fi-FI"/>
        </w:rPr>
        <w:t>]</w:t>
      </w:r>
      <w:r w:rsidRPr="0067298B">
        <w:rPr>
          <w:rFonts w:ascii="Calibri" w:eastAsia="Calibri" w:hAnsi="Calibri" w:cs="Calibri"/>
          <w:lang w:val="en-US" w:eastAsia="fi-FI"/>
        </w:rPr>
        <w:t xml:space="preserve">. </w:t>
      </w:r>
    </w:p>
    <w:p w14:paraId="4F80E13E" w14:textId="77777777" w:rsidR="009D6E6C" w:rsidRPr="00872E78" w:rsidRDefault="009D6E6C" w:rsidP="009D6E6C">
      <w:pPr>
        <w:spacing w:line="480" w:lineRule="auto"/>
        <w:rPr>
          <w:rFonts w:ascii="Calibri" w:eastAsia="Calibri" w:hAnsi="Calibri" w:cs="Calibri"/>
          <w:lang w:val="en-US" w:eastAsia="fi-FI"/>
        </w:rPr>
      </w:pPr>
      <w:r w:rsidRPr="009251E6">
        <w:rPr>
          <w:rFonts w:ascii="Calibri" w:eastAsia="Calibri" w:hAnsi="Calibri" w:cs="Calibri"/>
          <w:lang w:val="en-US" w:eastAsia="fi-FI"/>
        </w:rPr>
        <w:t xml:space="preserve">The irreversible GLYCTK enzyme reaction ends the favorable energy metabolic activation induced by the nonphosphorylated DGA. Thus, its role in the metabolic enhancements induced by the DGA is somewhat controversial. However, </w:t>
      </w:r>
      <w:proofErr w:type="spellStart"/>
      <w:r w:rsidRPr="009251E6">
        <w:rPr>
          <w:rFonts w:ascii="Calibri" w:eastAsia="Calibri" w:hAnsi="Calibri" w:cs="Calibri"/>
          <w:lang w:val="en-US" w:eastAsia="fi-FI"/>
        </w:rPr>
        <w:t>GLYCTKm</w:t>
      </w:r>
      <w:proofErr w:type="spellEnd"/>
      <w:r w:rsidRPr="009251E6">
        <w:rPr>
          <w:rFonts w:ascii="Calibri" w:eastAsia="Calibri" w:hAnsi="Calibri" w:cs="Calibri"/>
          <w:lang w:val="en-US" w:eastAsia="fi-FI"/>
        </w:rPr>
        <w:t xml:space="preserve"> has the metabolic advantage that it shuttles ATP to the cytosol (Fig. 4).</w:t>
      </w:r>
    </w:p>
    <w:p w14:paraId="0CA4B408" w14:textId="3FC15D36" w:rsidR="001C4062" w:rsidRDefault="009D6E6C" w:rsidP="00072562">
      <w:pPr>
        <w:spacing w:line="480" w:lineRule="auto"/>
        <w:rPr>
          <w:rFonts w:ascii="Calibri" w:eastAsia="Calibri" w:hAnsi="Calibri" w:cs="Calibri"/>
          <w:lang w:val="en-US" w:eastAsia="fi-FI"/>
        </w:rPr>
      </w:pPr>
      <w:r>
        <w:rPr>
          <w:rFonts w:ascii="Calibri" w:eastAsia="Calibri" w:hAnsi="Calibri" w:cs="Calibri"/>
          <w:lang w:val="en-US" w:eastAsia="fi-FI"/>
        </w:rPr>
        <w:t>Finally, t</w:t>
      </w:r>
      <w:r w:rsidR="001C4062" w:rsidRPr="009251E6">
        <w:rPr>
          <w:rFonts w:ascii="Calibri" w:eastAsia="Calibri" w:hAnsi="Calibri" w:cs="Calibri"/>
          <w:lang w:val="en-US" w:eastAsia="fi-FI"/>
        </w:rPr>
        <w:t xml:space="preserve">he exact localization of </w:t>
      </w:r>
      <w:proofErr w:type="spellStart"/>
      <w:r w:rsidR="001C4062" w:rsidRPr="009251E6">
        <w:rPr>
          <w:rFonts w:ascii="Calibri" w:eastAsia="Calibri" w:hAnsi="Calibri" w:cs="Calibri"/>
          <w:lang w:val="en-US" w:eastAsia="fi-FI"/>
        </w:rPr>
        <w:t>GLYCTKm</w:t>
      </w:r>
      <w:proofErr w:type="spellEnd"/>
      <w:r w:rsidR="001C4062" w:rsidRPr="009251E6">
        <w:rPr>
          <w:rFonts w:ascii="Calibri" w:eastAsia="Calibri" w:hAnsi="Calibri" w:cs="Calibri"/>
          <w:lang w:val="en-US" w:eastAsia="fi-FI"/>
        </w:rPr>
        <w:t xml:space="preserve"> in mitochondria is an open question. </w:t>
      </w:r>
      <w:proofErr w:type="spellStart"/>
      <w:r w:rsidR="001C4062" w:rsidRPr="009251E6">
        <w:rPr>
          <w:rFonts w:ascii="Calibri" w:eastAsia="Calibri" w:hAnsi="Calibri" w:cs="Calibri"/>
          <w:lang w:val="en-US" w:eastAsia="fi-FI"/>
        </w:rPr>
        <w:t>GLYCTKm</w:t>
      </w:r>
      <w:proofErr w:type="spellEnd"/>
      <w:r w:rsidR="001C4062" w:rsidRPr="009251E6">
        <w:rPr>
          <w:rFonts w:ascii="Calibri" w:eastAsia="Calibri" w:hAnsi="Calibri" w:cs="Calibri"/>
          <w:lang w:val="en-US" w:eastAsia="fi-FI"/>
        </w:rPr>
        <w:t xml:space="preserve"> can be in the matrix or in the inter-membrane space (IMS). If </w:t>
      </w:r>
      <w:proofErr w:type="spellStart"/>
      <w:r w:rsidR="001C4062" w:rsidRPr="009251E6">
        <w:rPr>
          <w:rFonts w:ascii="Calibri" w:eastAsia="Calibri" w:hAnsi="Calibri" w:cs="Calibri"/>
          <w:lang w:val="en-US" w:eastAsia="fi-FI"/>
        </w:rPr>
        <w:t>GLYCTKm</w:t>
      </w:r>
      <w:proofErr w:type="spellEnd"/>
      <w:r w:rsidR="001C4062" w:rsidRPr="009251E6">
        <w:rPr>
          <w:rFonts w:ascii="Calibri" w:eastAsia="Calibri" w:hAnsi="Calibri" w:cs="Calibri"/>
          <w:lang w:val="en-US" w:eastAsia="fi-FI"/>
        </w:rPr>
        <w:t xml:space="preserve"> is located in the IMS, the transporter of 2PG to the cytosol is not crucial because the OMM is more permeable than the IMM. The ALDH2 enzyme is localized in the matrix</w:t>
      </w:r>
      <w:r w:rsidR="001C4062">
        <w:rPr>
          <w:rFonts w:ascii="Calibri" w:eastAsia="Calibri" w:hAnsi="Calibri" w:cs="Calibri"/>
          <w:lang w:val="en-US" w:eastAsia="fi-FI"/>
        </w:rPr>
        <w:t xml:space="preserve"> </w:t>
      </w:r>
      <w:r w:rsidR="001C4062">
        <w:rPr>
          <w:rFonts w:ascii="Calibri" w:eastAsia="Calibri" w:hAnsi="Calibri" w:cs="Calibri"/>
          <w:color w:val="000000"/>
          <w:lang w:val="en-US" w:eastAsia="fi-FI"/>
        </w:rPr>
        <w:t>[7]</w:t>
      </w:r>
      <w:r w:rsidR="001C4062" w:rsidRPr="009251E6">
        <w:rPr>
          <w:rFonts w:ascii="Calibri" w:eastAsia="Calibri" w:hAnsi="Calibri" w:cs="Calibri"/>
          <w:lang w:val="en-US" w:eastAsia="fi-FI"/>
        </w:rPr>
        <w:t>. Thus, there should exist a transporter that passes the DGA through the IMM</w:t>
      </w:r>
      <w:r w:rsidR="00E41C3F">
        <w:rPr>
          <w:rFonts w:ascii="Calibri" w:eastAsia="Calibri" w:hAnsi="Calibri" w:cs="Calibri"/>
          <w:lang w:val="en-US" w:eastAsia="fi-FI"/>
        </w:rPr>
        <w:t xml:space="preserve"> (Fig. 4)</w:t>
      </w:r>
      <w:r w:rsidR="001C4062" w:rsidRPr="009251E6">
        <w:rPr>
          <w:rFonts w:ascii="Calibri" w:eastAsia="Calibri" w:hAnsi="Calibri" w:cs="Calibri"/>
          <w:lang w:val="en-US" w:eastAsia="fi-FI"/>
        </w:rPr>
        <w:t xml:space="preserve">. It probably belongs to the SLC25A family </w:t>
      </w:r>
      <w:r w:rsidR="001C4062">
        <w:rPr>
          <w:rFonts w:ascii="Calibri" w:eastAsia="Calibri" w:hAnsi="Calibri" w:cs="Calibri"/>
          <w:color w:val="000000"/>
          <w:lang w:val="en-US" w:eastAsia="fi-FI"/>
        </w:rPr>
        <w:t>[3</w:t>
      </w:r>
      <w:r w:rsidR="00553652">
        <w:rPr>
          <w:rFonts w:ascii="Calibri" w:eastAsia="Calibri" w:hAnsi="Calibri" w:cs="Calibri"/>
          <w:color w:val="000000"/>
          <w:lang w:val="en-US" w:eastAsia="fi-FI"/>
        </w:rPr>
        <w:t>4</w:t>
      </w:r>
      <w:r w:rsidR="001C4062">
        <w:rPr>
          <w:rFonts w:ascii="Calibri" w:eastAsia="Calibri" w:hAnsi="Calibri" w:cs="Calibri"/>
          <w:color w:val="000000"/>
          <w:lang w:val="en-US" w:eastAsia="fi-FI"/>
        </w:rPr>
        <w:t>]</w:t>
      </w:r>
      <w:r w:rsidR="001C4062" w:rsidRPr="009251E6">
        <w:rPr>
          <w:rFonts w:ascii="Calibri" w:eastAsia="Calibri" w:hAnsi="Calibri" w:cs="Calibri"/>
          <w:lang w:val="en-US" w:eastAsia="fi-FI"/>
        </w:rPr>
        <w:t xml:space="preserve">. </w:t>
      </w:r>
    </w:p>
    <w:p w14:paraId="33B956C7" w14:textId="77777777" w:rsidR="00F431D6" w:rsidRDefault="00F431D6">
      <w:pPr>
        <w:rPr>
          <w:lang w:val="en-US"/>
        </w:rPr>
      </w:pPr>
    </w:p>
    <w:p w14:paraId="123D72BC" w14:textId="77777777" w:rsidR="009D6E6C" w:rsidRDefault="009D6E6C">
      <w:pPr>
        <w:rPr>
          <w:lang w:val="en-US"/>
        </w:rPr>
      </w:pPr>
    </w:p>
    <w:p w14:paraId="465DEFEC" w14:textId="77777777" w:rsidR="009D6E6C" w:rsidRDefault="009D6E6C">
      <w:pPr>
        <w:rPr>
          <w:lang w:val="en-US"/>
        </w:rPr>
      </w:pPr>
    </w:p>
    <w:p w14:paraId="708A0893" w14:textId="5A67420E" w:rsidR="00AF0FC1" w:rsidRPr="00072562" w:rsidRDefault="00F431D6">
      <w:pPr>
        <w:rPr>
          <w:lang w:val="en-US"/>
        </w:rPr>
      </w:pPr>
      <w:r>
        <w:rPr>
          <w:lang w:val="en-US"/>
        </w:rPr>
        <w:t>References can be found in the reference list of the main article.</w:t>
      </w:r>
    </w:p>
    <w:sectPr w:rsidR="00AF0FC1" w:rsidRPr="00072562">
      <w:headerReference w:type="default" r:id="rId7"/>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53928A" w14:textId="77777777" w:rsidR="00DF5CB7" w:rsidRDefault="00DF5CB7" w:rsidP="00072562">
      <w:pPr>
        <w:spacing w:after="0" w:line="240" w:lineRule="auto"/>
      </w:pPr>
      <w:r>
        <w:separator/>
      </w:r>
    </w:p>
  </w:endnote>
  <w:endnote w:type="continuationSeparator" w:id="0">
    <w:p w14:paraId="6B845E21" w14:textId="77777777" w:rsidR="00DF5CB7" w:rsidRDefault="00DF5CB7" w:rsidP="00072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176822" w14:textId="77777777" w:rsidR="00DF5CB7" w:rsidRDefault="00DF5CB7" w:rsidP="00072562">
      <w:pPr>
        <w:spacing w:after="0" w:line="240" w:lineRule="auto"/>
      </w:pPr>
      <w:r>
        <w:separator/>
      </w:r>
    </w:p>
  </w:footnote>
  <w:footnote w:type="continuationSeparator" w:id="0">
    <w:p w14:paraId="19B0F25E" w14:textId="77777777" w:rsidR="00DF5CB7" w:rsidRDefault="00DF5CB7" w:rsidP="000725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43953528"/>
      <w:docPartObj>
        <w:docPartGallery w:val="Page Numbers (Top of Page)"/>
        <w:docPartUnique/>
      </w:docPartObj>
    </w:sdtPr>
    <w:sdtContent>
      <w:p w14:paraId="2E1FA7C2" w14:textId="7192E7FA" w:rsidR="001C4062" w:rsidRPr="00D74AEA" w:rsidRDefault="001C4062" w:rsidP="001C4062">
        <w:pPr>
          <w:pStyle w:val="Yltunniste"/>
          <w:jc w:val="right"/>
          <w:rPr>
            <w:lang w:val="en-US"/>
          </w:rPr>
        </w:pPr>
        <w:r>
          <w:fldChar w:fldCharType="begin"/>
        </w:r>
        <w:r w:rsidRPr="00D74AEA">
          <w:rPr>
            <w:lang w:val="en-US"/>
          </w:rPr>
          <w:instrText>PAGE   \* MERGEFORMAT</w:instrText>
        </w:r>
        <w:r>
          <w:fldChar w:fldCharType="separate"/>
        </w:r>
        <w:r w:rsidRPr="00D74AEA">
          <w:rPr>
            <w:lang w:val="en-US"/>
          </w:rPr>
          <w:t>2</w:t>
        </w:r>
        <w:r>
          <w:fldChar w:fldCharType="end"/>
        </w:r>
        <w:r w:rsidRPr="00D74AEA">
          <w:rPr>
            <w:lang w:val="en-US"/>
          </w:rPr>
          <w:t xml:space="preserve"> </w:t>
        </w:r>
      </w:p>
    </w:sdtContent>
  </w:sdt>
  <w:p w14:paraId="303090FC" w14:textId="558CED13" w:rsidR="00072562" w:rsidRDefault="001C4062" w:rsidP="001C4062">
    <w:pPr>
      <w:pStyle w:val="Yltunniste"/>
      <w:rPr>
        <w:kern w:val="2"/>
        <w:sz w:val="18"/>
        <w:szCs w:val="18"/>
        <w:lang w:val="en-US"/>
        <w14:ligatures w14:val="standardContextual"/>
      </w:rPr>
    </w:pPr>
    <w:r w:rsidRPr="00376A3B">
      <w:rPr>
        <w:b/>
        <w:bCs/>
        <w:kern w:val="2"/>
        <w:sz w:val="20"/>
        <w:szCs w:val="20"/>
        <w:lang w:val="en-US"/>
        <w14:ligatures w14:val="standardContextual"/>
      </w:rPr>
      <w:t xml:space="preserve"> </w:t>
    </w:r>
    <w:r w:rsidR="00376A3B" w:rsidRPr="00376A3B">
      <w:rPr>
        <w:b/>
        <w:bCs/>
        <w:kern w:val="2"/>
        <w:sz w:val="20"/>
        <w:szCs w:val="20"/>
        <w:lang w:val="en-US"/>
        <w14:ligatures w14:val="standardContextual"/>
      </w:rPr>
      <w:t>ADDITIONAL FILE</w:t>
    </w:r>
    <w:r w:rsidRPr="00376A3B">
      <w:rPr>
        <w:b/>
        <w:bCs/>
        <w:kern w:val="2"/>
        <w:sz w:val="20"/>
        <w:szCs w:val="20"/>
        <w:lang w:val="en-US"/>
        <w14:ligatures w14:val="standardContextual"/>
      </w:rPr>
      <w:t xml:space="preserve"> 3.</w:t>
    </w:r>
    <w:r w:rsidRPr="001C4062">
      <w:rPr>
        <w:kern w:val="2"/>
        <w:sz w:val="18"/>
        <w:szCs w:val="18"/>
        <w:lang w:val="en-US"/>
        <w14:ligatures w14:val="standardContextual"/>
      </w:rPr>
      <w:t xml:space="preserve"> Exogenous D-glyceric acid enhances the maintenance of glycerophospholipid membranes, 10/202</w:t>
    </w:r>
    <w:r w:rsidR="00376A3B">
      <w:rPr>
        <w:kern w:val="2"/>
        <w:sz w:val="18"/>
        <w:szCs w:val="18"/>
        <w:lang w:val="en-US"/>
        <w14:ligatures w14:val="standardContextual"/>
      </w:rPr>
      <w:t>4</w:t>
    </w:r>
  </w:p>
  <w:p w14:paraId="6D462336" w14:textId="77777777" w:rsidR="001C4062" w:rsidRDefault="001C4062" w:rsidP="001C4062">
    <w:pPr>
      <w:pStyle w:val="Yltunniste"/>
      <w:rPr>
        <w:lang w:val="en-US"/>
      </w:rPr>
    </w:pPr>
  </w:p>
  <w:p w14:paraId="5C398687" w14:textId="77777777" w:rsidR="009D6E6C" w:rsidRPr="001C4062" w:rsidRDefault="009D6E6C" w:rsidP="001C4062">
    <w:pPr>
      <w:pStyle w:val="Yltunniste"/>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562"/>
    <w:rsid w:val="00026F5B"/>
    <w:rsid w:val="00072562"/>
    <w:rsid w:val="000B2A58"/>
    <w:rsid w:val="000B3F29"/>
    <w:rsid w:val="001C4062"/>
    <w:rsid w:val="00246897"/>
    <w:rsid w:val="002676B6"/>
    <w:rsid w:val="00376A3B"/>
    <w:rsid w:val="0038618E"/>
    <w:rsid w:val="00472236"/>
    <w:rsid w:val="00474C3D"/>
    <w:rsid w:val="00517CDC"/>
    <w:rsid w:val="00553652"/>
    <w:rsid w:val="0059027A"/>
    <w:rsid w:val="006F5CFD"/>
    <w:rsid w:val="00756A8B"/>
    <w:rsid w:val="008671E2"/>
    <w:rsid w:val="008D6B91"/>
    <w:rsid w:val="008D7022"/>
    <w:rsid w:val="0094773B"/>
    <w:rsid w:val="00985A77"/>
    <w:rsid w:val="009D0E20"/>
    <w:rsid w:val="009D6E6C"/>
    <w:rsid w:val="009E38D1"/>
    <w:rsid w:val="00AF0FC1"/>
    <w:rsid w:val="00B00C4D"/>
    <w:rsid w:val="00BA758D"/>
    <w:rsid w:val="00CF1E86"/>
    <w:rsid w:val="00D61ED0"/>
    <w:rsid w:val="00D74AEA"/>
    <w:rsid w:val="00D75440"/>
    <w:rsid w:val="00D7609B"/>
    <w:rsid w:val="00DF5CB7"/>
    <w:rsid w:val="00E41C3F"/>
    <w:rsid w:val="00EB1481"/>
    <w:rsid w:val="00ED2AAF"/>
    <w:rsid w:val="00F10FED"/>
    <w:rsid w:val="00F1444D"/>
    <w:rsid w:val="00F431D6"/>
    <w:rsid w:val="00F569F5"/>
    <w:rsid w:val="00F804B1"/>
    <w:rsid w:val="00FE195A"/>
    <w:rsid w:val="00FF628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E4EAB"/>
  <w15:chartTrackingRefBased/>
  <w15:docId w15:val="{90AB71E8-7981-4CA9-8AB5-47114EC93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072562"/>
    <w:rPr>
      <w:kern w:val="0"/>
      <w14:ligatures w14:val="none"/>
    </w:rPr>
  </w:style>
  <w:style w:type="paragraph" w:styleId="Otsikko1">
    <w:name w:val="heading 1"/>
    <w:basedOn w:val="Normaali"/>
    <w:next w:val="Normaali"/>
    <w:link w:val="Otsikko1Char"/>
    <w:uiPriority w:val="9"/>
    <w:qFormat/>
    <w:rsid w:val="0007256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Otsikko2">
    <w:name w:val="heading 2"/>
    <w:basedOn w:val="Normaali"/>
    <w:next w:val="Normaali"/>
    <w:link w:val="Otsikko2Char"/>
    <w:uiPriority w:val="9"/>
    <w:semiHidden/>
    <w:unhideWhenUsed/>
    <w:qFormat/>
    <w:rsid w:val="0007256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Otsikko3">
    <w:name w:val="heading 3"/>
    <w:basedOn w:val="Normaali"/>
    <w:next w:val="Normaali"/>
    <w:link w:val="Otsikko3Char"/>
    <w:uiPriority w:val="9"/>
    <w:semiHidden/>
    <w:unhideWhenUsed/>
    <w:qFormat/>
    <w:rsid w:val="00072562"/>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Otsikko4">
    <w:name w:val="heading 4"/>
    <w:basedOn w:val="Normaali"/>
    <w:next w:val="Normaali"/>
    <w:link w:val="Otsikko4Char"/>
    <w:uiPriority w:val="9"/>
    <w:semiHidden/>
    <w:unhideWhenUsed/>
    <w:qFormat/>
    <w:rsid w:val="00072562"/>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Otsikko5">
    <w:name w:val="heading 5"/>
    <w:basedOn w:val="Normaali"/>
    <w:next w:val="Normaali"/>
    <w:link w:val="Otsikko5Char"/>
    <w:uiPriority w:val="9"/>
    <w:semiHidden/>
    <w:unhideWhenUsed/>
    <w:qFormat/>
    <w:rsid w:val="00072562"/>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Otsikko6">
    <w:name w:val="heading 6"/>
    <w:basedOn w:val="Normaali"/>
    <w:next w:val="Normaali"/>
    <w:link w:val="Otsikko6Char"/>
    <w:uiPriority w:val="9"/>
    <w:semiHidden/>
    <w:unhideWhenUsed/>
    <w:qFormat/>
    <w:rsid w:val="00072562"/>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Otsikko7">
    <w:name w:val="heading 7"/>
    <w:basedOn w:val="Normaali"/>
    <w:next w:val="Normaali"/>
    <w:link w:val="Otsikko7Char"/>
    <w:uiPriority w:val="9"/>
    <w:semiHidden/>
    <w:unhideWhenUsed/>
    <w:qFormat/>
    <w:rsid w:val="00072562"/>
    <w:pPr>
      <w:keepNext/>
      <w:keepLines/>
      <w:spacing w:before="40" w:after="0"/>
      <w:outlineLvl w:val="6"/>
    </w:pPr>
    <w:rPr>
      <w:rFonts w:eastAsiaTheme="majorEastAsia" w:cstheme="majorBidi"/>
      <w:color w:val="595959" w:themeColor="text1" w:themeTint="A6"/>
      <w:kern w:val="2"/>
      <w14:ligatures w14:val="standardContextual"/>
    </w:rPr>
  </w:style>
  <w:style w:type="paragraph" w:styleId="Otsikko8">
    <w:name w:val="heading 8"/>
    <w:basedOn w:val="Normaali"/>
    <w:next w:val="Normaali"/>
    <w:link w:val="Otsikko8Char"/>
    <w:uiPriority w:val="9"/>
    <w:semiHidden/>
    <w:unhideWhenUsed/>
    <w:qFormat/>
    <w:rsid w:val="00072562"/>
    <w:pPr>
      <w:keepNext/>
      <w:keepLines/>
      <w:spacing w:after="0"/>
      <w:outlineLvl w:val="7"/>
    </w:pPr>
    <w:rPr>
      <w:rFonts w:eastAsiaTheme="majorEastAsia" w:cstheme="majorBidi"/>
      <w:i/>
      <w:iCs/>
      <w:color w:val="272727" w:themeColor="text1" w:themeTint="D8"/>
      <w:kern w:val="2"/>
      <w14:ligatures w14:val="standardContextual"/>
    </w:rPr>
  </w:style>
  <w:style w:type="paragraph" w:styleId="Otsikko9">
    <w:name w:val="heading 9"/>
    <w:basedOn w:val="Normaali"/>
    <w:next w:val="Normaali"/>
    <w:link w:val="Otsikko9Char"/>
    <w:uiPriority w:val="9"/>
    <w:semiHidden/>
    <w:unhideWhenUsed/>
    <w:qFormat/>
    <w:rsid w:val="00072562"/>
    <w:pPr>
      <w:keepNext/>
      <w:keepLines/>
      <w:spacing w:after="0"/>
      <w:outlineLvl w:val="8"/>
    </w:pPr>
    <w:rPr>
      <w:rFonts w:eastAsiaTheme="majorEastAsia" w:cstheme="majorBidi"/>
      <w:color w:val="272727" w:themeColor="text1" w:themeTint="D8"/>
      <w:kern w:val="2"/>
      <w14:ligatures w14:val="standardContextual"/>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072562"/>
    <w:rPr>
      <w:rFonts w:asciiTheme="majorHAnsi" w:eastAsiaTheme="majorEastAsia" w:hAnsiTheme="majorHAnsi" w:cstheme="majorBidi"/>
      <w:color w:val="0F4761" w:themeColor="accent1" w:themeShade="BF"/>
      <w:sz w:val="40"/>
      <w:szCs w:val="40"/>
    </w:rPr>
  </w:style>
  <w:style w:type="character" w:customStyle="1" w:styleId="Otsikko2Char">
    <w:name w:val="Otsikko 2 Char"/>
    <w:basedOn w:val="Kappaleenoletusfontti"/>
    <w:link w:val="Otsikko2"/>
    <w:uiPriority w:val="9"/>
    <w:semiHidden/>
    <w:rsid w:val="00072562"/>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072562"/>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072562"/>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072562"/>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072562"/>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072562"/>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072562"/>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072562"/>
    <w:rPr>
      <w:rFonts w:eastAsiaTheme="majorEastAsia" w:cstheme="majorBidi"/>
      <w:color w:val="272727" w:themeColor="text1" w:themeTint="D8"/>
    </w:rPr>
  </w:style>
  <w:style w:type="paragraph" w:styleId="Otsikko">
    <w:name w:val="Title"/>
    <w:basedOn w:val="Normaali"/>
    <w:next w:val="Normaali"/>
    <w:link w:val="OtsikkoChar"/>
    <w:uiPriority w:val="10"/>
    <w:qFormat/>
    <w:rsid w:val="0007256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OtsikkoChar">
    <w:name w:val="Otsikko Char"/>
    <w:basedOn w:val="Kappaleenoletusfontti"/>
    <w:link w:val="Otsikko"/>
    <w:uiPriority w:val="10"/>
    <w:rsid w:val="00072562"/>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072562"/>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AlaotsikkoChar">
    <w:name w:val="Alaotsikko Char"/>
    <w:basedOn w:val="Kappaleenoletusfontti"/>
    <w:link w:val="Alaotsikko"/>
    <w:uiPriority w:val="11"/>
    <w:rsid w:val="00072562"/>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072562"/>
    <w:pPr>
      <w:spacing w:before="160"/>
      <w:jc w:val="center"/>
    </w:pPr>
    <w:rPr>
      <w:i/>
      <w:iCs/>
      <w:color w:val="404040" w:themeColor="text1" w:themeTint="BF"/>
      <w:kern w:val="2"/>
      <w14:ligatures w14:val="standardContextual"/>
    </w:rPr>
  </w:style>
  <w:style w:type="character" w:customStyle="1" w:styleId="LainausChar">
    <w:name w:val="Lainaus Char"/>
    <w:basedOn w:val="Kappaleenoletusfontti"/>
    <w:link w:val="Lainaus"/>
    <w:uiPriority w:val="29"/>
    <w:rsid w:val="00072562"/>
    <w:rPr>
      <w:i/>
      <w:iCs/>
      <w:color w:val="404040" w:themeColor="text1" w:themeTint="BF"/>
    </w:rPr>
  </w:style>
  <w:style w:type="paragraph" w:styleId="Luettelokappale">
    <w:name w:val="List Paragraph"/>
    <w:basedOn w:val="Normaali"/>
    <w:uiPriority w:val="34"/>
    <w:qFormat/>
    <w:rsid w:val="00072562"/>
    <w:pPr>
      <w:ind w:left="720"/>
      <w:contextualSpacing/>
    </w:pPr>
    <w:rPr>
      <w:kern w:val="2"/>
      <w14:ligatures w14:val="standardContextual"/>
    </w:rPr>
  </w:style>
  <w:style w:type="character" w:styleId="Voimakaskorostus">
    <w:name w:val="Intense Emphasis"/>
    <w:basedOn w:val="Kappaleenoletusfontti"/>
    <w:uiPriority w:val="21"/>
    <w:qFormat/>
    <w:rsid w:val="00072562"/>
    <w:rPr>
      <w:i/>
      <w:iCs/>
      <w:color w:val="0F4761" w:themeColor="accent1" w:themeShade="BF"/>
    </w:rPr>
  </w:style>
  <w:style w:type="paragraph" w:styleId="Erottuvalainaus">
    <w:name w:val="Intense Quote"/>
    <w:basedOn w:val="Normaali"/>
    <w:next w:val="Normaali"/>
    <w:link w:val="ErottuvalainausChar"/>
    <w:uiPriority w:val="30"/>
    <w:qFormat/>
    <w:rsid w:val="00072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ErottuvalainausChar">
    <w:name w:val="Erottuva lainaus Char"/>
    <w:basedOn w:val="Kappaleenoletusfontti"/>
    <w:link w:val="Erottuvalainaus"/>
    <w:uiPriority w:val="30"/>
    <w:rsid w:val="00072562"/>
    <w:rPr>
      <w:i/>
      <w:iCs/>
      <w:color w:val="0F4761" w:themeColor="accent1" w:themeShade="BF"/>
    </w:rPr>
  </w:style>
  <w:style w:type="character" w:styleId="Erottuvaviittaus">
    <w:name w:val="Intense Reference"/>
    <w:basedOn w:val="Kappaleenoletusfontti"/>
    <w:uiPriority w:val="32"/>
    <w:qFormat/>
    <w:rsid w:val="00072562"/>
    <w:rPr>
      <w:b/>
      <w:bCs/>
      <w:smallCaps/>
      <w:color w:val="0F4761" w:themeColor="accent1" w:themeShade="BF"/>
      <w:spacing w:val="5"/>
    </w:rPr>
  </w:style>
  <w:style w:type="paragraph" w:styleId="Yltunniste">
    <w:name w:val="header"/>
    <w:basedOn w:val="Normaali"/>
    <w:link w:val="YltunnisteChar"/>
    <w:uiPriority w:val="99"/>
    <w:unhideWhenUsed/>
    <w:rsid w:val="00072562"/>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072562"/>
    <w:rPr>
      <w:kern w:val="0"/>
      <w14:ligatures w14:val="none"/>
    </w:rPr>
  </w:style>
  <w:style w:type="paragraph" w:styleId="Alatunniste">
    <w:name w:val="footer"/>
    <w:basedOn w:val="Normaali"/>
    <w:link w:val="AlatunnisteChar"/>
    <w:uiPriority w:val="99"/>
    <w:unhideWhenUsed/>
    <w:rsid w:val="00072562"/>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07256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322</Words>
  <Characters>2613</Characters>
  <Application>Microsoft Office Word</Application>
  <DocSecurity>0</DocSecurity>
  <Lines>21</Lines>
  <Paragraphs>5</Paragraphs>
  <ScaleCrop>false</ScaleCrop>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Petteri Hirvonen</dc:creator>
  <cp:keywords/>
  <dc:description/>
  <cp:lastModifiedBy>Petteri Hirvonen</cp:lastModifiedBy>
  <cp:revision>20</cp:revision>
  <dcterms:created xsi:type="dcterms:W3CDTF">2024-10-10T13:14:00Z</dcterms:created>
  <dcterms:modified xsi:type="dcterms:W3CDTF">2024-10-24T06:31:00Z</dcterms:modified>
</cp:coreProperties>
</file>