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</w:rPr>
        <w:drawing>
          <wp:inline distB="114300" distT="114300" distL="114300" distR="114300">
            <wp:extent cx="4886325" cy="46863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468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48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 S2.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Non-metric multidimensional scaling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  <w:rtl w:val="0"/>
        </w:rPr>
        <w:t xml:space="preserve">based on the antennal responses of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sz w:val="24"/>
          <w:szCs w:val="24"/>
          <w:highlight w:val="white"/>
          <w:rtl w:val="0"/>
        </w:rPr>
        <w:t xml:space="preserve">D. melanogaster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sz w:val="24"/>
          <w:szCs w:val="24"/>
          <w:highlight w:val="white"/>
          <w:rtl w:val="0"/>
        </w:rPr>
        <w:t xml:space="preserve">P.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sz w:val="24"/>
          <w:szCs w:val="24"/>
          <w:highlight w:val="white"/>
          <w:rtl w:val="0"/>
        </w:rPr>
        <w:t xml:space="preserve">variegata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  <w:rtl w:val="0"/>
        </w:rPr>
        <w:t xml:space="preserve"> individuals to the panel of tested synthetic volatiles.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