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480" w:lineRule="auto"/>
        <w:rPr>
          <w:rFonts w:ascii="Times New Roman" w:cs="Times New Roman" w:eastAsia="Times New Roman" w:hAnsi="Times New Roman"/>
          <w:color w:val="222222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222222"/>
          <w:sz w:val="24"/>
          <w:szCs w:val="24"/>
          <w:highlight w:val="white"/>
          <w:rtl w:val="0"/>
        </w:rPr>
        <w:t xml:space="preserve">Table S1.</w:t>
      </w:r>
      <w:r w:rsidDel="00000000" w:rsidR="00000000" w:rsidRPr="00000000">
        <w:rPr>
          <w:rFonts w:ascii="Times New Roman" w:cs="Times New Roman" w:eastAsia="Times New Roman" w:hAnsi="Times New Roman"/>
          <w:color w:val="222222"/>
          <w:sz w:val="24"/>
          <w:szCs w:val="24"/>
          <w:highlight w:val="white"/>
          <w:rtl w:val="0"/>
        </w:rPr>
        <w:t xml:space="preserve"> Synthetic compounds selected for GC-EAD testing on </w:t>
      </w:r>
      <w:r w:rsidDel="00000000" w:rsidR="00000000" w:rsidRPr="00000000">
        <w:rPr>
          <w:rFonts w:ascii="Times New Roman" w:cs="Times New Roman" w:eastAsia="Times New Roman" w:hAnsi="Times New Roman"/>
          <w:i w:val="1"/>
          <w:color w:val="222222"/>
          <w:sz w:val="24"/>
          <w:szCs w:val="24"/>
          <w:highlight w:val="white"/>
          <w:rtl w:val="0"/>
        </w:rPr>
        <w:t xml:space="preserve">D. melanogaster </w:t>
      </w:r>
      <w:r w:rsidDel="00000000" w:rsidR="00000000" w:rsidRPr="00000000">
        <w:rPr>
          <w:rFonts w:ascii="Times New Roman" w:cs="Times New Roman" w:eastAsia="Times New Roman" w:hAnsi="Times New Roman"/>
          <w:color w:val="222222"/>
          <w:sz w:val="24"/>
          <w:szCs w:val="24"/>
          <w:highlight w:val="white"/>
          <w:rtl w:val="0"/>
        </w:rPr>
        <w:t xml:space="preserve">and </w:t>
      </w:r>
      <w:r w:rsidDel="00000000" w:rsidR="00000000" w:rsidRPr="00000000">
        <w:rPr>
          <w:rFonts w:ascii="Times New Roman" w:cs="Times New Roman" w:eastAsia="Times New Roman" w:hAnsi="Times New Roman"/>
          <w:i w:val="1"/>
          <w:color w:val="222222"/>
          <w:sz w:val="24"/>
          <w:szCs w:val="24"/>
          <w:highlight w:val="white"/>
          <w:rtl w:val="0"/>
        </w:rPr>
        <w:t xml:space="preserve">P. </w:t>
      </w:r>
      <w:r w:rsidDel="00000000" w:rsidR="00000000" w:rsidRPr="00000000">
        <w:rPr>
          <w:rFonts w:ascii="Times New Roman" w:cs="Times New Roman" w:eastAsia="Times New Roman" w:hAnsi="Times New Roman"/>
          <w:i w:val="1"/>
          <w:color w:val="222222"/>
          <w:sz w:val="24"/>
          <w:szCs w:val="24"/>
          <w:highlight w:val="white"/>
          <w:rtl w:val="0"/>
        </w:rPr>
        <w:t xml:space="preserve">variegata</w:t>
      </w:r>
      <w:r w:rsidDel="00000000" w:rsidR="00000000" w:rsidRPr="00000000">
        <w:rPr>
          <w:rFonts w:ascii="Times New Roman" w:cs="Times New Roman" w:eastAsia="Times New Roman" w:hAnsi="Times New Roman"/>
          <w:color w:val="222222"/>
          <w:sz w:val="24"/>
          <w:szCs w:val="24"/>
          <w:highlight w:val="white"/>
          <w:rtl w:val="0"/>
        </w:rPr>
        <w:t xml:space="preserve">. The purity and producers as well as the reference literature that were used in the selection procedure and the most sensitive </w:t>
      </w:r>
      <w:r w:rsidDel="00000000" w:rsidR="00000000" w:rsidRPr="00000000">
        <w:rPr>
          <w:rFonts w:ascii="Times New Roman" w:cs="Times New Roman" w:eastAsia="Times New Roman" w:hAnsi="Times New Roman"/>
          <w:i w:val="1"/>
          <w:color w:val="222222"/>
          <w:sz w:val="24"/>
          <w:szCs w:val="24"/>
          <w:highlight w:val="white"/>
          <w:rtl w:val="0"/>
        </w:rPr>
        <w:t xml:space="preserve">D. melanogaster</w:t>
      </w:r>
      <w:r w:rsidDel="00000000" w:rsidR="00000000" w:rsidRPr="00000000">
        <w:rPr>
          <w:rFonts w:ascii="Times New Roman" w:cs="Times New Roman" w:eastAsia="Times New Roman" w:hAnsi="Times New Roman"/>
          <w:color w:val="222222"/>
          <w:sz w:val="24"/>
          <w:szCs w:val="24"/>
          <w:highlight w:val="white"/>
          <w:rtl w:val="0"/>
        </w:rPr>
        <w:t xml:space="preserve"> odorant receptors are listed. </w:t>
      </w:r>
      <w:r w:rsidDel="00000000" w:rsidR="00000000" w:rsidRPr="00000000">
        <w:rPr>
          <w:rtl w:val="0"/>
        </w:rPr>
      </w:r>
    </w:p>
    <w:tbl>
      <w:tblPr>
        <w:tblStyle w:val="Table1"/>
        <w:tblW w:w="9285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2280"/>
        <w:gridCol w:w="1200"/>
        <w:gridCol w:w="1035"/>
        <w:gridCol w:w="1830"/>
        <w:gridCol w:w="1785"/>
        <w:gridCol w:w="1155"/>
        <w:tblGridChange w:id="0">
          <w:tblGrid>
            <w:gridCol w:w="2280"/>
            <w:gridCol w:w="1200"/>
            <w:gridCol w:w="1035"/>
            <w:gridCol w:w="1830"/>
            <w:gridCol w:w="1785"/>
            <w:gridCol w:w="1155"/>
          </w:tblGrid>
        </w:tblGridChange>
      </w:tblGrid>
      <w:tr>
        <w:trPr>
          <w:cantSplit w:val="0"/>
          <w:trHeight w:val="345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2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compound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CAS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purity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5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producer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6">
            <w:pPr>
              <w:widowControl w:val="0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odorant receptor</w:t>
            </w:r>
          </w:p>
        </w:tc>
        <w:tc>
          <w:tcPr>
            <w:tcBorders>
              <w:top w:color="000000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reference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8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methyl-isobutyrate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9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547-63-7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99%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Sigma Aldrich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C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22a, 42b, 59b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D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E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propyl acetate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109-64-4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98%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1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Sigma Aldrich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2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42a, 43b,47a, 42b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3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4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geosmin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5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16423-19-1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99%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Sigma Aldrich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8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56a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9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1., 2.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A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ethyl butyrate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105-54-4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98%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D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Sigma Aldrich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E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42a, 43b, 42b, 85a 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F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0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ethyl benzoate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1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93-89-0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99%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Sigma Aldrich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4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98a, 10a, 69a, 67a 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5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6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4-methylphenol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106-44-5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99%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9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Acros Organics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A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71a,  30a, 69a 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B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1., 3.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C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2-heptanone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D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110-43-0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99%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Sigma Aldrich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0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85c,  85b, 98a, 47a 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1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2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1-octen-3-ol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3391-86-4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98%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5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Sigma Aldrich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6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13a, 85c, 98a, 85b 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7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1., 4-7.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8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methyl salicylate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9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119-36-8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99%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Sigma Aldrich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C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10a, 69a, 71a, 1a 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D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E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farnesol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4602-84-0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95%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1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Sigma Aldrich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2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83c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3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1.8505859375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4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ethyl 3-hydroxybutyrate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5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5405-41-4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98%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Sigma Aldrich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8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13a , 69a, 22a, 92a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9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A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(E)-3-hexenol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928-96-1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98%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D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Sigma Aldrich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E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35a, 85b, 85a, 9a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F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0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acetophenone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1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98-86-2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98%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Sigma Aldrich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4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67b, 45b, 10a, 59a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5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1., 8.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6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2,3-butanediol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513-85-9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99%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9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Fluka Chemicals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A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9a, 92a, 43b, 69a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B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C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pyrrolidine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D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123-75-1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99%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Sigma Aldrich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0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85b, 65a, 88a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1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2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(E)-2-hexenal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6728-26-3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98%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5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Sigma Aldrich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6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7a , 35a, 42a, 67b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7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8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benzaldehyde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9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100-52-7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99.50%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Sigma Aldrich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C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45b , 67b, 30a, 7a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D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E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α-terpineol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10482-56-1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90%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1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Sigma Aldrich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2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69a , 19a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3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4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3-octanol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5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589-98-0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99%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Sigma Aldrich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8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85c , 69a, 85b, 98a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9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1., 5.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A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pentyl acetate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628-63-7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99%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D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Sigma Aldrich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E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47a , 85c, 98a, 35a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F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0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methyl benzoate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1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93-58-3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99%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Sigma Aldrich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4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98a , 10a, 67a, 71a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5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6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bornyl acetate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5655-61-8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95%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9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Sigma Aldrich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A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19a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B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C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1-pentanol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D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71-41-0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99%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Sigma Aldrich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0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35a , 85b, 43b, 67c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1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2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1-heptanol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111-70-6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98%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5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Sigma Aldrich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6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35a , 85c, 74a, 13a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7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1., 6.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8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indole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9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120-72-9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99%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Sigma Aldrich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C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85b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D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1., 9.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E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geranyl acetate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105-87-3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97%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1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Sigma Aldrich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2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82a , 69a, 83c, 98a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3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4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ethyl propionate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5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105-37-3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99%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Sigma Aldrich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8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42b , 43b, 22a, 59b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9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A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ethyl hexanoate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123-66-0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99%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D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Sigma Aldrich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E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22a, 47a, 67a, 85b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F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0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caryophyllene oxide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1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1139-30-6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95%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Sigma Aldrich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4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19a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5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6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butyl propionate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0590-01-02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99%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9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Acros Organics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A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67a , 19a, 47a, 42b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B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C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α-humulene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D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6753-98-6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96%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Sigma Aldrich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0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19a, 7a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1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2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3-octanone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106-68-3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99%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5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Sigma Aldrich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6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83a, 19a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7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8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phenol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9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108-95-2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99%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Sigma Aldrich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C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7a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D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1., 10.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E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linalool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78-70-6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97%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1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Sigma Aldrich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2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69a , 98a, 19a, 13a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3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4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isoamyl acetate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5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123-92-2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99.50%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Sigma Aldrich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8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43b, 98a, 47a, 22a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9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A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citral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5392-40-5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95%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D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Sigma Aldrich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E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83c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F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0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β-ionone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1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79-77-6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96%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Sigma Aldrich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4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69a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5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6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β-caryophyllene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87-44-5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80%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9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Sigma Aldrich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A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69, 13a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B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C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1-nonanol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D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0143-08-08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98%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Fluka Chemicals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0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74a, 45a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1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1., 6.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2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sulcatone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110-93-0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99%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5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Sigma Aldrich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6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85b , 98a, 67a, 13a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7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1., 7., 11.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8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phenylethyl alcohol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9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60-12-8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99%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Sigma Aldrich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C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67b , 67a, 69b, 35a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D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E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nonanal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124-19-6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95%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1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Sigma Aldrich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2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69a, 7a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3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1., 7.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4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isobutyl acetate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5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110-19-0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98%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Sigma Aldrich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8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43b, 98a, 47a, 22a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9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A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decanal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112-31-2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98%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D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Sigma Aldrich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E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69a , 67b, 10a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F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1., 7.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0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(Z)-vaccenyl acetate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1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6186-98-7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99%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Pherobank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4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42a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5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6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anisole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100-66-3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99.70%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9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Sigma Aldrich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A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94a , 30a, 45b, 59a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B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C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1-hexanol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D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111-27-3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99%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Sigma Aldrich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0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67b, 35a, 85c, 13a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1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1.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22">
      <w:pPr>
        <w:spacing w:line="240" w:lineRule="auto"/>
        <w:rPr>
          <w:rFonts w:ascii="Times New Roman" w:cs="Times New Roman" w:eastAsia="Times New Roman" w:hAnsi="Times New Roman"/>
          <w:color w:val="222222"/>
          <w:sz w:val="16"/>
          <w:szCs w:val="16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3">
      <w:pPr>
        <w:spacing w:line="240" w:lineRule="auto"/>
        <w:rPr>
          <w:rFonts w:ascii="Times New Roman" w:cs="Times New Roman" w:eastAsia="Times New Roman" w:hAnsi="Times New Roman"/>
          <w:color w:val="222222"/>
          <w:sz w:val="16"/>
          <w:szCs w:val="16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color w:val="222222"/>
          <w:sz w:val="16"/>
          <w:szCs w:val="16"/>
          <w:highlight w:val="white"/>
          <w:rtl w:val="0"/>
        </w:rPr>
        <w:t xml:space="preserve">1. Münch, D., &amp; Galizia, C. G. (2016). DoOR 2.0—Comprehensive mapping of Drosophila melanogaster odorant responses. Scientific Reports, 6, 21841.</w:t>
      </w:r>
    </w:p>
    <w:p w:rsidR="00000000" w:rsidDel="00000000" w:rsidP="00000000" w:rsidRDefault="00000000" w:rsidRPr="00000000" w14:paraId="00000124">
      <w:pPr>
        <w:spacing w:line="240" w:lineRule="auto"/>
        <w:rPr>
          <w:rFonts w:ascii="Times New Roman" w:cs="Times New Roman" w:eastAsia="Times New Roman" w:hAnsi="Times New Roman"/>
          <w:color w:val="222222"/>
          <w:sz w:val="16"/>
          <w:szCs w:val="16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color w:val="222222"/>
          <w:sz w:val="16"/>
          <w:szCs w:val="16"/>
          <w:highlight w:val="white"/>
          <w:rtl w:val="0"/>
        </w:rPr>
        <w:t xml:space="preserve">2. Melo, N., Wolff, G. H., Costa-da-Silva, A. L., Arribas, R., Triana, M. F., Gugger, M et al. (2020). Geosmin attracts Aedes aegypti mosquitoes to oviposition sites. Current Biology, 30(1), 127-134.</w:t>
      </w:r>
    </w:p>
    <w:p w:rsidR="00000000" w:rsidDel="00000000" w:rsidP="00000000" w:rsidRDefault="00000000" w:rsidRPr="00000000" w14:paraId="00000125">
      <w:pPr>
        <w:spacing w:line="240" w:lineRule="auto"/>
        <w:rPr>
          <w:rFonts w:ascii="Times New Roman" w:cs="Times New Roman" w:eastAsia="Times New Roman" w:hAnsi="Times New Roman"/>
          <w:color w:val="222222"/>
          <w:sz w:val="16"/>
          <w:szCs w:val="16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color w:val="222222"/>
          <w:sz w:val="16"/>
          <w:szCs w:val="16"/>
          <w:highlight w:val="white"/>
          <w:rtl w:val="0"/>
        </w:rPr>
        <w:t xml:space="preserve">3. Owaga, M. L., Hassanali, A., &amp; McDowell, P. G. (1988). The role of 4-cresol and 3-n-propylphenol in the attraction of tsetse flies to buffalo urine. International Journal of Tropical Insect Science, 9(1), 95-100.</w:t>
      </w:r>
    </w:p>
    <w:p w:rsidR="00000000" w:rsidDel="00000000" w:rsidP="00000000" w:rsidRDefault="00000000" w:rsidRPr="00000000" w14:paraId="00000126">
      <w:pPr>
        <w:spacing w:line="240" w:lineRule="auto"/>
        <w:rPr>
          <w:rFonts w:ascii="Times New Roman" w:cs="Times New Roman" w:eastAsia="Times New Roman" w:hAnsi="Times New Roman"/>
          <w:color w:val="222222"/>
          <w:sz w:val="16"/>
          <w:szCs w:val="16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color w:val="222222"/>
          <w:sz w:val="16"/>
          <w:szCs w:val="16"/>
          <w:highlight w:val="white"/>
          <w:rtl w:val="0"/>
        </w:rPr>
        <w:t xml:space="preserve">4. Takken, W., &amp; Kline, D. L. (1989). Carbon dioxide and 1-octen-3-ol as mosquito attractants. Journal of the American Mosquito Control Association, 5(3), 311-316.</w:t>
      </w:r>
    </w:p>
    <w:p w:rsidR="00000000" w:rsidDel="00000000" w:rsidP="00000000" w:rsidRDefault="00000000" w:rsidRPr="00000000" w14:paraId="00000127">
      <w:pPr>
        <w:spacing w:line="240" w:lineRule="auto"/>
        <w:rPr>
          <w:rFonts w:ascii="Times New Roman" w:cs="Times New Roman" w:eastAsia="Times New Roman" w:hAnsi="Times New Roman"/>
          <w:color w:val="222222"/>
          <w:sz w:val="16"/>
          <w:szCs w:val="16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color w:val="222222"/>
          <w:sz w:val="16"/>
          <w:szCs w:val="16"/>
          <w:highlight w:val="white"/>
          <w:rtl w:val="0"/>
        </w:rPr>
        <w:t xml:space="preserve">5. Vale, G. A., &amp; Hall, D. R. (1985). The role of 1-octen-3-ol, acetone and carbon dioxide in the attraction of tsetse flies, Glossina spp.(Diptera: Glossinidae), to ox odour. Bulletin of Entomological Research, 75(2), 209-218.</w:t>
      </w:r>
    </w:p>
    <w:p w:rsidR="00000000" w:rsidDel="00000000" w:rsidP="00000000" w:rsidRDefault="00000000" w:rsidRPr="00000000" w14:paraId="00000128">
      <w:pPr>
        <w:spacing w:line="240" w:lineRule="auto"/>
        <w:rPr>
          <w:rFonts w:ascii="Times New Roman" w:cs="Times New Roman" w:eastAsia="Times New Roman" w:hAnsi="Times New Roman"/>
          <w:color w:val="222222"/>
          <w:sz w:val="16"/>
          <w:szCs w:val="16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color w:val="222222"/>
          <w:sz w:val="16"/>
          <w:szCs w:val="16"/>
          <w:highlight w:val="white"/>
          <w:rtl w:val="0"/>
        </w:rPr>
        <w:t xml:space="preserve">6. Magalhães-Junior, J. T., Barrouin-Melo, S. M., Corrêa, A. G., da Rocha Silva, F. B., Machado, V. E., Govone, J. S., &amp; Pinto, M. C. (2014). A laboratory evaluation of alcohols as attractants for the sandfly Lutzomyia longipalpis (Diptera: Psychodidae). Parasites &amp; vectors 7, 1-5. </w:t>
      </w:r>
    </w:p>
    <w:p w:rsidR="00000000" w:rsidDel="00000000" w:rsidP="00000000" w:rsidRDefault="00000000" w:rsidRPr="00000000" w14:paraId="00000129">
      <w:pPr>
        <w:spacing w:line="240" w:lineRule="auto"/>
        <w:rPr>
          <w:rFonts w:ascii="Times New Roman" w:cs="Times New Roman" w:eastAsia="Times New Roman" w:hAnsi="Times New Roman"/>
          <w:color w:val="222222"/>
          <w:sz w:val="16"/>
          <w:szCs w:val="16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color w:val="222222"/>
          <w:sz w:val="16"/>
          <w:szCs w:val="16"/>
          <w:highlight w:val="white"/>
          <w:rtl w:val="0"/>
        </w:rPr>
        <w:t xml:space="preserve">7. Dormont, L., Mulatier, M., Carrasco, D., &amp; Cohuet, A. (2021). Mosquito attractants. Journal of chemical ecology, 47, 351-393.</w:t>
      </w:r>
    </w:p>
    <w:p w:rsidR="00000000" w:rsidDel="00000000" w:rsidP="00000000" w:rsidRDefault="00000000" w:rsidRPr="00000000" w14:paraId="0000012A">
      <w:pPr>
        <w:spacing w:line="240" w:lineRule="auto"/>
        <w:rPr>
          <w:rFonts w:ascii="Times New Roman" w:cs="Times New Roman" w:eastAsia="Times New Roman" w:hAnsi="Times New Roman"/>
          <w:color w:val="222222"/>
          <w:sz w:val="16"/>
          <w:szCs w:val="16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color w:val="222222"/>
          <w:sz w:val="16"/>
          <w:szCs w:val="16"/>
          <w:highlight w:val="white"/>
          <w:rtl w:val="0"/>
        </w:rPr>
        <w:t xml:space="preserve">8.Zhang, H., Zhu, Y., Liu, Z., Peng, Y., Peng, W., Tong, L. et. al (2022). A volatile from the skin microbiota of flavivirus-infected hosts promotes mosquito attractiveness. Cell, 185(14), 2510-2522.</w:t>
      </w:r>
    </w:p>
    <w:p w:rsidR="00000000" w:rsidDel="00000000" w:rsidP="00000000" w:rsidRDefault="00000000" w:rsidRPr="00000000" w14:paraId="0000012B">
      <w:pPr>
        <w:spacing w:line="240" w:lineRule="auto"/>
        <w:rPr>
          <w:rFonts w:ascii="Times New Roman" w:cs="Times New Roman" w:eastAsia="Times New Roman" w:hAnsi="Times New Roman"/>
          <w:color w:val="222222"/>
          <w:sz w:val="16"/>
          <w:szCs w:val="16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color w:val="222222"/>
          <w:sz w:val="16"/>
          <w:szCs w:val="16"/>
          <w:highlight w:val="white"/>
          <w:rtl w:val="0"/>
        </w:rPr>
        <w:t xml:space="preserve">9. Harraca, V., Syed, Z., &amp; Guerin, P. M. (2009). Olfactory and behavioural responses of tsetse flies, Glossina spp., to rumen metabolites. Journal of Comparative Physiology A, 195, 815-824.</w:t>
      </w:r>
    </w:p>
    <w:p w:rsidR="00000000" w:rsidDel="00000000" w:rsidP="00000000" w:rsidRDefault="00000000" w:rsidRPr="00000000" w14:paraId="0000012C">
      <w:pPr>
        <w:spacing w:line="240" w:lineRule="auto"/>
        <w:rPr>
          <w:rFonts w:ascii="Times New Roman" w:cs="Times New Roman" w:eastAsia="Times New Roman" w:hAnsi="Times New Roman"/>
          <w:color w:val="222222"/>
          <w:sz w:val="16"/>
          <w:szCs w:val="16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color w:val="222222"/>
          <w:sz w:val="16"/>
          <w:szCs w:val="16"/>
          <w:highlight w:val="white"/>
          <w:rtl w:val="0"/>
        </w:rPr>
        <w:t xml:space="preserve">10. Vale, G. A., Hall, D. R., &amp; Gough, A. J. E. (1988). The olfactory responses of tsetse flies, Glossina spp.(Diptera: Glossinidae), to phenols and urine in the field. Bulletin of Entomological Research, 78(2), 293-300.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hu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