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BD7DB7" w14:textId="4F132DE2" w:rsidR="001C5655" w:rsidRDefault="00AC3745" w:rsidP="00C05FE0">
      <w:pPr>
        <w:jc w:val="center"/>
      </w:pPr>
      <w:r>
        <w:rPr>
          <w:rFonts w:hint="eastAsia"/>
          <w:noProof/>
        </w:rPr>
        <w:drawing>
          <wp:inline distT="0" distB="0" distL="0" distR="0" wp14:anchorId="6330EBEC" wp14:editId="4E488495">
            <wp:extent cx="5270500" cy="705675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5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5C69A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Fig.1. Pedigree Diagram of the 38 Families in Our Cohort. </w:t>
      </w:r>
    </w:p>
    <w:p w14:paraId="3E40E12E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Text with “y” below deceased individuals </w:t>
      </w:r>
      <w:r w:rsidRPr="00302E65">
        <w:rPr>
          <w:rFonts w:ascii="Times New Roman" w:hAnsi="Times New Roman" w:cs="Times New Roman"/>
        </w:rPr>
        <w:t xml:space="preserve">indicates the </w:t>
      </w:r>
      <w:r>
        <w:rPr>
          <w:rFonts w:ascii="Times New Roman" w:hAnsi="Times New Roman" w:cs="Times New Roman"/>
        </w:rPr>
        <w:t xml:space="preserve">age at death (e.g., “15y” = deceased at age 15). “E49-52del” refers to a deletion of exons 49–52 in </w:t>
      </w:r>
      <w:r>
        <w:rPr>
          <w:rFonts w:ascii="Times New Roman" w:hAnsi="Times New Roman" w:cs="Times New Roman"/>
          <w:i/>
          <w:iCs/>
        </w:rPr>
        <w:t>DMD</w:t>
      </w:r>
      <w:r>
        <w:rPr>
          <w:rFonts w:ascii="Times New Roman" w:hAnsi="Times New Roman" w:cs="Times New Roman"/>
        </w:rPr>
        <w:t>.</w:t>
      </w:r>
    </w:p>
    <w:p w14:paraId="704139BA" w14:textId="77777777" w:rsidR="00C05FE0" w:rsidRPr="00AC3745" w:rsidRDefault="00C05FE0" w:rsidP="00AC3745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DD40434" w14:textId="58282E72" w:rsidR="00AC3745" w:rsidRDefault="00AC3745" w:rsidP="00C05FE0">
      <w:pPr>
        <w:jc w:val="center"/>
      </w:pPr>
      <w:r>
        <w:rPr>
          <w:noProof/>
        </w:rPr>
        <w:lastRenderedPageBreak/>
        <w:drawing>
          <wp:inline distT="0" distB="0" distL="0" distR="0" wp14:anchorId="16453982" wp14:editId="4A94E107">
            <wp:extent cx="5270500" cy="70732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07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83747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Fig.2. Duplications in Our Cohort</w:t>
      </w:r>
    </w:p>
    <w:p w14:paraId="357D800D" w14:textId="33E82AD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IGV browser views showing read-depth fold change for 39 samples in chrX[GRCh38]:28000000-38000000.</w:t>
      </w:r>
    </w:p>
    <w:p w14:paraId="2AA643B9" w14:textId="26C37AB8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UCSC browser views illustrating structural variants in our cohort alongside pathogenic or likely pathogenic duplications/triplications in DECIPHER.</w:t>
      </w:r>
    </w:p>
    <w:p w14:paraId="188A9E83" w14:textId="2F676B66" w:rsidR="00AC3745" w:rsidRDefault="00C05FE0" w:rsidP="00C05FE0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451EEC7A" wp14:editId="0CB5A429">
            <wp:extent cx="5270500" cy="7226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22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09E14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Fig.3. Examples of Different </w:t>
      </w:r>
      <w:r>
        <w:rPr>
          <w:rFonts w:ascii="Times New Roman Italic" w:hAnsi="Times New Roman Italic" w:cs="Times New Roman Italic"/>
          <w:i/>
          <w:iCs/>
        </w:rPr>
        <w:t>DMD</w:t>
      </w:r>
      <w:r>
        <w:rPr>
          <w:rFonts w:ascii="Times New Roman" w:hAnsi="Times New Roman" w:cs="Times New Roman"/>
        </w:rPr>
        <w:t xml:space="preserve"> Duplication Patterns</w:t>
      </w:r>
    </w:p>
    <w:p w14:paraId="657D58E1" w14:textId="556B1CD1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IGV diagram of a Tandem-Dup pattern.</w:t>
      </w:r>
    </w:p>
    <w:p w14:paraId="14C793FF" w14:textId="11400D2C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IGV diagram of a Dup-Nor-Dup pattern.</w:t>
      </w:r>
    </w:p>
    <w:p w14:paraId="47855276" w14:textId="5681F066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IGV diagram of a Dup-Inv-Dup pattern.</w:t>
      </w:r>
    </w:p>
    <w:p w14:paraId="60B954E1" w14:textId="61711B40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d, e. IGV diagrams of Intricate-Dup patterns.</w:t>
      </w:r>
    </w:p>
    <w:p w14:paraId="46E8BD4B" w14:textId="77777777" w:rsidR="00C05FE0" w:rsidRPr="00AC3745" w:rsidRDefault="00C05FE0" w:rsidP="00C05FE0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16470B85" w14:textId="1ECEC98C" w:rsidR="00C05FE0" w:rsidRDefault="00C05FE0" w:rsidP="00C05FE0">
      <w:pPr>
        <w:widowControl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w:drawing>
          <wp:inline distT="0" distB="0" distL="0" distR="0" wp14:anchorId="1ADD96F6" wp14:editId="0829EEF5">
            <wp:extent cx="5270500" cy="72580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905B3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Fig.4. Breakpoint Features of </w:t>
      </w:r>
      <w:r>
        <w:rPr>
          <w:rFonts w:ascii="Times New Roman Italic" w:hAnsi="Times New Roman Italic" w:cs="Times New Roman Italic"/>
          <w:i/>
          <w:iCs/>
        </w:rPr>
        <w:t>DMD</w:t>
      </w:r>
      <w:r>
        <w:rPr>
          <w:rFonts w:ascii="Times New Roman" w:hAnsi="Times New Roman" w:cs="Times New Roman"/>
        </w:rPr>
        <w:t xml:space="preserve"> Duplications</w:t>
      </w:r>
    </w:p>
    <w:p w14:paraId="5C1C6849" w14:textId="25DD8672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Distribution</w:t>
      </w:r>
      <w:r w:rsidRPr="00CE7850">
        <w:rPr>
          <w:rFonts w:ascii="Times New Roman" w:hAnsi="Times New Roman" w:cs="Times New Roman"/>
        </w:rPr>
        <w:t xml:space="preserve"> of duplication</w:t>
      </w:r>
      <w:r>
        <w:rPr>
          <w:rFonts w:ascii="Times New Roman" w:hAnsi="Times New Roman" w:cs="Times New Roman"/>
        </w:rPr>
        <w:t xml:space="preserve"> patterns across introns. The number in the bar plot represents duplication count. The y-axis represents the ratio of duplication patterns in all duplications involving the introns. Red color represents Tandem-Dup patterns, whereas blue color represents Complex Patterns (Dup-Nor-Dup, Dup-Inv-Dup and Intricate-Dup).</w:t>
      </w:r>
    </w:p>
    <w:p w14:paraId="48D9A491" w14:textId="21D4B745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Distribution </w:t>
      </w:r>
      <w:r w:rsidRPr="00CE7850"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</w:rPr>
        <w:t>duplication ranges across introns. The number in the bar plot represents duplication count. The y-axis represents the ratio of duplications with out-of-</w:t>
      </w:r>
      <w:r w:rsidRPr="00357BBE">
        <w:rPr>
          <w:rFonts w:ascii="Times New Roman" w:hAnsi="Times New Roman" w:cs="Times New Roman"/>
          <w:i/>
          <w:iCs/>
        </w:rPr>
        <w:t>DMD</w:t>
      </w:r>
      <w:r>
        <w:rPr>
          <w:rFonts w:ascii="Times New Roman" w:hAnsi="Times New Roman" w:cs="Times New Roman"/>
        </w:rPr>
        <w:t xml:space="preserve"> and intra-</w:t>
      </w:r>
      <w:r w:rsidRPr="00F47A1D">
        <w:rPr>
          <w:rFonts w:ascii="Times New Roman" w:hAnsi="Times New Roman" w:cs="Times New Roman"/>
          <w:i/>
          <w:iCs/>
        </w:rPr>
        <w:t>DMD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lastRenderedPageBreak/>
        <w:t>in all duplications involving the introns.</w:t>
      </w:r>
    </w:p>
    <w:p w14:paraId="608B25AA" w14:textId="03D88320" w:rsidR="00C05FE0" w:rsidRPr="00357BBE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UpSet plot annotating breakpoint-pair ends. 5’ and 3’ represent the breakpoint order on the forward strand.</w:t>
      </w:r>
    </w:p>
    <w:p w14:paraId="5530E68A" w14:textId="5F8B2C90" w:rsidR="00C05FE0" w:rsidRPr="00F22EA5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d, e. Scatterplot showing positive correlations of the number of breakpoints in our cohort (d) and the number of breakpoints in LOVD (e) with lengths, repeat counts, GC-unbalanced region counts, and DSB hotspot counts of these introns. </w:t>
      </w:r>
      <w:r w:rsidRPr="00DB3628">
        <w:rPr>
          <w:rFonts w:ascii="Times New Roman" w:hAnsi="Times New Roman" w:cs="Times New Roman"/>
        </w:rPr>
        <w:t>GC-unbalanced region counts</w:t>
      </w:r>
      <w:r>
        <w:rPr>
          <w:rFonts w:ascii="Times New Roman" w:hAnsi="Times New Roman" w:cs="Times New Roman"/>
        </w:rPr>
        <w:t xml:space="preserve"> were calculated by placing 10,000 randomly generated 200-bp intervals within introns. “R” and “p” represent the coefficient of determination and the statistical significance of linear regression, respectively.</w:t>
      </w:r>
    </w:p>
    <w:p w14:paraId="500918AB" w14:textId="7E16D4E6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f. Table listing samples with high-homology repeats at breakpoints.</w:t>
      </w:r>
    </w:p>
    <w:p w14:paraId="3CFB758F" w14:textId="77777777" w:rsidR="002E0FEA" w:rsidRDefault="002E0FEA" w:rsidP="00C05FE0">
      <w:pPr>
        <w:snapToGrid w:val="0"/>
        <w:spacing w:line="360" w:lineRule="auto"/>
        <w:rPr>
          <w:rFonts w:ascii="Times New Roman" w:hAnsi="Times New Roman" w:cs="Times New Roman"/>
        </w:rPr>
      </w:pPr>
    </w:p>
    <w:p w14:paraId="4CF281FA" w14:textId="77777777" w:rsidR="00C05FE0" w:rsidRDefault="00C05FE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38A282C" w14:textId="13A5D575" w:rsidR="00C05FE0" w:rsidRDefault="00C05FE0" w:rsidP="00C05FE0">
      <w:pPr>
        <w:widowControl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/>
          <w:noProof/>
          <w:kern w:val="0"/>
          <w:sz w:val="24"/>
        </w:rPr>
        <w:lastRenderedPageBreak/>
        <w:drawing>
          <wp:inline distT="0" distB="0" distL="0" distR="0" wp14:anchorId="5BFAA957" wp14:editId="2018AE73">
            <wp:extent cx="3263153" cy="1875877"/>
            <wp:effectExtent l="0" t="0" r="127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0006" cy="189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C3506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Supplementary Fig.</w:t>
      </w:r>
      <w:r>
        <w:rPr>
          <w:rFonts w:ascii="Times New Roman" w:hAnsi="Times New Roman" w:cs="Times New Roman"/>
        </w:rPr>
        <w:t>5. The formation of tandem duplication.</w:t>
      </w:r>
    </w:p>
    <w:p w14:paraId="6BDAF34E" w14:textId="28CC5D9D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Schematic </w:t>
      </w:r>
      <w:r w:rsidRPr="00123E6D">
        <w:rPr>
          <w:rFonts w:ascii="Times New Roman" w:hAnsi="Times New Roman" w:cs="Times New Roman"/>
        </w:rPr>
        <w:t>diagram</w:t>
      </w:r>
      <w:r>
        <w:rPr>
          <w:rFonts w:ascii="Times New Roman" w:hAnsi="Times New Roman" w:cs="Times New Roman"/>
        </w:rPr>
        <w:t xml:space="preserve"> of tandem duplication formation, hypothesizing that replication fork stalling in unstable genomic regions (e.g., GC-poor regions, DSB hotspots, repeat elements) triggers template switching, resulting in tandem duplications.</w:t>
      </w:r>
    </w:p>
    <w:p w14:paraId="43301305" w14:textId="77777777" w:rsidR="00C05FE0" w:rsidRDefault="00C05FE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3F49387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</w:p>
    <w:p w14:paraId="33C715F6" w14:textId="20D0FD25" w:rsidR="00C05FE0" w:rsidRPr="00AC3745" w:rsidRDefault="00C05FE0" w:rsidP="00C05FE0">
      <w:pPr>
        <w:widowControl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hint="eastAsia"/>
          <w:noProof/>
        </w:rPr>
        <w:drawing>
          <wp:inline distT="0" distB="0" distL="0" distR="0" wp14:anchorId="0C8C46A4" wp14:editId="7CFF77EE">
            <wp:extent cx="4437068" cy="3576918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905" cy="358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4B376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Fig.6. Schematic diagram for the formation of Dup-Nor-Dup with highly homology repeats.</w:t>
      </w:r>
    </w:p>
    <w:p w14:paraId="17F59C26" w14:textId="6DE93E20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Schematic </w:t>
      </w:r>
      <w:r w:rsidRPr="00123E6D">
        <w:rPr>
          <w:rFonts w:ascii="Times New Roman" w:hAnsi="Times New Roman" w:cs="Times New Roman"/>
        </w:rPr>
        <w:t>diagram</w:t>
      </w:r>
      <w:r>
        <w:rPr>
          <w:rFonts w:ascii="Times New Roman" w:hAnsi="Times New Roman" w:cs="Times New Roman"/>
        </w:rPr>
        <w:t xml:space="preserve"> </w:t>
      </w:r>
      <w:r w:rsidRPr="000D624E">
        <w:rPr>
          <w:rFonts w:ascii="Times New Roman" w:hAnsi="Times New Roman" w:cs="Times New Roman"/>
        </w:rPr>
        <w:t>illustrating</w:t>
      </w:r>
      <w:r w:rsidRPr="000D624E" w:rsidDel="000D62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multiple replication-based template switching events in Dup-Nor-Dup formation: one mediated by </w:t>
      </w:r>
      <w:r>
        <w:rPr>
          <w:rFonts w:ascii="Times New Roman" w:hAnsi="Times New Roman" w:cs="Times New Roman" w:hint="eastAsia"/>
        </w:rPr>
        <w:t>rever</w:t>
      </w:r>
      <w:r>
        <w:rPr>
          <w:rFonts w:ascii="Times New Roman" w:hAnsi="Times New Roman" w:cs="Times New Roman"/>
        </w:rPr>
        <w:t xml:space="preserve">se complementary repeats of the </w:t>
      </w:r>
      <w:r w:rsidRPr="00BC1A06">
        <w:rPr>
          <w:rFonts w:ascii="Times New Roman" w:hAnsi="Times New Roman" w:cs="Times New Roman"/>
        </w:rPr>
        <w:t>complementary</w:t>
      </w:r>
      <w:r>
        <w:rPr>
          <w:rFonts w:ascii="Times New Roman" w:hAnsi="Times New Roman" w:cs="Times New Roman"/>
        </w:rPr>
        <w:t xml:space="preserve"> strand and others driven by microhomology sequence, leading to two potential haplotypes (ACABC, ABCAC).</w:t>
      </w:r>
    </w:p>
    <w:p w14:paraId="2801555A" w14:textId="56341DC2" w:rsidR="00C05FE0" w:rsidRDefault="00C05FE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6680EE" w14:textId="77777777" w:rsidR="00C05FE0" w:rsidRPr="00A72DCE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</w:p>
    <w:p w14:paraId="049297BA" w14:textId="01F68AA4" w:rsidR="00C05FE0" w:rsidRPr="00AC3745" w:rsidRDefault="00C05FE0" w:rsidP="00C05FE0">
      <w:pPr>
        <w:widowControl/>
        <w:jc w:val="center"/>
        <w:rPr>
          <w:rFonts w:ascii="宋体" w:eastAsia="宋体" w:hAnsi="宋体" w:cs="宋体"/>
          <w:kern w:val="0"/>
          <w:sz w:val="24"/>
        </w:rPr>
      </w:pPr>
      <w:r>
        <w:rPr>
          <w:rFonts w:hint="eastAsia"/>
          <w:noProof/>
        </w:rPr>
        <w:drawing>
          <wp:inline distT="0" distB="0" distL="0" distR="0" wp14:anchorId="6A3171AB" wp14:editId="48ED9CF2">
            <wp:extent cx="3121157" cy="335280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212" cy="335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CF8DE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Fig.7. Schematic diagram for the formation of Dup-Inv-Dup with highly homology repeats.</w:t>
      </w:r>
    </w:p>
    <w:p w14:paraId="6CD4124B" w14:textId="77777777" w:rsidR="00C05FE0" w:rsidRDefault="00C05FE0" w:rsidP="00C05FE0">
      <w:pPr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Schematic </w:t>
      </w:r>
      <w:r w:rsidRPr="00123E6D">
        <w:rPr>
          <w:rFonts w:ascii="Times New Roman" w:hAnsi="Times New Roman" w:cs="Times New Roman"/>
        </w:rPr>
        <w:t>diagram</w:t>
      </w:r>
      <w:r>
        <w:rPr>
          <w:rFonts w:ascii="Times New Roman" w:hAnsi="Times New Roman" w:cs="Times New Roman"/>
        </w:rPr>
        <w:t xml:space="preserve"> </w:t>
      </w:r>
      <w:r w:rsidRPr="000D624E">
        <w:rPr>
          <w:rFonts w:ascii="Times New Roman" w:hAnsi="Times New Roman" w:cs="Times New Roman"/>
        </w:rPr>
        <w:t>illustrating</w:t>
      </w:r>
      <w:r w:rsidRPr="000D624E" w:rsidDel="000D62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multiple replication-based template switching events in Dup-Inv-Dup formation: one mediated by </w:t>
      </w:r>
      <w:r>
        <w:rPr>
          <w:rFonts w:ascii="Times New Roman" w:hAnsi="Times New Roman" w:cs="Times New Roman" w:hint="eastAsia"/>
        </w:rPr>
        <w:t>rever</w:t>
      </w:r>
      <w:r>
        <w:rPr>
          <w:rFonts w:ascii="Times New Roman" w:hAnsi="Times New Roman" w:cs="Times New Roman"/>
        </w:rPr>
        <w:t xml:space="preserve">se complementary repeats of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same strand (inducing an inverted duplication) and others via microhomology sequence, leading to three possible haplotypes (ABCA’C, AC’ABC, AC’B’A’C).</w:t>
      </w:r>
    </w:p>
    <w:p w14:paraId="3DB965CC" w14:textId="539018BD" w:rsidR="00C05FE0" w:rsidRPr="00AC3745" w:rsidRDefault="00C05FE0" w:rsidP="00C05FE0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2D8FEBDE" w14:textId="192D4168" w:rsidR="00381A8C" w:rsidRDefault="00381A8C">
      <w:pPr>
        <w:widowControl/>
        <w:jc w:val="left"/>
      </w:pPr>
      <w:r>
        <w:br w:type="page"/>
      </w:r>
    </w:p>
    <w:p w14:paraId="77FFDFBC" w14:textId="33762BF3" w:rsidR="00381A8C" w:rsidRDefault="00381A8C" w:rsidP="00381A8C">
      <w:pPr>
        <w:pStyle w:val="a4"/>
        <w:snapToGrid w:val="0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 w:rsidRPr="00381A8C">
        <w:rPr>
          <w:rFonts w:ascii="Times New Roman" w:hAnsi="Times New Roman" w:cs="Times New Roman"/>
          <w:sz w:val="21"/>
          <w:szCs w:val="21"/>
        </w:rPr>
        <w:lastRenderedPageBreak/>
        <w:t xml:space="preserve">Supplementary Table </w:t>
      </w:r>
      <w:r>
        <w:rPr>
          <w:rFonts w:ascii="Times New Roman" w:hAnsi="Times New Roman" w:cs="Times New Roman"/>
          <w:sz w:val="21"/>
          <w:szCs w:val="21"/>
        </w:rPr>
        <w:t>1</w:t>
      </w:r>
      <w:r w:rsidRPr="00381A8C">
        <w:rPr>
          <w:rFonts w:ascii="Times New Roman" w:hAnsi="Times New Roman" w:cs="Times New Roman"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Summary of patient statistics</w:t>
      </w:r>
    </w:p>
    <w:tbl>
      <w:tblPr>
        <w:tblStyle w:val="22"/>
        <w:tblW w:w="5000" w:type="pct"/>
        <w:tblBorders>
          <w:insideH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2835"/>
        <w:gridCol w:w="1212"/>
      </w:tblGrid>
      <w:tr w:rsidR="00381A8C" w14:paraId="3F765F3C" w14:textId="77777777" w:rsidTr="00B13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 w:val="restart"/>
            <w:noWrap/>
            <w:vAlign w:val="center"/>
          </w:tcPr>
          <w:p w14:paraId="2E372F6D" w14:textId="77777777" w:rsidR="00381A8C" w:rsidRPr="0065539A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  <w:r w:rsidRPr="0065539A"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Total Number of Patients (n=39)</w:t>
            </w:r>
          </w:p>
        </w:tc>
        <w:tc>
          <w:tcPr>
            <w:tcW w:w="1110" w:type="pct"/>
            <w:vMerge w:val="restart"/>
            <w:noWrap/>
            <w:vAlign w:val="center"/>
          </w:tcPr>
          <w:p w14:paraId="16233374" w14:textId="77777777" w:rsidR="00381A8C" w:rsidRPr="00B65FD2" w:rsidRDefault="00381A8C" w:rsidP="00B13A98">
            <w:pPr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1708" w:type="pct"/>
            <w:noWrap/>
            <w:vAlign w:val="center"/>
          </w:tcPr>
          <w:p w14:paraId="5F79AE39" w14:textId="77777777" w:rsidR="00381A8C" w:rsidRPr="00B65FD2" w:rsidRDefault="00381A8C" w:rsidP="00B13A98">
            <w:pPr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  <w:r w:rsidRPr="00B65FD2"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730" w:type="pct"/>
            <w:noWrap/>
            <w:vAlign w:val="center"/>
          </w:tcPr>
          <w:p w14:paraId="5A1DACAD" w14:textId="77777777" w:rsidR="00381A8C" w:rsidRPr="00B65FD2" w:rsidRDefault="00381A8C" w:rsidP="00B13A98">
            <w:pPr>
              <w:snapToGri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  <w:r w:rsidRPr="00B65FD2"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32 (82%)</w:t>
            </w:r>
          </w:p>
        </w:tc>
      </w:tr>
      <w:tr w:rsidR="00381A8C" w14:paraId="3AA2854C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3B305A56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49067167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1739664B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730" w:type="pct"/>
            <w:noWrap/>
            <w:vAlign w:val="center"/>
          </w:tcPr>
          <w:p w14:paraId="101617FA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7 (18%)</w:t>
            </w:r>
          </w:p>
        </w:tc>
      </w:tr>
      <w:tr w:rsidR="00381A8C" w14:paraId="655D2C5D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07E08649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 w:val="restart"/>
            <w:noWrap/>
            <w:vAlign w:val="center"/>
          </w:tcPr>
          <w:p w14:paraId="4B8C518C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Phenotype</w:t>
            </w:r>
          </w:p>
        </w:tc>
        <w:tc>
          <w:tcPr>
            <w:tcW w:w="1708" w:type="pct"/>
            <w:noWrap/>
            <w:vAlign w:val="center"/>
          </w:tcPr>
          <w:p w14:paraId="61213615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DMD</w:t>
            </w:r>
          </w:p>
        </w:tc>
        <w:tc>
          <w:tcPr>
            <w:tcW w:w="730" w:type="pct"/>
            <w:noWrap/>
            <w:vAlign w:val="center"/>
          </w:tcPr>
          <w:p w14:paraId="5224B5BE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27 (69%)</w:t>
            </w:r>
          </w:p>
        </w:tc>
      </w:tr>
      <w:tr w:rsidR="00381A8C" w14:paraId="26F31B29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427BCCA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226790A4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7A24B938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BMD</w:t>
            </w:r>
          </w:p>
        </w:tc>
        <w:tc>
          <w:tcPr>
            <w:tcW w:w="730" w:type="pct"/>
            <w:noWrap/>
            <w:vAlign w:val="center"/>
          </w:tcPr>
          <w:p w14:paraId="6DE28AC8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5 (13%)</w:t>
            </w:r>
          </w:p>
        </w:tc>
      </w:tr>
      <w:tr w:rsidR="00381A8C" w14:paraId="39EA259E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5765BB26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74C9970A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74B44C99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Asymptomatic </w:t>
            </w:r>
            <w:r>
              <w:rPr>
                <w:rFonts w:eastAsia="等线"/>
                <w:color w:val="000000"/>
                <w:sz w:val="21"/>
                <w:szCs w:val="21"/>
              </w:rPr>
              <w:t>Male</w:t>
            </w:r>
          </w:p>
        </w:tc>
        <w:tc>
          <w:tcPr>
            <w:tcW w:w="730" w:type="pct"/>
            <w:noWrap/>
            <w:vAlign w:val="center"/>
          </w:tcPr>
          <w:p w14:paraId="43EB6E10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(3%)</w:t>
            </w:r>
          </w:p>
        </w:tc>
      </w:tr>
      <w:tr w:rsidR="00381A8C" w14:paraId="539C56A2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66B1F503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54117364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3C84B478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Asymptomatic </w:t>
            </w:r>
            <w:r>
              <w:rPr>
                <w:rFonts w:eastAsia="等线"/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730" w:type="pct"/>
            <w:noWrap/>
            <w:vAlign w:val="center"/>
          </w:tcPr>
          <w:p w14:paraId="4A0C4413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6 (15%)</w:t>
            </w:r>
          </w:p>
        </w:tc>
      </w:tr>
      <w:tr w:rsidR="00381A8C" w14:paraId="65DC6A04" w14:textId="77777777" w:rsidTr="00B13A98">
        <w:trPr>
          <w:trHeight w:val="3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vMerge w:val="restart"/>
            <w:vAlign w:val="center"/>
          </w:tcPr>
          <w:p w14:paraId="2FB45480" w14:textId="77777777" w:rsidR="00381A8C" w:rsidRPr="0065539A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  <w:r w:rsidRPr="0065539A"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Total </w:t>
            </w: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N</w:t>
            </w:r>
            <w:r w:rsidRPr="0065539A"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umber of </w:t>
            </w: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F</w:t>
            </w:r>
            <w:r w:rsidRPr="0065539A"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amilies (n=38)</w:t>
            </w:r>
          </w:p>
        </w:tc>
        <w:tc>
          <w:tcPr>
            <w:tcW w:w="0" w:type="pct"/>
            <w:vMerge w:val="restart"/>
            <w:noWrap/>
            <w:vAlign w:val="center"/>
          </w:tcPr>
          <w:p w14:paraId="341A8F90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Family History Related to MD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0" w:type="pct"/>
            <w:noWrap/>
            <w:vAlign w:val="center"/>
          </w:tcPr>
          <w:p w14:paraId="7A0251B7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Positive</w:t>
            </w:r>
          </w:p>
        </w:tc>
        <w:tc>
          <w:tcPr>
            <w:tcW w:w="0" w:type="pct"/>
            <w:noWrap/>
            <w:vAlign w:val="center"/>
          </w:tcPr>
          <w:p w14:paraId="4605C17B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14 (37%)</w:t>
            </w:r>
          </w:p>
        </w:tc>
      </w:tr>
      <w:tr w:rsidR="00381A8C" w14:paraId="04000873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53DC0F97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3C4F0286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3E20B362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730" w:type="pct"/>
            <w:noWrap/>
            <w:vAlign w:val="center"/>
          </w:tcPr>
          <w:p w14:paraId="078E953D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11 (29%)</w:t>
            </w:r>
          </w:p>
        </w:tc>
      </w:tr>
      <w:tr w:rsidR="00381A8C" w14:paraId="19FFFD2B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1050DB9A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090562CA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2EAB8992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t>Unavailable</w:t>
            </w:r>
          </w:p>
        </w:tc>
        <w:tc>
          <w:tcPr>
            <w:tcW w:w="730" w:type="pct"/>
            <w:noWrap/>
            <w:vAlign w:val="center"/>
          </w:tcPr>
          <w:p w14:paraId="05C963A2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13 (34%)</w:t>
            </w:r>
          </w:p>
        </w:tc>
      </w:tr>
      <w:tr w:rsidR="00381A8C" w14:paraId="6EC31ABA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0CA020C2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 w:val="restart"/>
            <w:noWrap/>
            <w:vAlign w:val="center"/>
          </w:tcPr>
          <w:p w14:paraId="7615668C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 w:rsidRPr="000769AC">
              <w:rPr>
                <w:rFonts w:eastAsia="等线"/>
                <w:color w:val="000000"/>
                <w:sz w:val="21"/>
                <w:szCs w:val="21"/>
              </w:rPr>
              <w:t xml:space="preserve">SV </w:t>
            </w:r>
            <w:r>
              <w:rPr>
                <w:rFonts w:eastAsia="等线"/>
                <w:color w:val="000000"/>
                <w:sz w:val="21"/>
                <w:szCs w:val="21"/>
              </w:rPr>
              <w:t>O</w:t>
            </w:r>
            <w:r w:rsidRPr="000769AC">
              <w:rPr>
                <w:rFonts w:eastAsia="等线"/>
                <w:color w:val="000000"/>
                <w:sz w:val="21"/>
                <w:szCs w:val="21"/>
              </w:rPr>
              <w:t>rigin</w:t>
            </w:r>
          </w:p>
        </w:tc>
        <w:tc>
          <w:tcPr>
            <w:tcW w:w="1708" w:type="pct"/>
            <w:noWrap/>
            <w:vAlign w:val="center"/>
          </w:tcPr>
          <w:p w14:paraId="2E0C1247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Maternal Inheritance</w:t>
            </w:r>
          </w:p>
        </w:tc>
        <w:tc>
          <w:tcPr>
            <w:tcW w:w="730" w:type="pct"/>
            <w:noWrap/>
            <w:vAlign w:val="center"/>
          </w:tcPr>
          <w:p w14:paraId="20260CBB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25 (66%)</w:t>
            </w:r>
          </w:p>
        </w:tc>
      </w:tr>
      <w:tr w:rsidR="00381A8C" w14:paraId="79B6C1C5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4DE545A2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6FAD3FA0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646ECCEB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/>
                <w:iCs/>
                <w:color w:val="000000"/>
                <w:sz w:val="21"/>
                <w:szCs w:val="21"/>
              </w:rPr>
            </w:pPr>
            <w:r>
              <w:rPr>
                <w:rFonts w:eastAsia="等线"/>
                <w:i/>
                <w:iCs/>
                <w:color w:val="000000"/>
                <w:sz w:val="21"/>
                <w:szCs w:val="21"/>
              </w:rPr>
              <w:t>De novo</w:t>
            </w:r>
          </w:p>
        </w:tc>
        <w:tc>
          <w:tcPr>
            <w:tcW w:w="730" w:type="pct"/>
            <w:noWrap/>
            <w:vAlign w:val="center"/>
          </w:tcPr>
          <w:p w14:paraId="09B82D83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(3%)</w:t>
            </w:r>
          </w:p>
        </w:tc>
      </w:tr>
      <w:tr w:rsidR="00381A8C" w14:paraId="267F0D3B" w14:textId="77777777" w:rsidTr="00B13A98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1" w:type="pct"/>
            <w:vMerge/>
            <w:vAlign w:val="center"/>
          </w:tcPr>
          <w:p w14:paraId="733491D5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10" w:type="pct"/>
            <w:vMerge/>
            <w:noWrap/>
            <w:vAlign w:val="center"/>
          </w:tcPr>
          <w:p w14:paraId="42CB8E8A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08" w:type="pct"/>
            <w:noWrap/>
            <w:vAlign w:val="center"/>
          </w:tcPr>
          <w:p w14:paraId="16282F35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t>Unavailable</w:t>
            </w:r>
          </w:p>
        </w:tc>
        <w:tc>
          <w:tcPr>
            <w:tcW w:w="730" w:type="pct"/>
            <w:noWrap/>
            <w:vAlign w:val="center"/>
          </w:tcPr>
          <w:p w14:paraId="1EA7CD63" w14:textId="77777777" w:rsidR="00381A8C" w:rsidRDefault="00381A8C" w:rsidP="00B13A98">
            <w:pPr>
              <w:snapToGri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</w:rPr>
              <w:t>1</w:t>
            </w:r>
            <w:r>
              <w:rPr>
                <w:rFonts w:eastAsia="等线"/>
                <w:color w:val="000000"/>
                <w:sz w:val="21"/>
                <w:szCs w:val="21"/>
              </w:rPr>
              <w:t>2 (32%)</w:t>
            </w:r>
          </w:p>
        </w:tc>
      </w:tr>
    </w:tbl>
    <w:p w14:paraId="732B6819" w14:textId="77777777" w:rsidR="00381A8C" w:rsidRDefault="00381A8C" w:rsidP="00381A8C">
      <w:pPr>
        <w:pStyle w:val="a4"/>
        <w:snapToGrid w:val="0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0769AC">
        <w:rPr>
          <w:rFonts w:ascii="Times New Roman" w:hAnsi="Times New Roman" w:cs="Times New Roman"/>
          <w:sz w:val="21"/>
          <w:szCs w:val="21"/>
        </w:rPr>
        <w:t>Family history</w:t>
      </w:r>
      <w:r>
        <w:rPr>
          <w:rFonts w:ascii="Times New Roman" w:hAnsi="Times New Roman" w:cs="Times New Roman"/>
          <w:sz w:val="21"/>
          <w:szCs w:val="21"/>
        </w:rPr>
        <w:t xml:space="preserve"> specifically refers to muscular dystrophy (MD) related phenotypes, such as calf pseudohypertrophy, muscle weakness and atrophy, compromised or lost ambulation, and myocarditis.</w:t>
      </w:r>
    </w:p>
    <w:p w14:paraId="7832FF94" w14:textId="450E676F" w:rsidR="00381A8C" w:rsidRDefault="00381A8C">
      <w:pPr>
        <w:widowControl/>
        <w:jc w:val="left"/>
      </w:pPr>
      <w:r>
        <w:br w:type="page"/>
      </w:r>
    </w:p>
    <w:p w14:paraId="48B23F5B" w14:textId="5B4E8B15" w:rsidR="00381A8C" w:rsidRDefault="00B57EFE" w:rsidP="00381A8C">
      <w:pPr>
        <w:pStyle w:val="a4"/>
        <w:snapToGrid w:val="0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>Supplementary Table 3</w:t>
      </w:r>
      <w:r w:rsidR="00381A8C" w:rsidRPr="00381A8C">
        <w:rPr>
          <w:rFonts w:ascii="Times New Roman" w:hAnsi="Times New Roman" w:cs="Times New Roman"/>
          <w:sz w:val="21"/>
          <w:szCs w:val="21"/>
        </w:rPr>
        <w:t>.</w:t>
      </w:r>
      <w:r w:rsidR="00381A8C">
        <w:rPr>
          <w:rFonts w:ascii="Times New Roman" w:hAnsi="Times New Roman" w:cs="Times New Roman"/>
          <w:sz w:val="21"/>
          <w:szCs w:val="21"/>
        </w:rPr>
        <w:t xml:space="preserve"> Summary of SV statistics</w:t>
      </w:r>
    </w:p>
    <w:tbl>
      <w:tblPr>
        <w:tblStyle w:val="a6"/>
        <w:tblW w:w="456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1890"/>
        <w:gridCol w:w="2016"/>
        <w:gridCol w:w="1004"/>
      </w:tblGrid>
      <w:tr w:rsidR="00381A8C" w14:paraId="5800010A" w14:textId="77777777" w:rsidTr="00B13A98">
        <w:trPr>
          <w:trHeight w:val="320"/>
        </w:trPr>
        <w:tc>
          <w:tcPr>
            <w:tcW w:w="1725" w:type="pct"/>
            <w:vMerge w:val="restart"/>
            <w:vAlign w:val="center"/>
          </w:tcPr>
          <w:p w14:paraId="7935746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Total number of duplications</w:t>
            </w:r>
          </w:p>
          <w:p w14:paraId="12C068C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(n=38)</w:t>
            </w:r>
          </w:p>
        </w:tc>
        <w:tc>
          <w:tcPr>
            <w:tcW w:w="1198" w:type="pct"/>
            <w:vMerge w:val="restart"/>
            <w:noWrap/>
            <w:vAlign w:val="center"/>
          </w:tcPr>
          <w:p w14:paraId="7A80FC80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breakpoints number</w:t>
            </w:r>
          </w:p>
        </w:tc>
        <w:tc>
          <w:tcPr>
            <w:tcW w:w="1439" w:type="pct"/>
            <w:noWrap/>
            <w:vAlign w:val="center"/>
          </w:tcPr>
          <w:p w14:paraId="4163A2A7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639" w:type="pct"/>
            <w:noWrap/>
            <w:vAlign w:val="center"/>
          </w:tcPr>
          <w:p w14:paraId="2663A6BA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22 (58%)</w:t>
            </w:r>
          </w:p>
        </w:tc>
      </w:tr>
      <w:tr w:rsidR="00381A8C" w14:paraId="033DB62C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1334C3D0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6A48BA9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032BC76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</w:t>
            </w:r>
          </w:p>
        </w:tc>
        <w:tc>
          <w:tcPr>
            <w:tcW w:w="639" w:type="pct"/>
            <w:noWrap/>
            <w:vAlign w:val="center"/>
          </w:tcPr>
          <w:p w14:paraId="418E180E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12 (32%)</w:t>
            </w:r>
          </w:p>
        </w:tc>
      </w:tr>
      <w:tr w:rsidR="00381A8C" w14:paraId="0C941EFE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71825B5F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30F83DD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3E69CC28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&gt;4</w:t>
            </w:r>
          </w:p>
        </w:tc>
        <w:tc>
          <w:tcPr>
            <w:tcW w:w="639" w:type="pct"/>
            <w:noWrap/>
            <w:vAlign w:val="center"/>
          </w:tcPr>
          <w:p w14:paraId="7BC9ECF3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 (11%)</w:t>
            </w:r>
          </w:p>
        </w:tc>
      </w:tr>
      <w:tr w:rsidR="00381A8C" w14:paraId="700E9D99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29759B5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 w:val="restart"/>
            <w:noWrap/>
            <w:vAlign w:val="center"/>
          </w:tcPr>
          <w:p w14:paraId="1FD61541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Pattern</w:t>
            </w:r>
          </w:p>
        </w:tc>
        <w:tc>
          <w:tcPr>
            <w:tcW w:w="1439" w:type="pct"/>
            <w:noWrap/>
            <w:vAlign w:val="center"/>
          </w:tcPr>
          <w:p w14:paraId="72FA299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Tandem-Dup</w:t>
            </w:r>
          </w:p>
        </w:tc>
        <w:tc>
          <w:tcPr>
            <w:tcW w:w="639" w:type="pct"/>
            <w:noWrap/>
            <w:vAlign w:val="center"/>
          </w:tcPr>
          <w:p w14:paraId="021B656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22 (58%)</w:t>
            </w:r>
          </w:p>
        </w:tc>
      </w:tr>
      <w:tr w:rsidR="00381A8C" w14:paraId="25D9C47E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7BC0EDB8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336C956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67AD0129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Dup-Nor-Dup</w:t>
            </w:r>
          </w:p>
        </w:tc>
        <w:tc>
          <w:tcPr>
            <w:tcW w:w="639" w:type="pct"/>
            <w:noWrap/>
            <w:vAlign w:val="center"/>
          </w:tcPr>
          <w:p w14:paraId="7312732F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6 (16%)</w:t>
            </w:r>
          </w:p>
        </w:tc>
      </w:tr>
      <w:tr w:rsidR="00381A8C" w14:paraId="4ED28552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2E53D756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6178D59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73A79391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Dup-Inv-Dup</w:t>
            </w:r>
          </w:p>
        </w:tc>
        <w:tc>
          <w:tcPr>
            <w:tcW w:w="639" w:type="pct"/>
            <w:noWrap/>
            <w:vAlign w:val="center"/>
          </w:tcPr>
          <w:p w14:paraId="7ED50FF7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6 (16%)</w:t>
            </w:r>
          </w:p>
        </w:tc>
      </w:tr>
      <w:tr w:rsidR="00381A8C" w14:paraId="1ADD6D9B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7D5167B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3705AC68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6FB3D73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Intricate-Dup</w:t>
            </w:r>
          </w:p>
        </w:tc>
        <w:tc>
          <w:tcPr>
            <w:tcW w:w="639" w:type="pct"/>
            <w:noWrap/>
            <w:vAlign w:val="center"/>
          </w:tcPr>
          <w:p w14:paraId="6155279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 (11%)</w:t>
            </w:r>
          </w:p>
        </w:tc>
      </w:tr>
      <w:tr w:rsidR="00381A8C" w14:paraId="200D5D2E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3BC2964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 w:val="restart"/>
            <w:noWrap/>
            <w:vAlign w:val="center"/>
          </w:tcPr>
          <w:p w14:paraId="330CA3E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Range</w:t>
            </w:r>
          </w:p>
        </w:tc>
        <w:tc>
          <w:tcPr>
            <w:tcW w:w="1439" w:type="pct"/>
            <w:noWrap/>
            <w:vAlign w:val="center"/>
          </w:tcPr>
          <w:p w14:paraId="06F96510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﻿</w:t>
            </w:r>
            <w:r>
              <w:rPr>
                <w:rFonts w:eastAsia="等线"/>
                <w:color w:val="000000"/>
                <w:sz w:val="21"/>
                <w:szCs w:val="21"/>
              </w:rPr>
              <w:t>Intragenic</w:t>
            </w:r>
          </w:p>
        </w:tc>
        <w:tc>
          <w:tcPr>
            <w:tcW w:w="639" w:type="pct"/>
            <w:noWrap/>
            <w:vAlign w:val="center"/>
          </w:tcPr>
          <w:p w14:paraId="28A6BF80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29 (76%)</w:t>
            </w:r>
          </w:p>
        </w:tc>
      </w:tr>
      <w:tr w:rsidR="00381A8C" w14:paraId="7D3ED33A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3BBC72B8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4789E1D9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0FAA15F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ascii="Calibri" w:eastAsia="等线" w:hAnsi="Calibri" w:cs="Calibri"/>
                <w:color w:val="000000"/>
                <w:sz w:val="21"/>
                <w:szCs w:val="21"/>
              </w:rPr>
              <w:t>﻿</w:t>
            </w:r>
            <w:r>
              <w:rPr>
                <w:rFonts w:eastAsia="等线"/>
                <w:color w:val="000000"/>
                <w:sz w:val="21"/>
                <w:szCs w:val="21"/>
              </w:rPr>
              <w:t>Extragenic</w:t>
            </w:r>
          </w:p>
        </w:tc>
        <w:tc>
          <w:tcPr>
            <w:tcW w:w="639" w:type="pct"/>
            <w:noWrap/>
            <w:vAlign w:val="center"/>
          </w:tcPr>
          <w:p w14:paraId="0B19F0F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9 (24%)</w:t>
            </w:r>
          </w:p>
        </w:tc>
      </w:tr>
      <w:tr w:rsidR="00381A8C" w14:paraId="290D9A40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6E3A568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 w:val="restart"/>
            <w:noWrap/>
            <w:vAlign w:val="center"/>
          </w:tcPr>
          <w:p w14:paraId="4F172A13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B27014">
              <w:rPr>
                <w:rFonts w:eastAsia="等线"/>
                <w:color w:val="000000"/>
                <w:sz w:val="21"/>
                <w:szCs w:val="21"/>
              </w:rPr>
              <w:t>Duplication length</w:t>
            </w:r>
            <w:r w:rsidRPr="00B27014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439" w:type="pct"/>
            <w:noWrap/>
            <w:vAlign w:val="center"/>
          </w:tcPr>
          <w:p w14:paraId="46B6066D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&lt;100K</w:t>
            </w:r>
          </w:p>
        </w:tc>
        <w:tc>
          <w:tcPr>
            <w:tcW w:w="639" w:type="pct"/>
            <w:noWrap/>
            <w:vAlign w:val="center"/>
          </w:tcPr>
          <w:p w14:paraId="5021502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9 (24%)</w:t>
            </w:r>
          </w:p>
        </w:tc>
      </w:tr>
      <w:tr w:rsidR="00381A8C" w14:paraId="4CDD0C96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09E3632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73601AE5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48F4BED3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100K-500K</w:t>
            </w:r>
          </w:p>
        </w:tc>
        <w:tc>
          <w:tcPr>
            <w:tcW w:w="639" w:type="pct"/>
            <w:noWrap/>
            <w:vAlign w:val="center"/>
          </w:tcPr>
          <w:p w14:paraId="70497366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19 (50%)</w:t>
            </w:r>
          </w:p>
        </w:tc>
      </w:tr>
      <w:tr w:rsidR="00381A8C" w14:paraId="5E7F5A6D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5738AC22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343085CB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448996BC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500K-1M</w:t>
            </w:r>
          </w:p>
        </w:tc>
        <w:tc>
          <w:tcPr>
            <w:tcW w:w="639" w:type="pct"/>
            <w:noWrap/>
            <w:vAlign w:val="center"/>
          </w:tcPr>
          <w:p w14:paraId="6D6889E7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8 (21%)</w:t>
            </w:r>
          </w:p>
        </w:tc>
      </w:tr>
      <w:tr w:rsidR="00381A8C" w14:paraId="5C7202ED" w14:textId="77777777" w:rsidTr="00B13A98">
        <w:trPr>
          <w:trHeight w:val="320"/>
        </w:trPr>
        <w:tc>
          <w:tcPr>
            <w:tcW w:w="1725" w:type="pct"/>
            <w:vMerge/>
            <w:vAlign w:val="center"/>
          </w:tcPr>
          <w:p w14:paraId="56BCFD02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98" w:type="pct"/>
            <w:vMerge/>
            <w:noWrap/>
            <w:vAlign w:val="center"/>
          </w:tcPr>
          <w:p w14:paraId="2B4327C5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439" w:type="pct"/>
            <w:noWrap/>
            <w:vAlign w:val="center"/>
          </w:tcPr>
          <w:p w14:paraId="4A597593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Unknown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39" w:type="pct"/>
            <w:noWrap/>
            <w:vAlign w:val="center"/>
          </w:tcPr>
          <w:p w14:paraId="65006D67" w14:textId="77777777" w:rsidR="00381A8C" w:rsidRDefault="00381A8C" w:rsidP="00B13A98">
            <w:pPr>
              <w:snapToGrid w:val="0"/>
              <w:spacing w:line="36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 (5%)</w:t>
            </w:r>
          </w:p>
        </w:tc>
      </w:tr>
    </w:tbl>
    <w:p w14:paraId="1CE71744" w14:textId="77777777" w:rsidR="00381A8C" w:rsidRDefault="00381A8C" w:rsidP="00381A8C">
      <w:pPr>
        <w:pStyle w:val="a4"/>
        <w:snapToGrid w:val="0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t xml:space="preserve">1 </w:t>
      </w:r>
      <w:r w:rsidRPr="00B028FA">
        <w:rPr>
          <w:rFonts w:ascii="Times New Roman" w:hAnsi="Times New Roman" w:cs="Times New Roman"/>
          <w:sz w:val="21"/>
          <w:szCs w:val="21"/>
        </w:rPr>
        <w:t>Duplication length re</w:t>
      </w:r>
      <w:r>
        <w:rPr>
          <w:rFonts w:ascii="Times New Roman" w:hAnsi="Times New Roman" w:cs="Times New Roman"/>
          <w:sz w:val="21"/>
          <w:szCs w:val="21"/>
        </w:rPr>
        <w:t>fer</w:t>
      </w:r>
      <w:r w:rsidRPr="00B028FA">
        <w:rPr>
          <w:rFonts w:ascii="Times New Roman" w:hAnsi="Times New Roman" w:cs="Times New Roman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to</w:t>
      </w:r>
      <w:r w:rsidRPr="00B028FA">
        <w:rPr>
          <w:rFonts w:ascii="Times New Roman" w:hAnsi="Times New Roman" w:cs="Times New Roman"/>
          <w:sz w:val="21"/>
          <w:szCs w:val="21"/>
        </w:rPr>
        <w:t xml:space="preserve"> the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B028FA">
        <w:rPr>
          <w:rFonts w:ascii="Times New Roman" w:hAnsi="Times New Roman" w:cs="Times New Roman"/>
          <w:sz w:val="21"/>
          <w:szCs w:val="21"/>
        </w:rPr>
        <w:t xml:space="preserve">accumulated </w:t>
      </w:r>
      <w:r>
        <w:rPr>
          <w:rFonts w:ascii="Times New Roman" w:hAnsi="Times New Roman" w:cs="Times New Roman"/>
          <w:sz w:val="21"/>
          <w:szCs w:val="21"/>
        </w:rPr>
        <w:t xml:space="preserve">length </w:t>
      </w:r>
      <w:r w:rsidRPr="00B028FA">
        <w:rPr>
          <w:rFonts w:ascii="Times New Roman" w:hAnsi="Times New Roman" w:cs="Times New Roman"/>
          <w:sz w:val="21"/>
          <w:szCs w:val="21"/>
        </w:rPr>
        <w:t>of all duplicated segments in the duplication</w:t>
      </w:r>
      <w:r>
        <w:rPr>
          <w:rFonts w:ascii="Times New Roman" w:hAnsi="Times New Roman" w:cs="Times New Roman"/>
          <w:sz w:val="21"/>
          <w:szCs w:val="21"/>
        </w:rPr>
        <w:t>s</w:t>
      </w:r>
      <w:r w:rsidRPr="00B028FA">
        <w:rPr>
          <w:rFonts w:ascii="Times New Roman" w:hAnsi="Times New Roman" w:cs="Times New Roman"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>
        <w:rPr>
          <w:rFonts w:ascii="Times New Roman" w:hAnsi="Times New Roman" w:cs="Times New Roman"/>
          <w:sz w:val="21"/>
          <w:szCs w:val="21"/>
        </w:rPr>
        <w:t xml:space="preserve"> Unknown refers to two female samples (WGS22 and WGS36) with intricate duplication patterns and the corresponding duplication</w:t>
      </w:r>
      <w:r w:rsidRPr="00415BC4">
        <w:rPr>
          <w:rFonts w:ascii="Times New Roman" w:hAnsi="Times New Roman" w:cs="Times New Roman"/>
          <w:sz w:val="21"/>
          <w:szCs w:val="21"/>
        </w:rPr>
        <w:t xml:space="preserve"> structures remain unclear </w:t>
      </w:r>
      <w:r w:rsidRPr="00B27014">
        <w:rPr>
          <w:rFonts w:ascii="Times New Roman" w:hAnsi="Times New Roman" w:cs="Times New Roman"/>
          <w:sz w:val="21"/>
          <w:szCs w:val="21"/>
        </w:rPr>
        <w:t>due to the unavailability of corresponding OGM results.</w:t>
      </w:r>
    </w:p>
    <w:p w14:paraId="54A2F77F" w14:textId="37E2E49D" w:rsidR="005F6ACF" w:rsidRDefault="005F6ACF">
      <w:pPr>
        <w:widowControl/>
        <w:jc w:val="left"/>
      </w:pPr>
      <w:r>
        <w:br w:type="page"/>
      </w:r>
    </w:p>
    <w:p w14:paraId="5BDF3567" w14:textId="36D27C90" w:rsidR="005F6ACF" w:rsidRDefault="005F6ACF" w:rsidP="005F6ACF">
      <w:pPr>
        <w:pStyle w:val="a4"/>
        <w:rPr>
          <w:rFonts w:ascii="Times New Roman" w:hAnsi="Times New Roman" w:cs="Times New Roman"/>
          <w:sz w:val="21"/>
          <w:szCs w:val="21"/>
        </w:rPr>
      </w:pPr>
      <w:r w:rsidRPr="00381A8C">
        <w:rPr>
          <w:rFonts w:ascii="Times New Roman" w:hAnsi="Times New Roman" w:cs="Times New Roman"/>
          <w:sz w:val="21"/>
          <w:szCs w:val="21"/>
        </w:rPr>
        <w:lastRenderedPageBreak/>
        <w:t xml:space="preserve">Supplementary Table </w:t>
      </w:r>
      <w:r w:rsidR="00B57EFE">
        <w:rPr>
          <w:rFonts w:ascii="Times New Roman" w:hAnsi="Times New Roman" w:cs="Times New Roman"/>
          <w:sz w:val="21"/>
          <w:szCs w:val="21"/>
        </w:rPr>
        <w:t>5.</w:t>
      </w:r>
      <w:bookmarkStart w:id="0" w:name="_GoBack"/>
      <w:bookmarkEnd w:id="0"/>
      <w:r>
        <w:rPr>
          <w:rFonts w:ascii="Times New Roman" w:hAnsi="Times New Roman" w:cs="Times New Roman"/>
          <w:sz w:val="21"/>
          <w:szCs w:val="21"/>
        </w:rPr>
        <w:t xml:space="preserve"> Summary of difference of different technology</w:t>
      </w: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1989"/>
        <w:gridCol w:w="4761"/>
        <w:gridCol w:w="1550"/>
      </w:tblGrid>
      <w:tr w:rsidR="005F6ACF" w14:paraId="4B7F65C4" w14:textId="77777777" w:rsidTr="00B13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 w:val="restart"/>
            <w:tcBorders>
              <w:top w:val="single" w:sz="4" w:space="0" w:color="7F7F7F" w:themeColor="text1" w:themeTint="80"/>
            </w:tcBorders>
            <w:vAlign w:val="center"/>
          </w:tcPr>
          <w:p w14:paraId="1D1086E3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MLPA vs WGS</w:t>
            </w:r>
          </w:p>
        </w:tc>
        <w:tc>
          <w:tcPr>
            <w:tcW w:w="2868" w:type="pct"/>
            <w:tcBorders>
              <w:top w:val="single" w:sz="4" w:space="0" w:color="7F7F7F" w:themeColor="text1" w:themeTint="80"/>
            </w:tcBorders>
            <w:vAlign w:val="center"/>
          </w:tcPr>
          <w:p w14:paraId="1E137D78" w14:textId="77777777" w:rsidR="005F6ACF" w:rsidRDefault="005F6ACF" w:rsidP="00B13A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concordant</w:t>
            </w:r>
          </w:p>
        </w:tc>
        <w:tc>
          <w:tcPr>
            <w:tcW w:w="934" w:type="pct"/>
            <w:tcBorders>
              <w:top w:val="single" w:sz="4" w:space="0" w:color="7F7F7F" w:themeColor="text1" w:themeTint="80"/>
            </w:tcBorders>
            <w:vAlign w:val="center"/>
          </w:tcPr>
          <w:p w14:paraId="6CC1379D" w14:textId="77777777" w:rsidR="005F6ACF" w:rsidRDefault="005F6ACF" w:rsidP="00B13A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23 (88%)</w:t>
            </w:r>
          </w:p>
        </w:tc>
      </w:tr>
      <w:tr w:rsidR="005F6ACF" w14:paraId="5B868D4C" w14:textId="77777777" w:rsidTr="00B13A98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vAlign w:val="center"/>
          </w:tcPr>
          <w:p w14:paraId="716FE10C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vAlign w:val="center"/>
          </w:tcPr>
          <w:p w14:paraId="6C19892F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missed a non-contiguous exon</w:t>
            </w:r>
          </w:p>
        </w:tc>
        <w:tc>
          <w:tcPr>
            <w:tcW w:w="934" w:type="pct"/>
            <w:vAlign w:val="center"/>
          </w:tcPr>
          <w:p w14:paraId="2AB0CBC8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(4%)</w:t>
            </w:r>
          </w:p>
        </w:tc>
      </w:tr>
      <w:tr w:rsidR="005F6ACF" w14:paraId="61EC13B7" w14:textId="77777777" w:rsidTr="00B13A98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3E78E0D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4162B5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combined results in female carrier</w:t>
            </w:r>
          </w:p>
        </w:tc>
        <w:tc>
          <w:tcPr>
            <w:tcW w:w="9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74BFB9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(4%)</w:t>
            </w:r>
          </w:p>
        </w:tc>
      </w:tr>
      <w:tr w:rsidR="005F6ACF" w14:paraId="2A44289E" w14:textId="77777777" w:rsidTr="00B13A98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vAlign w:val="center"/>
          </w:tcPr>
          <w:p w14:paraId="38BD48D2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vAlign w:val="center"/>
          </w:tcPr>
          <w:p w14:paraId="509F64FF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missed exon with breakpoints</w:t>
            </w:r>
          </w:p>
        </w:tc>
        <w:tc>
          <w:tcPr>
            <w:tcW w:w="934" w:type="pct"/>
            <w:vAlign w:val="center"/>
          </w:tcPr>
          <w:p w14:paraId="0DF27A22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(4%)</w:t>
            </w:r>
          </w:p>
        </w:tc>
      </w:tr>
      <w:tr w:rsidR="005F6ACF" w14:paraId="48EA19E9" w14:textId="77777777" w:rsidTr="00B13A98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3D70D11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>WES vs WGS</w:t>
            </w:r>
          </w:p>
        </w:tc>
        <w:tc>
          <w:tcPr>
            <w:tcW w:w="28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C1D0C95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concordant</w:t>
            </w:r>
          </w:p>
        </w:tc>
        <w:tc>
          <w:tcPr>
            <w:tcW w:w="9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1788DF0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11 (69%)</w:t>
            </w:r>
          </w:p>
        </w:tc>
      </w:tr>
      <w:tr w:rsidR="005F6ACF" w14:paraId="3B01A9A4" w14:textId="77777777" w:rsidTr="00B13A98">
        <w:trPr>
          <w:trHeight w:val="5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vAlign w:val="center"/>
          </w:tcPr>
          <w:p w14:paraId="57F0E4CC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vAlign w:val="center"/>
          </w:tcPr>
          <w:p w14:paraId="4F864831" w14:textId="46C0D7E2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 w:rsidRPr="005F6ACF">
              <w:rPr>
                <w:rFonts w:eastAsia="等线"/>
                <w:color w:val="000000"/>
                <w:sz w:val="21"/>
                <w:szCs w:val="21"/>
              </w:rPr>
              <w:t>one-exon discrepancies at duplication boundaries</w:t>
            </w:r>
          </w:p>
        </w:tc>
        <w:tc>
          <w:tcPr>
            <w:tcW w:w="934" w:type="pct"/>
            <w:vAlign w:val="center"/>
          </w:tcPr>
          <w:p w14:paraId="6D8C50B9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 (19%)</w:t>
            </w:r>
          </w:p>
        </w:tc>
      </w:tr>
      <w:tr w:rsidR="005F6ACF" w14:paraId="475A982B" w14:textId="77777777" w:rsidTr="00B13A98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9D5C9BA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9A8B38C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missed a non-contiguous exon</w:t>
            </w:r>
          </w:p>
        </w:tc>
        <w:tc>
          <w:tcPr>
            <w:tcW w:w="9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7FCC692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(6%)</w:t>
            </w:r>
          </w:p>
        </w:tc>
      </w:tr>
      <w:tr w:rsidR="005F6ACF" w14:paraId="39D4D9D8" w14:textId="77777777" w:rsidTr="00B13A98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vAlign w:val="center"/>
          </w:tcPr>
          <w:p w14:paraId="798C8E3F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vAlign w:val="center"/>
          </w:tcPr>
          <w:p w14:paraId="203A04EB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missed exon with breakpoints</w:t>
            </w:r>
          </w:p>
        </w:tc>
        <w:tc>
          <w:tcPr>
            <w:tcW w:w="934" w:type="pct"/>
            <w:vAlign w:val="center"/>
          </w:tcPr>
          <w:p w14:paraId="6CDB72ED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(6%)</w:t>
            </w:r>
          </w:p>
        </w:tc>
      </w:tr>
      <w:tr w:rsidR="005F6ACF" w14:paraId="203ECB3C" w14:textId="77777777" w:rsidTr="00B13A98">
        <w:trPr>
          <w:trHeight w:val="1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 w:val="restart"/>
            <w:tcBorders>
              <w:top w:val="single" w:sz="4" w:space="0" w:color="7F7F7F" w:themeColor="text1" w:themeTint="80"/>
            </w:tcBorders>
            <w:vAlign w:val="center"/>
          </w:tcPr>
          <w:p w14:paraId="35B6151A" w14:textId="77777777" w:rsidR="005F6ACF" w:rsidRDefault="005F6ACF" w:rsidP="00B13A98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  <w:t xml:space="preserve">OGM vs WGS </w:t>
            </w:r>
          </w:p>
        </w:tc>
        <w:tc>
          <w:tcPr>
            <w:tcW w:w="28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55453EC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concordant</w:t>
            </w:r>
          </w:p>
        </w:tc>
        <w:tc>
          <w:tcPr>
            <w:tcW w:w="9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F245788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 (67%)</w:t>
            </w:r>
          </w:p>
        </w:tc>
      </w:tr>
      <w:tr w:rsidR="005F6ACF" w14:paraId="3CD8E5E4" w14:textId="77777777" w:rsidTr="00B13A98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vAlign w:val="center"/>
          </w:tcPr>
          <w:p w14:paraId="24077392" w14:textId="77777777" w:rsidR="005F6ACF" w:rsidRDefault="005F6ACF" w:rsidP="00B13A98">
            <w:pPr>
              <w:jc w:val="center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tcBorders>
              <w:bottom w:val="single" w:sz="4" w:space="0" w:color="000000"/>
            </w:tcBorders>
            <w:vAlign w:val="center"/>
          </w:tcPr>
          <w:p w14:paraId="4CE97969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missed small segment</w:t>
            </w:r>
          </w:p>
        </w:tc>
        <w:tc>
          <w:tcPr>
            <w:tcW w:w="934" w:type="pct"/>
            <w:tcBorders>
              <w:bottom w:val="single" w:sz="4" w:space="0" w:color="000000"/>
            </w:tcBorders>
            <w:vAlign w:val="center"/>
          </w:tcPr>
          <w:p w14:paraId="33E39506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(17%)</w:t>
            </w:r>
          </w:p>
        </w:tc>
      </w:tr>
      <w:tr w:rsidR="005F6ACF" w14:paraId="59E3B5C3" w14:textId="77777777" w:rsidTr="00B13A98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vAlign w:val="center"/>
          </w:tcPr>
          <w:p w14:paraId="67F82614" w14:textId="77777777" w:rsidR="005F6ACF" w:rsidRDefault="005F6ACF" w:rsidP="00B13A98">
            <w:pPr>
              <w:jc w:val="center"/>
              <w:rPr>
                <w:rFonts w:eastAsia="等线"/>
                <w:b w:val="0"/>
                <w:bCs w:val="0"/>
                <w:color w:val="000000"/>
                <w:sz w:val="21"/>
                <w:szCs w:val="21"/>
              </w:rPr>
            </w:pPr>
          </w:p>
        </w:tc>
        <w:tc>
          <w:tcPr>
            <w:tcW w:w="2868" w:type="pct"/>
            <w:vAlign w:val="center"/>
          </w:tcPr>
          <w:p w14:paraId="35D9CDB2" w14:textId="275B4A6F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 w:rsidRPr="005F6ACF">
              <w:rPr>
                <w:rFonts w:eastAsia="等线"/>
                <w:color w:val="000000"/>
                <w:sz w:val="21"/>
                <w:szCs w:val="21"/>
              </w:rPr>
              <w:t>discrepancies at duplication boundaries</w:t>
            </w:r>
          </w:p>
        </w:tc>
        <w:tc>
          <w:tcPr>
            <w:tcW w:w="934" w:type="pct"/>
            <w:vAlign w:val="center"/>
          </w:tcPr>
          <w:p w14:paraId="7FB4E5E0" w14:textId="77777777" w:rsidR="005F6ACF" w:rsidRDefault="005F6ACF" w:rsidP="00B13A9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 (17%)</w:t>
            </w:r>
          </w:p>
        </w:tc>
      </w:tr>
    </w:tbl>
    <w:p w14:paraId="16692C8F" w14:textId="77777777" w:rsidR="00C05FE0" w:rsidRDefault="00C05FE0"/>
    <w:p w14:paraId="70533445" w14:textId="77777777" w:rsidR="002E0FEA" w:rsidRDefault="002E0FEA"/>
    <w:p w14:paraId="430929F6" w14:textId="77777777" w:rsidR="002E0FEA" w:rsidRDefault="002E0FEA"/>
    <w:p w14:paraId="519B959D" w14:textId="77777777" w:rsidR="002E0FEA" w:rsidRDefault="002E0FEA"/>
    <w:p w14:paraId="58C77A4E" w14:textId="77777777" w:rsidR="002E0FEA" w:rsidRDefault="002E0FEA"/>
    <w:p w14:paraId="77ABED1B" w14:textId="77777777" w:rsidR="002E0FEA" w:rsidRDefault="002E0FEA"/>
    <w:p w14:paraId="19B41ECB" w14:textId="77777777" w:rsidR="002E0FEA" w:rsidRDefault="002E0FEA"/>
    <w:p w14:paraId="2E0E207F" w14:textId="77777777" w:rsidR="002E0FEA" w:rsidRDefault="002E0FEA"/>
    <w:p w14:paraId="6F017E4D" w14:textId="77777777" w:rsidR="002E0FEA" w:rsidRDefault="002E0FEA"/>
    <w:p w14:paraId="27574BD5" w14:textId="77777777" w:rsidR="002E0FEA" w:rsidRDefault="002E0FEA"/>
    <w:p w14:paraId="5B04E798" w14:textId="77777777" w:rsidR="002E0FEA" w:rsidRDefault="002E0FEA"/>
    <w:p w14:paraId="66359B6B" w14:textId="77777777" w:rsidR="002E0FEA" w:rsidRDefault="002E0FEA"/>
    <w:p w14:paraId="3198329C" w14:textId="77777777" w:rsidR="002E0FEA" w:rsidRDefault="002E0FEA"/>
    <w:p w14:paraId="36DA633D" w14:textId="77777777" w:rsidR="002E0FEA" w:rsidRDefault="002E0FEA"/>
    <w:p w14:paraId="5D922696" w14:textId="77777777" w:rsidR="002E0FEA" w:rsidRPr="00381A8C" w:rsidRDefault="002E0FEA">
      <w:pPr>
        <w:rPr>
          <w:rFonts w:hint="eastAsia"/>
        </w:rPr>
      </w:pPr>
    </w:p>
    <w:sectPr w:rsidR="002E0FEA" w:rsidRPr="00381A8C" w:rsidSect="000E29E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44634" w14:textId="77777777" w:rsidR="008C4A0F" w:rsidRDefault="008C4A0F" w:rsidP="002E0FEA">
      <w:r>
        <w:separator/>
      </w:r>
    </w:p>
  </w:endnote>
  <w:endnote w:type="continuationSeparator" w:id="0">
    <w:p w14:paraId="0F315F7C" w14:textId="77777777" w:rsidR="008C4A0F" w:rsidRDefault="008C4A0F" w:rsidP="002E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Italic">
    <w:altName w:val="Times New Roman"/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D60287" w14:textId="77777777" w:rsidR="008C4A0F" w:rsidRDefault="008C4A0F" w:rsidP="002E0FEA">
      <w:r>
        <w:separator/>
      </w:r>
    </w:p>
  </w:footnote>
  <w:footnote w:type="continuationSeparator" w:id="0">
    <w:p w14:paraId="3F22099A" w14:textId="77777777" w:rsidR="008C4A0F" w:rsidRDefault="008C4A0F" w:rsidP="002E0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745"/>
    <w:rsid w:val="00006D6F"/>
    <w:rsid w:val="000469EF"/>
    <w:rsid w:val="000628DC"/>
    <w:rsid w:val="000C37DB"/>
    <w:rsid w:val="000E29EC"/>
    <w:rsid w:val="000E307D"/>
    <w:rsid w:val="000F36DD"/>
    <w:rsid w:val="00132910"/>
    <w:rsid w:val="001B031F"/>
    <w:rsid w:val="001D15AA"/>
    <w:rsid w:val="001E7E71"/>
    <w:rsid w:val="00272421"/>
    <w:rsid w:val="00293564"/>
    <w:rsid w:val="00293A96"/>
    <w:rsid w:val="00296637"/>
    <w:rsid w:val="002B3541"/>
    <w:rsid w:val="002E0FEA"/>
    <w:rsid w:val="003017F0"/>
    <w:rsid w:val="003414B7"/>
    <w:rsid w:val="00381A8C"/>
    <w:rsid w:val="003B4C23"/>
    <w:rsid w:val="003E4EC2"/>
    <w:rsid w:val="00401494"/>
    <w:rsid w:val="00476B75"/>
    <w:rsid w:val="00490E32"/>
    <w:rsid w:val="00512BA7"/>
    <w:rsid w:val="00555EFF"/>
    <w:rsid w:val="0056701C"/>
    <w:rsid w:val="00571661"/>
    <w:rsid w:val="005B1FC9"/>
    <w:rsid w:val="005F0B00"/>
    <w:rsid w:val="005F69DD"/>
    <w:rsid w:val="005F6ACF"/>
    <w:rsid w:val="00600BA8"/>
    <w:rsid w:val="00610780"/>
    <w:rsid w:val="00635C43"/>
    <w:rsid w:val="006471FB"/>
    <w:rsid w:val="006B0CAB"/>
    <w:rsid w:val="006F30E9"/>
    <w:rsid w:val="007052BD"/>
    <w:rsid w:val="00713957"/>
    <w:rsid w:val="00720B0C"/>
    <w:rsid w:val="00727386"/>
    <w:rsid w:val="00771248"/>
    <w:rsid w:val="007C7444"/>
    <w:rsid w:val="00833F15"/>
    <w:rsid w:val="00867920"/>
    <w:rsid w:val="0087055B"/>
    <w:rsid w:val="00871B04"/>
    <w:rsid w:val="00891073"/>
    <w:rsid w:val="008A51C3"/>
    <w:rsid w:val="008C1A35"/>
    <w:rsid w:val="008C4A0F"/>
    <w:rsid w:val="0091236E"/>
    <w:rsid w:val="0093155B"/>
    <w:rsid w:val="00934787"/>
    <w:rsid w:val="00934972"/>
    <w:rsid w:val="009603AF"/>
    <w:rsid w:val="00980B16"/>
    <w:rsid w:val="009D0C34"/>
    <w:rsid w:val="00AA1E5A"/>
    <w:rsid w:val="00AB670A"/>
    <w:rsid w:val="00AC3745"/>
    <w:rsid w:val="00AE3962"/>
    <w:rsid w:val="00B57EFE"/>
    <w:rsid w:val="00BB235F"/>
    <w:rsid w:val="00BD3774"/>
    <w:rsid w:val="00C0379D"/>
    <w:rsid w:val="00C05FE0"/>
    <w:rsid w:val="00C26232"/>
    <w:rsid w:val="00C50BF6"/>
    <w:rsid w:val="00C50C98"/>
    <w:rsid w:val="00CA5EFD"/>
    <w:rsid w:val="00CF6F26"/>
    <w:rsid w:val="00D87638"/>
    <w:rsid w:val="00DA12D9"/>
    <w:rsid w:val="00E47FE2"/>
    <w:rsid w:val="00E85F6A"/>
    <w:rsid w:val="00EF268C"/>
    <w:rsid w:val="00EF7A62"/>
    <w:rsid w:val="00F044EE"/>
    <w:rsid w:val="00F061B4"/>
    <w:rsid w:val="00F855CB"/>
    <w:rsid w:val="00F9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47287"/>
  <w15:chartTrackingRefBased/>
  <w15:docId w15:val="{66391EF4-C069-9642-A204-44BCDA541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381A8C"/>
    <w:pPr>
      <w:widowControl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批注文字 Char"/>
    <w:basedOn w:val="a0"/>
    <w:link w:val="a3"/>
    <w:uiPriority w:val="99"/>
    <w:qFormat/>
    <w:rsid w:val="00381A8C"/>
    <w:rPr>
      <w:rFonts w:ascii="宋体" w:eastAsia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81A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annotation reference"/>
    <w:basedOn w:val="a0"/>
    <w:uiPriority w:val="99"/>
    <w:semiHidden/>
    <w:unhideWhenUsed/>
    <w:qFormat/>
    <w:rsid w:val="00381A8C"/>
    <w:rPr>
      <w:sz w:val="21"/>
      <w:szCs w:val="21"/>
    </w:rPr>
  </w:style>
  <w:style w:type="table" w:customStyle="1" w:styleId="22">
    <w:name w:val="无格式表格 22"/>
    <w:basedOn w:val="a1"/>
    <w:uiPriority w:val="42"/>
    <w:qFormat/>
    <w:rsid w:val="00381A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6">
    <w:name w:val="Table Grid"/>
    <w:basedOn w:val="a1"/>
    <w:uiPriority w:val="39"/>
    <w:qFormat/>
    <w:rsid w:val="00381A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qFormat/>
    <w:rsid w:val="005F6AC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header"/>
    <w:basedOn w:val="a"/>
    <w:link w:val="Char0"/>
    <w:uiPriority w:val="99"/>
    <w:unhideWhenUsed/>
    <w:rsid w:val="002E0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E0FEA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E0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E0F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30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11</Pages>
  <Words>752</Words>
  <Characters>4290</Characters>
  <Application>Microsoft Office Word</Application>
  <DocSecurity>0</DocSecurity>
  <Lines>35</Lines>
  <Paragraphs>10</Paragraphs>
  <ScaleCrop>false</ScaleCrop>
  <Company/>
  <LinksUpToDate>false</LinksUpToDate>
  <CharactersWithSpaces>5032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Jin</dc:creator>
  <cp:keywords/>
  <dc:description/>
  <cp:lastModifiedBy>Microsoft 帐户</cp:lastModifiedBy>
  <cp:revision>7</cp:revision>
  <dcterms:created xsi:type="dcterms:W3CDTF">2025-02-14T07:24:00Z</dcterms:created>
  <dcterms:modified xsi:type="dcterms:W3CDTF">2025-02-28T03:34:00Z</dcterms:modified>
</cp:coreProperties>
</file>