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BB026" w14:textId="77777777" w:rsidR="007B37C8" w:rsidRPr="00AD7098" w:rsidRDefault="007B37C8" w:rsidP="007B37C8">
      <w:pPr>
        <w:pStyle w:val="Heading1"/>
        <w:spacing w:before="1"/>
        <w:ind w:left="1077"/>
        <w:jc w:val="both"/>
      </w:pPr>
      <w:r w:rsidRPr="00AD7098">
        <w:t>Appendix:</w:t>
      </w:r>
      <w:r w:rsidRPr="00AD7098">
        <w:rPr>
          <w:spacing w:val="-5"/>
        </w:rPr>
        <w:t xml:space="preserve"> </w:t>
      </w:r>
      <w:r w:rsidRPr="00AD7098">
        <w:t>Supplementary</w:t>
      </w:r>
      <w:r w:rsidRPr="00AD7098">
        <w:rPr>
          <w:spacing w:val="-15"/>
        </w:rPr>
        <w:t xml:space="preserve"> </w:t>
      </w:r>
      <w:r w:rsidRPr="00AD7098">
        <w:rPr>
          <w:spacing w:val="-2"/>
        </w:rPr>
        <w:t>Material</w:t>
      </w:r>
    </w:p>
    <w:p w14:paraId="5191634B" w14:textId="77777777" w:rsidR="007B37C8" w:rsidRPr="00AD7098" w:rsidRDefault="007B37C8" w:rsidP="007B37C8">
      <w:pPr>
        <w:pStyle w:val="BodyText"/>
        <w:spacing w:before="153" w:line="247" w:lineRule="auto"/>
        <w:ind w:left="1077" w:right="353"/>
        <w:jc w:val="both"/>
        <w:rPr>
          <w:sz w:val="24"/>
          <w:szCs w:val="24"/>
        </w:rPr>
      </w:pPr>
      <w:r w:rsidRPr="00AD7098">
        <w:rPr>
          <w:spacing w:val="-2"/>
          <w:sz w:val="24"/>
          <w:szCs w:val="24"/>
        </w:rPr>
        <w:t>For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detailed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examples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of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the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prompts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used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in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each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prompting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strategy,</w:t>
      </w:r>
      <w:r w:rsidRPr="00AD7098">
        <w:rPr>
          <w:spacing w:val="-9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and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representative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code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generated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by</w:t>
      </w:r>
      <w:r w:rsidRPr="00AD7098">
        <w:rPr>
          <w:spacing w:val="-10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 xml:space="preserve">the </w:t>
      </w:r>
      <w:r w:rsidRPr="00AD7098">
        <w:rPr>
          <w:sz w:val="24"/>
          <w:szCs w:val="24"/>
        </w:rPr>
        <w:t>large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language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model,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please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refer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to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the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separate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PDF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files,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rFonts w:ascii="Georgia"/>
          <w:sz w:val="24"/>
          <w:szCs w:val="24"/>
        </w:rPr>
        <w:t>Appendix_en_A.pdf,</w:t>
      </w:r>
      <w:r w:rsidRPr="00AD7098">
        <w:rPr>
          <w:rFonts w:ascii="Georgia"/>
          <w:spacing w:val="40"/>
          <w:sz w:val="24"/>
          <w:szCs w:val="24"/>
        </w:rPr>
        <w:t xml:space="preserve"> </w:t>
      </w:r>
      <w:r w:rsidRPr="00AD7098">
        <w:rPr>
          <w:rFonts w:ascii="Georgia"/>
          <w:sz w:val="24"/>
          <w:szCs w:val="24"/>
        </w:rPr>
        <w:t>Appendix_en_B.pdf</w:t>
      </w:r>
      <w:r w:rsidRPr="00AD7098">
        <w:rPr>
          <w:sz w:val="24"/>
          <w:szCs w:val="24"/>
        </w:rPr>
        <w:t>, submitted</w:t>
      </w:r>
      <w:r w:rsidRPr="00AD7098">
        <w:rPr>
          <w:spacing w:val="21"/>
          <w:sz w:val="24"/>
          <w:szCs w:val="24"/>
        </w:rPr>
        <w:t xml:space="preserve"> </w:t>
      </w:r>
      <w:r w:rsidRPr="00AD7098">
        <w:rPr>
          <w:sz w:val="24"/>
          <w:szCs w:val="24"/>
        </w:rPr>
        <w:t>as</w:t>
      </w:r>
      <w:r w:rsidRPr="00AD7098">
        <w:rPr>
          <w:spacing w:val="22"/>
          <w:sz w:val="24"/>
          <w:szCs w:val="24"/>
        </w:rPr>
        <w:t xml:space="preserve"> </w:t>
      </w:r>
      <w:r w:rsidRPr="00AD7098">
        <w:rPr>
          <w:sz w:val="24"/>
          <w:szCs w:val="24"/>
        </w:rPr>
        <w:t>supplementary</w:t>
      </w:r>
      <w:r w:rsidRPr="00AD7098">
        <w:rPr>
          <w:spacing w:val="21"/>
          <w:sz w:val="24"/>
          <w:szCs w:val="24"/>
        </w:rPr>
        <w:t xml:space="preserve"> </w:t>
      </w:r>
      <w:r w:rsidRPr="00AD7098">
        <w:rPr>
          <w:sz w:val="24"/>
          <w:szCs w:val="24"/>
        </w:rPr>
        <w:t>material</w:t>
      </w:r>
      <w:r w:rsidRPr="00AD7098">
        <w:rPr>
          <w:spacing w:val="22"/>
          <w:sz w:val="24"/>
          <w:szCs w:val="24"/>
        </w:rPr>
        <w:t xml:space="preserve"> </w:t>
      </w:r>
      <w:r w:rsidRPr="00AD7098">
        <w:rPr>
          <w:sz w:val="24"/>
          <w:szCs w:val="24"/>
        </w:rPr>
        <w:t>alongside</w:t>
      </w:r>
      <w:r w:rsidRPr="00AD7098">
        <w:rPr>
          <w:spacing w:val="22"/>
          <w:sz w:val="24"/>
          <w:szCs w:val="24"/>
        </w:rPr>
        <w:t xml:space="preserve"> </w:t>
      </w:r>
      <w:r w:rsidRPr="00AD7098">
        <w:rPr>
          <w:sz w:val="24"/>
          <w:szCs w:val="24"/>
        </w:rPr>
        <w:t>this</w:t>
      </w:r>
      <w:r w:rsidRPr="00AD7098">
        <w:rPr>
          <w:spacing w:val="22"/>
          <w:sz w:val="24"/>
          <w:szCs w:val="24"/>
        </w:rPr>
        <w:t xml:space="preserve"> </w:t>
      </w:r>
      <w:r w:rsidRPr="00AD7098">
        <w:rPr>
          <w:sz w:val="24"/>
          <w:szCs w:val="24"/>
        </w:rPr>
        <w:t>paper</w:t>
      </w:r>
      <w:r w:rsidRPr="00AD7098">
        <w:rPr>
          <w:spacing w:val="22"/>
          <w:sz w:val="24"/>
          <w:szCs w:val="24"/>
        </w:rPr>
        <w:t xml:space="preserve"> </w:t>
      </w:r>
      <w:r w:rsidRPr="00AD7098">
        <w:rPr>
          <w:sz w:val="24"/>
          <w:szCs w:val="24"/>
        </w:rPr>
        <w:t>to</w:t>
      </w:r>
      <w:r w:rsidRPr="00AD7098">
        <w:rPr>
          <w:spacing w:val="22"/>
          <w:sz w:val="24"/>
          <w:szCs w:val="24"/>
        </w:rPr>
        <w:t xml:space="preserve"> </w:t>
      </w:r>
      <w:r w:rsidRPr="00AD7098">
        <w:rPr>
          <w:sz w:val="24"/>
          <w:szCs w:val="24"/>
        </w:rPr>
        <w:t>arXiv.</w:t>
      </w:r>
      <w:r w:rsidRPr="00AD7098">
        <w:rPr>
          <w:spacing w:val="73"/>
          <w:sz w:val="24"/>
          <w:szCs w:val="24"/>
        </w:rPr>
        <w:t xml:space="preserve"> </w:t>
      </w:r>
      <w:r w:rsidRPr="00AD7098">
        <w:rPr>
          <w:sz w:val="24"/>
          <w:szCs w:val="24"/>
        </w:rPr>
        <w:t>The</w:t>
      </w:r>
      <w:r w:rsidRPr="00AD7098">
        <w:rPr>
          <w:spacing w:val="20"/>
          <w:sz w:val="24"/>
          <w:szCs w:val="24"/>
        </w:rPr>
        <w:t xml:space="preserve"> </w:t>
      </w:r>
      <w:r w:rsidRPr="00AD7098">
        <w:rPr>
          <w:sz w:val="24"/>
          <w:szCs w:val="24"/>
        </w:rPr>
        <w:t>supplementary</w:t>
      </w:r>
      <w:r w:rsidRPr="00AD7098">
        <w:rPr>
          <w:spacing w:val="22"/>
          <w:sz w:val="24"/>
          <w:szCs w:val="24"/>
        </w:rPr>
        <w:t xml:space="preserve"> </w:t>
      </w:r>
      <w:r w:rsidRPr="00AD7098">
        <w:rPr>
          <w:sz w:val="24"/>
          <w:szCs w:val="24"/>
        </w:rPr>
        <w:t>PDFs</w:t>
      </w:r>
      <w:r w:rsidRPr="00AD7098">
        <w:rPr>
          <w:spacing w:val="22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document</w:t>
      </w:r>
    </w:p>
    <w:p w14:paraId="519B04A5" w14:textId="77777777" w:rsidR="007B37C8" w:rsidRDefault="007B37C8" w:rsidP="007B37C8">
      <w:pPr>
        <w:pStyle w:val="BodyText"/>
        <w:spacing w:line="213" w:lineRule="exact"/>
        <w:ind w:left="1077"/>
        <w:jc w:val="both"/>
      </w:pPr>
      <w:r w:rsidRPr="00AD7098">
        <w:rPr>
          <w:sz w:val="24"/>
          <w:szCs w:val="24"/>
        </w:rPr>
        <w:t>provides</w:t>
      </w:r>
      <w:r w:rsidRPr="00AD7098">
        <w:rPr>
          <w:spacing w:val="-8"/>
          <w:sz w:val="24"/>
          <w:szCs w:val="24"/>
        </w:rPr>
        <w:t xml:space="preserve"> </w:t>
      </w:r>
      <w:r w:rsidRPr="00AD7098">
        <w:rPr>
          <w:sz w:val="24"/>
          <w:szCs w:val="24"/>
        </w:rPr>
        <w:t>a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comprehensive</w:t>
      </w:r>
      <w:r w:rsidRPr="00AD7098">
        <w:rPr>
          <w:spacing w:val="-8"/>
          <w:sz w:val="24"/>
          <w:szCs w:val="24"/>
        </w:rPr>
        <w:t xml:space="preserve"> </w:t>
      </w:r>
      <w:r w:rsidRPr="00AD7098">
        <w:rPr>
          <w:sz w:val="24"/>
          <w:szCs w:val="24"/>
        </w:rPr>
        <w:t>listing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of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prompts</w:t>
      </w:r>
      <w:r w:rsidRPr="00AD7098">
        <w:rPr>
          <w:spacing w:val="-8"/>
          <w:sz w:val="24"/>
          <w:szCs w:val="24"/>
        </w:rPr>
        <w:t xml:space="preserve"> </w:t>
      </w:r>
      <w:r w:rsidRPr="00AD7098">
        <w:rPr>
          <w:sz w:val="24"/>
          <w:szCs w:val="24"/>
        </w:rPr>
        <w:t>and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code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examples</w:t>
      </w:r>
      <w:r w:rsidRPr="00AD7098">
        <w:rPr>
          <w:spacing w:val="-8"/>
          <w:sz w:val="24"/>
          <w:szCs w:val="24"/>
        </w:rPr>
        <w:t xml:space="preserve"> </w:t>
      </w:r>
      <w:r w:rsidRPr="00AD7098">
        <w:rPr>
          <w:sz w:val="24"/>
          <w:szCs w:val="24"/>
        </w:rPr>
        <w:t>for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enhanced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z w:val="24"/>
          <w:szCs w:val="24"/>
        </w:rPr>
        <w:t>readability</w:t>
      </w:r>
      <w:r w:rsidRPr="00AD7098">
        <w:rPr>
          <w:spacing w:val="-8"/>
          <w:sz w:val="24"/>
          <w:szCs w:val="24"/>
        </w:rPr>
        <w:t xml:space="preserve"> </w:t>
      </w:r>
      <w:r w:rsidRPr="00AD7098">
        <w:rPr>
          <w:sz w:val="24"/>
          <w:szCs w:val="24"/>
        </w:rPr>
        <w:t>and</w:t>
      </w:r>
      <w:r w:rsidRPr="00AD7098">
        <w:rPr>
          <w:spacing w:val="-7"/>
          <w:sz w:val="24"/>
          <w:szCs w:val="24"/>
        </w:rPr>
        <w:t xml:space="preserve"> </w:t>
      </w:r>
      <w:r w:rsidRPr="00AD7098">
        <w:rPr>
          <w:spacing w:val="-2"/>
          <w:sz w:val="24"/>
          <w:szCs w:val="24"/>
        </w:rPr>
        <w:t>clarity</w:t>
      </w:r>
      <w:r>
        <w:rPr>
          <w:spacing w:val="-2"/>
        </w:rPr>
        <w:t>.</w:t>
      </w:r>
    </w:p>
    <w:p w14:paraId="2C1D2603" w14:textId="77777777" w:rsidR="00DE6AE2" w:rsidRDefault="00DE6AE2"/>
    <w:sectPr w:rsidR="00DE6AE2" w:rsidSect="007B37C8">
      <w:pgSz w:w="12240" w:h="15840"/>
      <w:pgMar w:top="1380" w:right="1080" w:bottom="1020" w:left="1080" w:header="0" w:footer="82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7C8"/>
    <w:rsid w:val="00281C26"/>
    <w:rsid w:val="007B37C8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D153C"/>
  <w15:chartTrackingRefBased/>
  <w15:docId w15:val="{904ABAA8-9BC3-4364-B946-559FADA8F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3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3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37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7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7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7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7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7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7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3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37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7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7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7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7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7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7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3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7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37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3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7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7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37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7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7C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B37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7B37C8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Springer Nature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2025-03-03T12:06:00Z</dcterms:created>
  <dcterms:modified xsi:type="dcterms:W3CDTF">2025-03-03T12:07:00Z</dcterms:modified>
</cp:coreProperties>
</file>