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0660F">
        <w:rPr>
          <w:rFonts w:ascii="Times New Roman" w:hAnsi="Times New Roman" w:cs="Times New Roman"/>
          <w:sz w:val="24"/>
          <w:szCs w:val="24"/>
        </w:rPr>
        <w:t>Appendix Table 1</w:t>
      </w: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  <w:r w:rsidRPr="0090660F">
        <w:rPr>
          <w:rFonts w:ascii="Times New Roman" w:hAnsi="Times New Roman" w:cs="Times New Roman"/>
          <w:sz w:val="24"/>
          <w:szCs w:val="24"/>
        </w:rPr>
        <w:t>Cleveland Clinic Health System Risk Mitigation Measures and Testing Criteria</w:t>
      </w:r>
    </w:p>
    <w:tbl>
      <w:tblPr>
        <w:tblStyle w:val="TableGrid"/>
        <w:tblW w:w="10345" w:type="dxa"/>
        <w:tblLook w:val="04A0" w:firstRow="1" w:lastRow="0" w:firstColumn="1" w:lastColumn="0" w:noHBand="0" w:noVBand="1"/>
      </w:tblPr>
      <w:tblGrid>
        <w:gridCol w:w="1587"/>
        <w:gridCol w:w="3718"/>
        <w:gridCol w:w="5040"/>
      </w:tblGrid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Cleveland Clinic Health System Employee Risk Mitigation Measures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 xml:space="preserve">Cleveland Clinic Health System Testing </w:t>
            </w: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3/6/2020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Testing in Emergency Department available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Required to call Infection Control first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  <w:i/>
              </w:rPr>
              <w:t>Priority for testing</w:t>
            </w:r>
            <w:r w:rsidRPr="0090660F">
              <w:rPr>
                <w:rFonts w:ascii="Times New Roman" w:hAnsi="Times New Roman" w:cs="Times New Roman"/>
              </w:rPr>
              <w:t xml:space="preserve">-symptomatic; hospitalized or age &gt;=65, chronic disease, immunosuppression, 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Healthcare worker with high risk travel history or exposure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3/11/2020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Business Travel Canceled, Meetings Virtual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3/12/2020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Limit to 2 Visitors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COVID-19 HOTLINE established-all calls related to COVID-19 concerns referred to HOTLINE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</w:rPr>
              <w:t xml:space="preserve">Patients who meet criteria to be tested and are clinically appropriate to manage at home recommended to manage at home.  </w:t>
            </w: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3/13/2020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Outpatient Testing Available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Patients with symptoms of COVID-19 directed to use platform for a virtual visit, or call primary care provider to determine if testing is needed.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3/15/2020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Fitness Center Closed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3/16/2020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Self-Serve Food changed to Prepackaged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3/17/2020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Limit to 1 Visitor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Copay for Virtual Visits Waived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i/>
              </w:rPr>
            </w:pPr>
            <w:r w:rsidRPr="0090660F">
              <w:rPr>
                <w:rFonts w:ascii="Times New Roman" w:hAnsi="Times New Roman" w:cs="Times New Roman"/>
                <w:i/>
              </w:rPr>
              <w:t>Change in testing criteria to focus on high-risk patients including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patients with flu-like symptoms who have the following criteria: Age &gt; 60 years old, Age &lt; 36 months, On immunosuppressive therapy, Active cancer, End-stage renal disease on dialysis, Diabetes, Hypertension, Coronary artery disease, Heart failure with reduced ejection fraction, Lung disease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  <w:u w:val="single"/>
              </w:rPr>
              <w:t>If patient does not meet this criteria for testing, they were to be educated on quarantine and self-monitoring procedures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All COVID screening questions in primary care at this point had to be sent to EPIC COVID-HOTLINE pool for screening decision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lastRenderedPageBreak/>
              <w:t>3/18/2020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Water Fountains Shut Off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3/20/2020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Visitors Restricted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Triage nurses send COVID concerns calls to primary provider to route to HOTLINE</w:t>
            </w: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3/21/2020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PPE for symptomatic patients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3/22/2020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Temperature Screening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4/2/2020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Most Hospital Cafes Close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4/7/2020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Universal Masking Recommended</w:t>
            </w:r>
          </w:p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N95 for aerosols for all patients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4/13/2020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Rapid Testing for Operating Room/procedures</w:t>
            </w: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4/20/2020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Modified Visitation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Pre-Operative Testing for all patients</w:t>
            </w:r>
          </w:p>
        </w:tc>
      </w:tr>
      <w:tr w:rsidR="0090660F" w:rsidRPr="0090660F" w:rsidTr="00C7549B">
        <w:tc>
          <w:tcPr>
            <w:tcW w:w="1587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</w:rPr>
            </w:pPr>
            <w:r w:rsidRPr="0090660F">
              <w:rPr>
                <w:rFonts w:ascii="Times New Roman" w:hAnsi="Times New Roman" w:cs="Times New Roman"/>
                <w:b/>
              </w:rPr>
              <w:t>4/24/2020</w:t>
            </w:r>
          </w:p>
        </w:tc>
        <w:tc>
          <w:tcPr>
            <w:tcW w:w="3718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  <w:r w:rsidRPr="0090660F">
              <w:rPr>
                <w:rFonts w:ascii="Times New Roman" w:hAnsi="Times New Roman" w:cs="Times New Roman"/>
              </w:rPr>
              <w:t>Universal Masking Required for Employees</w:t>
            </w:r>
          </w:p>
        </w:tc>
        <w:tc>
          <w:tcPr>
            <w:tcW w:w="5040" w:type="dxa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</w:rPr>
            </w:pPr>
          </w:p>
        </w:tc>
      </w:tr>
    </w:tbl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  <w:r w:rsidRPr="0090660F">
        <w:rPr>
          <w:rFonts w:ascii="Times New Roman" w:hAnsi="Times New Roman" w:cs="Times New Roman"/>
          <w:sz w:val="24"/>
          <w:szCs w:val="24"/>
        </w:rPr>
        <w:t xml:space="preserve">Appendix Table 2: Characteristics of All Patients Who Tested Positive for </w:t>
      </w:r>
      <w:r w:rsidRPr="0090660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SARS-CoV-2 </w:t>
      </w:r>
      <w:r w:rsidRPr="0090660F">
        <w:rPr>
          <w:rFonts w:ascii="Times New Roman" w:hAnsi="Times New Roman" w:cs="Times New Roman"/>
          <w:sz w:val="24"/>
          <w:szCs w:val="24"/>
        </w:rPr>
        <w:t>by Healthcare Worker (HCW) status</w:t>
      </w:r>
    </w:p>
    <w:tbl>
      <w:tblPr>
        <w:tblStyle w:val="TableGrid11"/>
        <w:tblW w:w="5289" w:type="pct"/>
        <w:tblInd w:w="0" w:type="dxa"/>
        <w:tblLook w:val="04A0" w:firstRow="1" w:lastRow="0" w:firstColumn="1" w:lastColumn="0" w:noHBand="0" w:noVBand="1"/>
      </w:tblPr>
      <w:tblGrid>
        <w:gridCol w:w="4045"/>
        <w:gridCol w:w="2441"/>
        <w:gridCol w:w="2419"/>
        <w:gridCol w:w="985"/>
      </w:tblGrid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Non-HCW</w:t>
            </w:r>
          </w:p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Number(%) or Median[Interquartile Range]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HCW</w:t>
            </w:r>
          </w:p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Number(%) or Median[Interquartile Range]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p-value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N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4353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551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Calibri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Hospitalized (%)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1205 ( 27.7)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38 (  6.9)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ICU (%)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470 ( 10.8)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10 (  1.8)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Demographics: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Race (%)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Asian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36 (  0.8)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16 (  2.9)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Black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1247 ( 28.6)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150 ( 27.2)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616 ( 14.2)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49 (  8.9)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2454 ( 56.4)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336 ( 61.0)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Male (%)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2231 ( 51.3)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147 ( 26.7)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Ethnicity (%)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Hispanic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462 ( 10.6)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15 (  2.7)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Non-Hispanic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3354 ( 77.1)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506 ( 91.8)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Unknown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537 ( 12.3)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30 (  5.4)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Smoking (%)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Current Smoker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327 (  7.5)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13 (  2.4)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Former Smoker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1249 ( 28.7)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91 ( 16.5)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2161 ( 49.6)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426 ( 77.3)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Unknown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616 ( 14.2)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21 (  3.8)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Age (median [IQR])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54.45 [38.87, 69.26]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  <w:sz w:val="24"/>
                <w:szCs w:val="24"/>
              </w:rPr>
              <w:t>40.59 [30.12, 53.52]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Exposure history: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Exposed to COVID-19 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2812 ( 64.6)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386 ( 70.1)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Family member with COVID-19 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2486 ( 57.1)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316 ( 57.4)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0.918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Presenting symptoms: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Cough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2973 ( 68.3)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367 ( 66.6)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0.451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Fever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2446 ( 56.2)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232 ( 42.1)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Fatigue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2423 ( 55.7)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315 ( 57.2)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0.532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Sputum production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1800 ( 41.4)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211 ( 38.3)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0.184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Flu-like symptoms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2706 ( 62.2)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368 ( 66.8)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0.039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Shortness of breath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1972 ( 45.3)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202 ( 36.7)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Diarrhea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1621 ( 37.2)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196 ( 35.6)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0.474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Loss of appetite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2048 ( 47.0)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250 ( 45.4)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0.486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Vomiting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1152 ( 26.5)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141 ( 25.6)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0.698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Comorbidities: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Body Mass Index 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28.62 [28.62, 29.23]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28.62 [28.62, 28.62]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0.911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Chronic Obstructive Pulmonary Disease/emphysema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279 (  6.4)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4 (  0.7)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Asthma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618 ( 14.2)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67 ( 12.2)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0.217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Diabetes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930 ( 21.4)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50 (  9.1)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Hypertension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1907 ( 43.8)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105 ( 19.1)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Coronary artery disease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509 ( 11.7)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14 (  2.5)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Heart failure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410 (  9.4)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5 (  0.9)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Cancer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496 ( 11.4)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34 (  6.2)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Transplant history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32 (  0.7)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 (  0.4)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0.472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Multiple sclerosis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44 (  1.0)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 (  0.4)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0.211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Connective tissue disease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276 (  6.3)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34 (  6.2)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0.951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Inflammatory Bowel Disease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136 (  3.1)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15 (  2.7)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0.701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Immunosuppressive disease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484 ( 11.1)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21 (  3.8)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Vaccination history: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Influenza vaccine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1482 ( 34.0)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409 ( 74.2)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</w:rPr>
              <w:t>Pneumococcal polysaccharide vaccine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794 ( 18.2)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35 (  6.4)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Laboratory findings upon presentation: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Pre-testing platelets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235.00 [235.00, 235.00]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235.00 [235.00, 235.00]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 testing Aspartate Aminotransferase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24.00 [24.00, 24.00]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24.00 [24.00, 24.00]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 testing Blood Urea Nitrogen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16.00 [16.00, 16.00]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16.00 [16.00, 16.00]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0.18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 testing Chloride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100.00 [100.00, 100.00]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100.00 [100.00, 100.00]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0.025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 testing Creatinine 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0.93 [0.93, 0.93]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0.93 [0.93, 0.93]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Pre-testing hematocrit 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39.20 [39.20, 39.20]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39.20 [39.20, 39.20]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0.964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 testing Potassium 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4.00 [4.00, 4.00]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4.00 [4.00, 4.00]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0.213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Home medications: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Immunosuppressive treatment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324 (  7.4)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31 (  5.6)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0.730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Nonsteroidal Anti-inflammatory Drugs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878 ( 20.2)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92 ( 16.7)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0.061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Steroids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396 (  9.1)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63 ( 11.4)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0.090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Carvedilol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115 (  2.6)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 (  0.4)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0.002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Angiotensin converting enzyme inhibitor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388 (  8.9)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24 (  4.4)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Angiotensin receptor blocker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272 (  6.3)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19 (  3.4)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0.012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Melatonin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137 (  3.1)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6 (  1.1)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0.015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Social influencers of health: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Population Per Square Kilometer 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3.08 [2.67, 3.32]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3.08 [2.81, 3.28]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0.965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Median Income (thousands of dollars)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54.59 [39.06, 70.98]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56.59[44.46, 75.40]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Population Per Housing Unit 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2.22 [1.95, 2.50]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2.22 [1.99, 2.44]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0.443</w:t>
            </w:r>
          </w:p>
        </w:tc>
      </w:tr>
    </w:tbl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  <w:r w:rsidRPr="0090660F">
        <w:rPr>
          <w:rFonts w:ascii="Times New Roman" w:hAnsi="Times New Roman" w:cs="Times New Roman"/>
          <w:sz w:val="24"/>
          <w:szCs w:val="24"/>
        </w:rPr>
        <w:t>Appendix Table 3</w:t>
      </w: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  <w:r w:rsidRPr="0090660F">
        <w:rPr>
          <w:rFonts w:ascii="Times New Roman" w:hAnsi="Times New Roman" w:cs="Times New Roman"/>
          <w:sz w:val="24"/>
          <w:szCs w:val="24"/>
        </w:rPr>
        <w:t xml:space="preserve">Characteristics of Health Care Workers Tested for </w:t>
      </w:r>
      <w:r w:rsidRPr="0090660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SARS-CoV-2 </w:t>
      </w:r>
      <w:r w:rsidRPr="0090660F">
        <w:rPr>
          <w:rFonts w:ascii="Times New Roman" w:hAnsi="Times New Roman" w:cs="Times New Roman"/>
          <w:sz w:val="24"/>
          <w:szCs w:val="24"/>
        </w:rPr>
        <w:t>by Patient Facing Status</w:t>
      </w:r>
    </w:p>
    <w:tbl>
      <w:tblPr>
        <w:tblStyle w:val="TableGrid1"/>
        <w:tblW w:w="5391" w:type="pct"/>
        <w:tblInd w:w="0" w:type="dxa"/>
        <w:tblLook w:val="04A0" w:firstRow="1" w:lastRow="0" w:firstColumn="1" w:lastColumn="0" w:noHBand="0" w:noVBand="1"/>
      </w:tblPr>
      <w:tblGrid>
        <w:gridCol w:w="4135"/>
        <w:gridCol w:w="2528"/>
        <w:gridCol w:w="2432"/>
        <w:gridCol w:w="986"/>
      </w:tblGrid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Not Patient Facing</w:t>
            </w:r>
          </w:p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Number(%) or Median[Interquartile Range]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Patient Facing</w:t>
            </w:r>
          </w:p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Number(%) or Median[Interquartile Range]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p-value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bookmarkStart w:id="1" w:name="_Hlk45887532"/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Number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986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5159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bookmarkEnd w:id="1"/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Demographics: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Race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Asian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29 (  2.9)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177 (  3.4)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Black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183 ( 18.6)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812 ( 15.7)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47 (  4.8)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443 (  8.6)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727 ( 73.7)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3727 ( 72.2)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258 ( 26.2)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1064 ( 20.6)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Non-Hispanic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915 ( 92.8)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4662 ( 90.4)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0.018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Smoking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0.026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Current Smoker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34 (  3.4)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113 (  2.2)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Former Smoker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299 ( 30.3)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1438 ( 27.9)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653 ( 66.2)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3606 ( 69.9)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Unknown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 (  0.0)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 (  0.0)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Age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47.36 [35.16, 58.03]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38.44 [30.75, 50.58]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Exposure history: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Exposed to COVID-19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620 ( 62.9)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3804 ( 73.7)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Family member with COVID-19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257 ( 26.1)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1483 ( 28.7)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0.09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Presenting symptoms: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Cough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298 ( 30.2)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1670 ( 32.4)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0.198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Fever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159 ( 16.1)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763 ( 14.8)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0.304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Fatigue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124 ( 12.6)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513 (  9.9)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0.015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Sputum production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11 (  1.1)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34 (  0.7)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0.181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Flu-like symptoms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79 (  8.0)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344 (  6.7)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0.145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Shortness of breath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175 ( 17.7)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723 ( 14.0)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0.003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Diarrhea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109 ( 11.1)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622 ( 12.1)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0.403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Loss of appetite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32 (  3.2)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267 (  5.2)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0.012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Vomiting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83 (  8.4)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371 (  7.2)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0.2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Comorbidities: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Body Mass Index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29.99 [25.70, 35.12]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28.91 [24.79, 34.37]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0.012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Chronic Obstructive Pulmonary Disease/emphysema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41 (  4.2)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125 (  2.4)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0.003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Asthma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217 ( 22.0)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1126 ( 21.8)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0.932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Diabetes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117 ( 11.9)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311 (  6.0)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Hypertension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354 ( 35.9)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1151 ( 22.3)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Coronary artery disease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55 (  5.6)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149 (  2.9)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Heart failure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20 (  2.0)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73 (  1.4)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0.193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Cancer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158 ( 16.0)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488 (  9.5)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Transplant history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2 (  0.2)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17 (  0.3)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0.731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Multiple sclerosis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12 (  1.2)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31 (  0.6)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0.055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Connective tissue disease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40 (  4.1)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138 (  2.7)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0.023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Inflammatory Bowel Disease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25 (  2.5)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87 (  1.7)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0.09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Immunosuppressive disease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100 ( 10.1)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314 (  6.1)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Vaccination history: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Influenza vaccine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900 ( 91.3)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4377 ( 84.8)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</w:rPr>
              <w:t>Pneumococcal polysaccharide vaccine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118 ( 12.0)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333 (  6.5)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Laboratory findings upon presentation: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Pre-testing platelets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246.00 [197.00, 281.75]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248.50 [204.00, 298.00]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0.271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 testing Aspartate Aminotransferase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21.50 [16.75, 27.00]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21.00 [17.00, 28.00]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0.874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 testing Blood Urea Nitrogen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13.00 [9.50, 17.00]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12.00 [9.00, 15.00]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0.066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 testing Chloride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101.00 [99.00, 104.00]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102.00 [100.00, 104.00]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0.645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 testing Creatinine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0.81 [0.69, 0.92]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0.77 [0.66, 0.91]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0.092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Pre-testing hematocrit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39.70 [36.70, 42.60]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39.70 [36.70, 42.60]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0.89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 testing </w:t>
            </w:r>
            <w:bookmarkStart w:id="2" w:name="_Hlk44948895"/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Potassium</w:t>
            </w:r>
            <w:bookmarkEnd w:id="2"/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4.00 [3.80, 4.20]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4.00 [3.70, 4.20]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660F" w:rsidRPr="0090660F" w:rsidRDefault="0090660F" w:rsidP="0090660F">
            <w:pPr>
              <w:jc w:val="center"/>
              <w:rPr>
                <w:rFonts w:ascii="Calibri" w:hAnsi="Calibri" w:cs="Calibri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0.508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Home medications: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Immunosuppressive treatment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49 (  5.0)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221 (  4.3)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 w:cs="Calibri"/>
                <w:color w:val="000000"/>
              </w:rPr>
              <w:t>0.38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Nonsteroidal Anti-inflammatory Drugs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211 ( 21.4)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837 ( 16.2)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Steroids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182 ( 18.5)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787 ( 15.3)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0.013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Carvedilol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11 (  1.1)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29 (  0.6)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0.078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Angiotensin Converting Enzyme inhibitor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79 (  8.0)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250 (  4.8)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Angiotensin Receptor Blocker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48 (  4.9)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180 (  3.5)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0.045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Melatonin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15 (  1.5)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37 (  0.7)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0.019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color w:val="000000"/>
              </w:rPr>
              <w:t>Social influencers of health: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Population Per Square Kilometer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3.06 [2.69, 3.30]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3.00 [2.64, 3.27]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&lt;0.001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Median Income (thousands of dollars)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63.63 [47.27, 82.92]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65.09 [50.58, 85.67]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0.007</w:t>
            </w:r>
          </w:p>
        </w:tc>
      </w:tr>
      <w:tr w:rsidR="0090660F" w:rsidRPr="0090660F" w:rsidTr="00C7549B"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Population Per Housing Unit 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2.23 [1.98, 2.49]</w:t>
            </w:r>
          </w:p>
        </w:tc>
        <w:tc>
          <w:tcPr>
            <w:tcW w:w="1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2.27 [2.02, 2.51]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90660F">
              <w:rPr>
                <w:rFonts w:ascii="Calibri" w:hAnsi="Calibri"/>
                <w:color w:val="000000"/>
              </w:rPr>
              <w:t>0.017</w:t>
            </w:r>
          </w:p>
        </w:tc>
      </w:tr>
    </w:tbl>
    <w:p w:rsidR="0090660F" w:rsidRPr="0090660F" w:rsidRDefault="0090660F" w:rsidP="0090660F"/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  <w:r w:rsidRPr="0090660F">
        <w:rPr>
          <w:rFonts w:ascii="Times New Roman" w:eastAsia="Times New Roman" w:hAnsi="Times New Roman" w:cs="Times New Roman"/>
          <w:color w:val="000000"/>
        </w:rPr>
        <w:t>Appendix Table 4</w:t>
      </w: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  <w:r w:rsidRPr="0090660F">
        <w:rPr>
          <w:rFonts w:ascii="Times New Roman" w:hAnsi="Times New Roman" w:cs="Times New Roman"/>
          <w:sz w:val="24"/>
          <w:szCs w:val="24"/>
        </w:rPr>
        <w:t xml:space="preserve">All tested Healthcare Workers: Overlap Propensity Score–Weighted Characteristics </w:t>
      </w:r>
      <w:r w:rsidRPr="0090660F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tbl>
      <w:tblPr>
        <w:tblStyle w:val="TableGrid"/>
        <w:tblW w:w="4471" w:type="pct"/>
        <w:tblLook w:val="04A0" w:firstRow="1" w:lastRow="0" w:firstColumn="1" w:lastColumn="0" w:noHBand="0" w:noVBand="1"/>
      </w:tblPr>
      <w:tblGrid>
        <w:gridCol w:w="4226"/>
        <w:gridCol w:w="2070"/>
        <w:gridCol w:w="2065"/>
      </w:tblGrid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" w:name="_Hlk44953446"/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Not Patient Facing</w:t>
            </w: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Patient Facing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Count</w:t>
            </w: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986</w:t>
            </w: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5159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Race </w:t>
            </w:r>
          </w:p>
        </w:tc>
        <w:bookmarkEnd w:id="3"/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Asian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3.1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3.1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Black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17.9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17.9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5.3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5.3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73.7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73.7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Gender 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24.6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24.6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center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Non-Hispanic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92.4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92.4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Smoking </w:t>
            </w:r>
          </w:p>
        </w:tc>
        <w:tc>
          <w:tcPr>
            <w:tcW w:w="1238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Current Smoker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3.2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3.2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Former Smoker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29.8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29.8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66.9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66.9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Unknown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bookmarkStart w:id="4" w:name="_Hlk45888824"/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Age 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45.44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45.44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Exposed to COVID-19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65.3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65.3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Family member with COVID-19 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24.0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24.0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Cough 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30.7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30.7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Fever 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15.7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15.7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Fatigue 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11.9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11.9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Sputum production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Flu-like symptoms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7.7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7.7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Diarrhea 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11.1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11.1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Loss of appetite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3.5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3.5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Vomiting 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8.1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8.1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Asthma 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22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22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Coronary artery disease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4.8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4.8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Transplant history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0.2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0.2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Connective tissue disease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3.7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3.7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Inflammatory Bowel Disease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2.3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2.3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Influenza vaccine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90.4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90.4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</w:rPr>
              <w:t>Pneumococcal polysaccharide vaccine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10.2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10.2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Pre-testing platelets </w:t>
            </w: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239.27</w:t>
            </w: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239.27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 testing Aspartate Aminotransferase</w:t>
            </w: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23.32</w:t>
            </w: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23.32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color w:val="000000"/>
              </w:rPr>
            </w:pPr>
            <w:bookmarkStart w:id="5" w:name="_Hlk44953367"/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 testing Chloride </w:t>
            </w: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101.05</w:t>
            </w: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101.05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 testing Creatinine </w:t>
            </w: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0.91</w:t>
            </w: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0.91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Pre-testing hematocrit </w:t>
            </w: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39.48</w:t>
            </w: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39.48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 testing Potassium </w:t>
            </w: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4.09</w:t>
            </w: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/>
                <w:color w:val="000000"/>
              </w:rPr>
              <w:t>4.09</w:t>
            </w:r>
          </w:p>
        </w:tc>
      </w:tr>
      <w:bookmarkEnd w:id="5"/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Nonsteroidal Anti-inflammatory Drugs</w:t>
            </w:r>
          </w:p>
        </w:tc>
        <w:tc>
          <w:tcPr>
            <w:tcW w:w="1238" w:type="pct"/>
            <w:noWrap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20.1</w:t>
            </w:r>
          </w:p>
        </w:tc>
        <w:tc>
          <w:tcPr>
            <w:tcW w:w="1235" w:type="pct"/>
            <w:noWrap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20.1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Steroids</w:t>
            </w:r>
          </w:p>
        </w:tc>
        <w:tc>
          <w:tcPr>
            <w:tcW w:w="1238" w:type="pct"/>
            <w:noWrap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17.7</w:t>
            </w:r>
          </w:p>
        </w:tc>
        <w:tc>
          <w:tcPr>
            <w:tcW w:w="1235" w:type="pct"/>
            <w:noWrap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17.7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Carvedilol</w:t>
            </w:r>
          </w:p>
        </w:tc>
        <w:tc>
          <w:tcPr>
            <w:tcW w:w="1238" w:type="pct"/>
            <w:noWrap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35" w:type="pct"/>
            <w:noWrap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Angiotensin Converting Enzyme inhibitor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7.1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7.1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Angiotensin Receptor Blocker</w:t>
            </w:r>
          </w:p>
        </w:tc>
        <w:tc>
          <w:tcPr>
            <w:tcW w:w="1238" w:type="pct"/>
            <w:noWrap/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4.7</w:t>
            </w:r>
          </w:p>
        </w:tc>
        <w:tc>
          <w:tcPr>
            <w:tcW w:w="1235" w:type="pct"/>
            <w:noWrap/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4.7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Melatonin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Population Per Square Kilometer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2.96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2.96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Median Income (thousands of dollars)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68.28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68.28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Body Mass Index</w:t>
            </w:r>
          </w:p>
        </w:tc>
        <w:tc>
          <w:tcPr>
            <w:tcW w:w="123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29.71</w:t>
            </w:r>
          </w:p>
        </w:tc>
        <w:tc>
          <w:tcPr>
            <w:tcW w:w="1235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29.71</w:t>
            </w:r>
          </w:p>
        </w:tc>
      </w:tr>
      <w:bookmarkEnd w:id="4"/>
      <w:tr w:rsidR="0090660F" w:rsidRPr="0090660F" w:rsidTr="00C7549B">
        <w:trPr>
          <w:trHeight w:val="320"/>
        </w:trPr>
        <w:tc>
          <w:tcPr>
            <w:tcW w:w="2527" w:type="pct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b/>
                <w:bCs/>
                <w:color w:val="000000"/>
              </w:rPr>
              <w:t>Final Result = Positive Test for</w:t>
            </w:r>
            <w:r w:rsidRPr="0090660F">
              <w:t xml:space="preserve"> </w:t>
            </w:r>
            <w:r w:rsidRPr="0090660F">
              <w:rPr>
                <w:rFonts w:ascii="Times New Roman" w:hAnsi="Times New Roman" w:cs="Times New Roman"/>
                <w:b/>
                <w:bCs/>
                <w:color w:val="000000"/>
              </w:rPr>
              <w:t>SARS-CoV-2</w:t>
            </w: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5.5</w:t>
            </w: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8.6</w:t>
            </w:r>
          </w:p>
        </w:tc>
      </w:tr>
      <w:tr w:rsidR="0090660F" w:rsidRPr="0090660F" w:rsidTr="00C7549B">
        <w:trPr>
          <w:trHeight w:val="320"/>
        </w:trPr>
        <w:tc>
          <w:tcPr>
            <w:tcW w:w="2527" w:type="pct"/>
            <w:vAlign w:val="center"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b/>
                <w:bCs/>
                <w:color w:val="000000"/>
              </w:rPr>
              <w:t>Odds Ratio (95% Confidence Interval)</w:t>
            </w:r>
          </w:p>
        </w:tc>
        <w:tc>
          <w:tcPr>
            <w:tcW w:w="123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35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1.60 (1.08, 2.39)</w:t>
            </w:r>
          </w:p>
        </w:tc>
      </w:tr>
    </w:tbl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</w:rPr>
      </w:pPr>
      <w:r w:rsidRPr="0090660F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90660F">
        <w:rPr>
          <w:rFonts w:ascii="Times New Roman" w:hAnsi="Times New Roman" w:cs="Times New Roman"/>
        </w:rPr>
        <w:t>Reported are either weighted proportions (for categorical variables) or weighted means (for numeric variables)</w:t>
      </w:r>
    </w:p>
    <w:p w:rsidR="0090660F" w:rsidRPr="0090660F" w:rsidRDefault="0090660F" w:rsidP="0090660F">
      <w:pPr>
        <w:rPr>
          <w:rFonts w:ascii="Times New Roman" w:hAnsi="Times New Roman" w:cs="Times New Roman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</w:p>
    <w:p w:rsidR="0090660F" w:rsidRPr="0090660F" w:rsidRDefault="0090660F" w:rsidP="0090660F">
      <w:pPr>
        <w:rPr>
          <w:rFonts w:ascii="Times New Roman" w:hAnsi="Times New Roman" w:cs="Times New Roman"/>
          <w:sz w:val="24"/>
          <w:szCs w:val="24"/>
        </w:rPr>
      </w:pPr>
      <w:r w:rsidRPr="0090660F">
        <w:rPr>
          <w:rFonts w:ascii="Times New Roman" w:hAnsi="Times New Roman" w:cs="Times New Roman"/>
          <w:sz w:val="24"/>
          <w:szCs w:val="24"/>
        </w:rPr>
        <w:t>Appendix Table 5</w:t>
      </w:r>
    </w:p>
    <w:p w:rsidR="0090660F" w:rsidRPr="0090660F" w:rsidRDefault="0090660F" w:rsidP="0090660F">
      <w:r w:rsidRPr="0090660F">
        <w:rPr>
          <w:rFonts w:ascii="Times New Roman" w:hAnsi="Times New Roman" w:cs="Times New Roman"/>
          <w:sz w:val="24"/>
          <w:szCs w:val="24"/>
        </w:rPr>
        <w:t>All test positive Healthcare Workers: Overlap Propensity Score–Weighted Characteristics</w:t>
      </w:r>
      <w:r w:rsidRPr="0090660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90660F">
        <w:t xml:space="preserve"> </w:t>
      </w:r>
    </w:p>
    <w:tbl>
      <w:tblPr>
        <w:tblStyle w:val="TableGrid"/>
        <w:tblW w:w="4678" w:type="pct"/>
        <w:tblLook w:val="04A0" w:firstRow="1" w:lastRow="0" w:firstColumn="1" w:lastColumn="0" w:noHBand="0" w:noVBand="1"/>
      </w:tblPr>
      <w:tblGrid>
        <w:gridCol w:w="4576"/>
        <w:gridCol w:w="2294"/>
        <w:gridCol w:w="1878"/>
      </w:tblGrid>
      <w:tr w:rsidR="0090660F" w:rsidRPr="0090660F" w:rsidTr="00C7549B">
        <w:trPr>
          <w:trHeight w:val="320"/>
        </w:trPr>
        <w:tc>
          <w:tcPr>
            <w:tcW w:w="2466" w:type="pct"/>
            <w:noWrap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6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Not Patient Facing</w:t>
            </w:r>
          </w:p>
        </w:tc>
        <w:tc>
          <w:tcPr>
            <w:tcW w:w="114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Patient Facing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Count</w:t>
            </w:r>
          </w:p>
        </w:tc>
        <w:tc>
          <w:tcPr>
            <w:tcW w:w="1386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14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497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Race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Asian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2.6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Black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46.4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46.4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5.8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5.8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45.2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45.2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Gender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23.1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23.1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Ethnicity</w:t>
            </w:r>
          </w:p>
        </w:tc>
        <w:tc>
          <w:tcPr>
            <w:tcW w:w="1386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Hispanic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2.4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Non-Hispanic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97.6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97.6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Unknown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Smoking</w:t>
            </w:r>
          </w:p>
        </w:tc>
        <w:tc>
          <w:tcPr>
            <w:tcW w:w="1386" w:type="pct"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Current Smoker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2.4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Former Smoker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22.2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22.2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72.7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72.7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center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Unknown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2.7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2.7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bookmarkStart w:id="6" w:name="_Hlk46320614"/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Age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48.75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48.75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Fever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40.6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40.6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Fatigue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61.7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61.7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Shortness of breath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40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Diarrhea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42.7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42.7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Vomiting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38.2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38.2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 xml:space="preserve">Asthma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8.5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8.5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 xml:space="preserve">Diabetes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13.2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13.2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 xml:space="preserve">Hypertension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26.9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26.9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 xml:space="preserve">Immunosuppressive treatment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8.5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8.5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 xml:space="preserve">Immunosuppressive disease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4.5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Pre-testing platelets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231.73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231.73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 testing Aspartate aminotransferase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24.53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24.53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Pre- testing Blood Urea Nitrogen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15.58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15.58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 testing Chloride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100.10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100.10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 xml:space="preserve">Pre- testing Potassium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3.99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3.99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Nonsteroidal Anti-inflammatory Medications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18.5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18.5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color w:val="000000"/>
              </w:rPr>
              <w:t>Median Income (thousands of dollars)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61.53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61.53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 xml:space="preserve">Population Per Housing Unit 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2.27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2.27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bottom"/>
            <w:hideMark/>
          </w:tcPr>
          <w:p w:rsidR="0090660F" w:rsidRPr="0090660F" w:rsidRDefault="0090660F" w:rsidP="0090660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Body Mass Index</w:t>
            </w:r>
          </w:p>
        </w:tc>
        <w:tc>
          <w:tcPr>
            <w:tcW w:w="1386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31.09</w:t>
            </w:r>
          </w:p>
        </w:tc>
        <w:tc>
          <w:tcPr>
            <w:tcW w:w="1148" w:type="pct"/>
            <w:noWrap/>
            <w:vAlign w:val="bottom"/>
            <w:hideMark/>
          </w:tcPr>
          <w:p w:rsidR="0090660F" w:rsidRPr="0090660F" w:rsidRDefault="0090660F" w:rsidP="0090660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31.09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color w:val="000000"/>
              </w:rPr>
            </w:pPr>
            <w:bookmarkStart w:id="7" w:name="_Hlk44953730"/>
            <w:bookmarkEnd w:id="6"/>
            <w:r w:rsidRPr="0090660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Final Result = Hospitalization </w:t>
            </w:r>
          </w:p>
        </w:tc>
        <w:tc>
          <w:tcPr>
            <w:tcW w:w="1386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11.4</w:t>
            </w:r>
          </w:p>
        </w:tc>
        <w:tc>
          <w:tcPr>
            <w:tcW w:w="114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10.2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center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Odds Ratio (95% Confidence Interval)</w:t>
            </w:r>
          </w:p>
        </w:tc>
        <w:tc>
          <w:tcPr>
            <w:tcW w:w="1386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4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0.88 (0.20, 3.66)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90660F">
              <w:rPr>
                <w:rFonts w:ascii="Times New Roman" w:hAnsi="Times New Roman" w:cs="Times New Roman"/>
                <w:b/>
                <w:color w:val="000000"/>
              </w:rPr>
              <w:t xml:space="preserve">Intensive Care Unit Admission </w:t>
            </w:r>
          </w:p>
        </w:tc>
        <w:tc>
          <w:tcPr>
            <w:tcW w:w="1386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5.2</w:t>
            </w:r>
          </w:p>
        </w:tc>
        <w:tc>
          <w:tcPr>
            <w:tcW w:w="114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Calibri" w:hAnsi="Calibri" w:cs="Calibri"/>
                <w:color w:val="000000"/>
              </w:rPr>
              <w:t>1.8</w:t>
            </w:r>
          </w:p>
        </w:tc>
      </w:tr>
      <w:tr w:rsidR="0090660F" w:rsidRPr="0090660F" w:rsidTr="00C7549B">
        <w:trPr>
          <w:trHeight w:val="320"/>
        </w:trPr>
        <w:tc>
          <w:tcPr>
            <w:tcW w:w="2466" w:type="pct"/>
            <w:noWrap/>
            <w:vAlign w:val="center"/>
          </w:tcPr>
          <w:p w:rsidR="0090660F" w:rsidRPr="0090660F" w:rsidRDefault="0090660F" w:rsidP="0090660F">
            <w:pPr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Odds Ratio (95% Confidence Interval)</w:t>
            </w:r>
          </w:p>
        </w:tc>
        <w:tc>
          <w:tcPr>
            <w:tcW w:w="1386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48" w:type="pct"/>
            <w:noWrap/>
            <w:vAlign w:val="bottom"/>
          </w:tcPr>
          <w:p w:rsidR="0090660F" w:rsidRPr="0090660F" w:rsidRDefault="0090660F" w:rsidP="009066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0660F">
              <w:rPr>
                <w:rFonts w:ascii="Times New Roman" w:hAnsi="Times New Roman" w:cs="Times New Roman"/>
                <w:color w:val="000000"/>
              </w:rPr>
              <w:t>0.34 (0.01,  3.97)</w:t>
            </w:r>
          </w:p>
        </w:tc>
      </w:tr>
      <w:bookmarkEnd w:id="7"/>
    </w:tbl>
    <w:p w:rsidR="0090660F" w:rsidRPr="0090660F" w:rsidRDefault="0090660F" w:rsidP="0090660F"/>
    <w:p w:rsidR="0090660F" w:rsidRPr="0090660F" w:rsidRDefault="0090660F" w:rsidP="0090660F">
      <w:pPr>
        <w:rPr>
          <w:rFonts w:ascii="Times New Roman" w:hAnsi="Times New Roman" w:cs="Times New Roman"/>
        </w:rPr>
      </w:pPr>
      <w:r w:rsidRPr="0090660F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90660F">
        <w:rPr>
          <w:rFonts w:ascii="Times New Roman" w:hAnsi="Times New Roman" w:cs="Times New Roman"/>
        </w:rPr>
        <w:t>Reported are either weighted proportions (for categorical variables) or weighted means (for numeric variables)</w:t>
      </w:r>
    </w:p>
    <w:p w:rsidR="0090660F" w:rsidRPr="0090660F" w:rsidRDefault="0090660F" w:rsidP="0090660F">
      <w:pPr>
        <w:rPr>
          <w:rFonts w:ascii="Times New Roman" w:hAnsi="Times New Roman" w:cs="Times New Roman"/>
        </w:rPr>
      </w:pPr>
    </w:p>
    <w:p w:rsidR="0090660F" w:rsidRPr="0090660F" w:rsidRDefault="0090660F" w:rsidP="0090660F">
      <w:pPr>
        <w:rPr>
          <w:rFonts w:ascii="Times New Roman" w:hAnsi="Times New Roman" w:cs="Times New Roman"/>
        </w:rPr>
      </w:pPr>
    </w:p>
    <w:p w:rsidR="0090660F" w:rsidRPr="0090660F" w:rsidRDefault="0090660F" w:rsidP="0090660F">
      <w:pPr>
        <w:rPr>
          <w:rFonts w:ascii="Times New Roman" w:hAnsi="Times New Roman" w:cs="Times New Roman"/>
        </w:rPr>
      </w:pPr>
    </w:p>
    <w:p w:rsidR="0090660F" w:rsidRPr="0090660F" w:rsidRDefault="0090660F" w:rsidP="0090660F">
      <w:pPr>
        <w:rPr>
          <w:rFonts w:ascii="Times New Roman" w:eastAsia="Times New Roman" w:hAnsi="Times New Roman" w:cs="Times New Roman"/>
          <w:color w:val="000000"/>
        </w:rPr>
      </w:pPr>
    </w:p>
    <w:p w:rsidR="001E4507" w:rsidRDefault="001E4507"/>
    <w:sectPr w:rsidR="001E450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90616D">
      <w:pPr>
        <w:spacing w:after="0" w:line="240" w:lineRule="auto"/>
      </w:pPr>
      <w:r>
        <w:separator/>
      </w:r>
    </w:p>
  </w:endnote>
  <w:endnote w:type="continuationSeparator" w:id="0">
    <w:p w:rsidR="00000000" w:rsidRDefault="00906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663883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0616D" w:rsidRDefault="0090616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471EE4" w:rsidRDefault="009061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90616D">
      <w:pPr>
        <w:spacing w:after="0" w:line="240" w:lineRule="auto"/>
      </w:pPr>
      <w:r>
        <w:separator/>
      </w:r>
    </w:p>
  </w:footnote>
  <w:footnote w:type="continuationSeparator" w:id="0">
    <w:p w:rsidR="00000000" w:rsidRDefault="009061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7213F"/>
    <w:multiLevelType w:val="hybridMultilevel"/>
    <w:tmpl w:val="0706DBEA"/>
    <w:lvl w:ilvl="0" w:tplc="2CBCB75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0F55C8"/>
    <w:multiLevelType w:val="hybridMultilevel"/>
    <w:tmpl w:val="6688E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60F"/>
    <w:rsid w:val="001E4507"/>
    <w:rsid w:val="0090616D"/>
    <w:rsid w:val="0090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9F5E25-6417-49E3-B89D-9D886B48C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90660F"/>
  </w:style>
  <w:style w:type="paragraph" w:styleId="Bibliography">
    <w:name w:val="Bibliography"/>
    <w:basedOn w:val="Normal"/>
    <w:next w:val="Normal"/>
    <w:uiPriority w:val="37"/>
    <w:unhideWhenUsed/>
    <w:rsid w:val="0090660F"/>
    <w:pPr>
      <w:tabs>
        <w:tab w:val="left" w:pos="384"/>
      </w:tabs>
      <w:spacing w:after="240" w:line="240" w:lineRule="auto"/>
      <w:ind w:left="384" w:hanging="38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660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60F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0660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660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066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66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66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66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660F"/>
    <w:rPr>
      <w:b/>
      <w:bCs/>
      <w:sz w:val="20"/>
      <w:szCs w:val="20"/>
    </w:rPr>
  </w:style>
  <w:style w:type="paragraph" w:customStyle="1" w:styleId="BodyA">
    <w:name w:val="Body A"/>
    <w:rsid w:val="0090660F"/>
    <w:rPr>
      <w:rFonts w:ascii="Calibri" w:eastAsia="Arial Unicode MS" w:hAnsi="Calibri" w:cs="Arial Unicode MS"/>
      <w:color w:val="000000"/>
      <w:u w:color="000000"/>
    </w:rPr>
  </w:style>
  <w:style w:type="table" w:customStyle="1" w:styleId="TableGrid1">
    <w:name w:val="Table Grid1"/>
    <w:basedOn w:val="TableNormal"/>
    <w:uiPriority w:val="39"/>
    <w:rsid w:val="0090660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0660F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0660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0660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0660F"/>
    <w:pPr>
      <w:spacing w:after="150" w:line="240" w:lineRule="auto"/>
    </w:pPr>
    <w:rPr>
      <w:rFonts w:ascii="Source Sans Pro" w:eastAsia="Times New Roman" w:hAnsi="Source Sans Pro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0660F"/>
  </w:style>
  <w:style w:type="character" w:styleId="Strong">
    <w:name w:val="Strong"/>
    <w:basedOn w:val="DefaultParagraphFont"/>
    <w:uiPriority w:val="22"/>
    <w:qFormat/>
    <w:rsid w:val="0090660F"/>
    <w:rPr>
      <w:b/>
      <w:bCs/>
    </w:rPr>
  </w:style>
  <w:style w:type="character" w:styleId="Emphasis">
    <w:name w:val="Emphasis"/>
    <w:basedOn w:val="DefaultParagraphFont"/>
    <w:uiPriority w:val="20"/>
    <w:qFormat/>
    <w:rsid w:val="0090660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9066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660F"/>
  </w:style>
  <w:style w:type="paragraph" w:styleId="Footer">
    <w:name w:val="footer"/>
    <w:basedOn w:val="Normal"/>
    <w:link w:val="FooterChar"/>
    <w:uiPriority w:val="99"/>
    <w:unhideWhenUsed/>
    <w:rsid w:val="009066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660F"/>
  </w:style>
  <w:style w:type="table" w:customStyle="1" w:styleId="TableGrid11">
    <w:name w:val="Table Grid11"/>
    <w:basedOn w:val="TableNormal"/>
    <w:uiPriority w:val="39"/>
    <w:rsid w:val="0090660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1806</Words>
  <Characters>10299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12081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Misra-Hebert, Anita</dc:creator>
  <cp:keywords/>
  <dc:description/>
  <cp:lastModifiedBy>Misra-Hebert, Anita</cp:lastModifiedBy>
  <cp:revision>2</cp:revision>
  <dcterms:created xsi:type="dcterms:W3CDTF">2020-07-24T02:03:00Z</dcterms:created>
  <dcterms:modified xsi:type="dcterms:W3CDTF">2020-07-24T02:05:00Z</dcterms:modified>
</cp:coreProperties>
</file>