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A6DF0">
      <w:pPr>
        <w:ind w:firstLine="0"/>
        <w:rPr>
          <w:rFonts w:hint="default" w:ascii="Times New Roman" w:hAnsi="Times New Roman" w:eastAsia="Segoe UI" w:cs="Times New Roman"/>
          <w:color w:val="101214"/>
          <w:sz w:val="24"/>
          <w:szCs w:val="24"/>
          <w:lang w:bidi="en-US"/>
        </w:rPr>
      </w:pPr>
      <w:r>
        <w:rPr>
          <w:rFonts w:hint="default" w:ascii="Times New Roman" w:hAnsi="Times New Roman" w:eastAsia="Segoe UI" w:cs="Times New Roman"/>
          <w:color w:val="101214"/>
          <w:sz w:val="24"/>
          <w:szCs w:val="24"/>
          <w:lang w:bidi="en-US"/>
        </w:rPr>
        <w:t>Table S1 Transparent Reporting of a multivariable prediction model for Individual Prognosis or Diagnosis</w:t>
      </w:r>
      <w:r>
        <w:rPr>
          <w:rFonts w:hint="default" w:ascii="Times New Roman" w:hAnsi="Times New Roman" w:eastAsia="Segoe UI" w:cs="Times New Roman"/>
          <w:color w:val="101214"/>
          <w:sz w:val="24"/>
          <w:szCs w:val="24"/>
          <w:lang w:bidi="en-US"/>
        </w:rPr>
        <w:t xml:space="preserve"> </w:t>
      </w:r>
      <w:r>
        <w:rPr>
          <w:rFonts w:hint="default" w:ascii="Times New Roman" w:hAnsi="Times New Roman" w:eastAsia="Segoe UI" w:cs="Times New Roman"/>
          <w:color w:val="101214"/>
          <w:sz w:val="24"/>
          <w:szCs w:val="24"/>
          <w:lang w:bidi="en-US"/>
        </w:rPr>
        <w:t>Statement</w:t>
      </w:r>
    </w:p>
    <w:tbl>
      <w:tblPr>
        <w:tblStyle w:val="12"/>
        <w:tblW w:w="10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567"/>
        <w:gridCol w:w="567"/>
        <w:gridCol w:w="6137"/>
        <w:gridCol w:w="1418"/>
      </w:tblGrid>
      <w:tr w14:paraId="0054C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tcBorders>
              <w:right w:val="nil"/>
            </w:tcBorders>
            <w:shd w:val="clear" w:color="auto" w:fill="E5B8B7" w:themeFill="accent2" w:themeFillTint="66"/>
          </w:tcPr>
          <w:p w14:paraId="77899920">
            <w:pPr>
              <w:spacing w:after="0" w:line="240" w:lineRule="auto"/>
              <w:ind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Section/Topic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5B8B7" w:themeFill="accent2" w:themeFillTint="66"/>
          </w:tcPr>
          <w:p w14:paraId="74C44F54">
            <w:pPr>
              <w:spacing w:after="0" w:line="240" w:lineRule="auto"/>
              <w:ind w:left="-432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Item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5B8B7" w:themeFill="accent2" w:themeFillTint="66"/>
            <w:vAlign w:val="center"/>
          </w:tcPr>
          <w:p w14:paraId="2A2444ED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6137" w:type="dxa"/>
            <w:tcBorders>
              <w:left w:val="nil"/>
              <w:right w:val="nil"/>
            </w:tcBorders>
            <w:shd w:val="clear" w:color="auto" w:fill="E5B8B7" w:themeFill="accent2" w:themeFillTint="66"/>
          </w:tcPr>
          <w:p w14:paraId="4C74F1DE">
            <w:pPr>
              <w:spacing w:after="0" w:line="240" w:lineRule="auto"/>
              <w:ind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Checklist Item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E5B8B7" w:themeFill="accent2" w:themeFillTint="66"/>
          </w:tcPr>
          <w:p w14:paraId="3D6FAD36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Page</w:t>
            </w:r>
          </w:p>
        </w:tc>
      </w:tr>
      <w:tr w14:paraId="47377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28" w:type="dxa"/>
            <w:gridSpan w:val="5"/>
            <w:shd w:val="clear" w:color="auto" w:fill="E5B8B7" w:themeFill="accent2" w:themeFillTint="66"/>
          </w:tcPr>
          <w:p w14:paraId="4FB3FE81">
            <w:pPr>
              <w:spacing w:after="0" w:line="240" w:lineRule="auto"/>
              <w:ind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Title and abstract</w:t>
            </w:r>
          </w:p>
        </w:tc>
      </w:tr>
      <w:tr w14:paraId="5207D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3512029F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bookmarkStart w:id="3" w:name="_GoBack"/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Title</w:t>
            </w:r>
            <w:bookmarkEnd w:id="3"/>
          </w:p>
        </w:tc>
        <w:tc>
          <w:tcPr>
            <w:tcW w:w="567" w:type="dxa"/>
            <w:shd w:val="clear" w:color="auto" w:fill="auto"/>
            <w:vAlign w:val="center"/>
          </w:tcPr>
          <w:p w14:paraId="0EFB6DC0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AE060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552981D2">
            <w:pPr>
              <w:spacing w:after="0" w:line="240" w:lineRule="auto"/>
              <w:ind w:left="34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Identify the study as developing and/or validating a multivariable prediction model, the target population, and the outcome to be predicted.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66423C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Title</w:t>
            </w:r>
          </w:p>
        </w:tc>
      </w:tr>
      <w:tr w14:paraId="4CFA7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119D64E8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Abstract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34D2F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8D96BC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trike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1DC77B2">
            <w:pPr>
              <w:spacing w:after="0" w:line="240" w:lineRule="auto"/>
              <w:ind w:left="34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Provide a summary of objectives, </w:t>
            </w:r>
            <w:r>
              <w:rPr>
                <w:rStyle w:val="16"/>
                <w:rFonts w:hint="default" w:ascii="Times New Roman" w:hAnsi="Times New Roman" w:cs="Times New Roman"/>
                <w:lang w:eastAsia="en-GB"/>
              </w:rPr>
              <w:t>study design, setting, participants, sample size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, predictors, outcome, statistical analysis, results, and conclusions.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E8D9DB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Abstract</w:t>
            </w:r>
          </w:p>
        </w:tc>
      </w:tr>
      <w:tr w14:paraId="601A9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28" w:type="dxa"/>
            <w:gridSpan w:val="5"/>
            <w:shd w:val="clear" w:color="auto" w:fill="E5B8B7" w:themeFill="accent2" w:themeFillTint="66"/>
          </w:tcPr>
          <w:p w14:paraId="401426A0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Introduction</w:t>
            </w:r>
          </w:p>
        </w:tc>
      </w:tr>
      <w:tr w14:paraId="734B4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78069AEF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Background and objectives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72C60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3a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23B01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A2843DD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Explain the medical context (including whether diagnostic or prognostic) and rationale for developing or validating the multivariable prediction model, including references to existing models.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074BC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Introduction</w:t>
            </w:r>
          </w:p>
        </w:tc>
      </w:tr>
      <w:tr w14:paraId="05FA7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</w:tcPr>
          <w:p w14:paraId="2B33D20F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E0E56D9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3b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26B507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2FB7A1F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Specify the objectives, including whether the study describes the development or validation of the model or both.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88FA63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Introduction</w:t>
            </w:r>
          </w:p>
        </w:tc>
      </w:tr>
      <w:tr w14:paraId="46711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28" w:type="dxa"/>
            <w:gridSpan w:val="5"/>
            <w:shd w:val="clear" w:color="auto" w:fill="E5B8B7" w:themeFill="accent2" w:themeFillTint="66"/>
          </w:tcPr>
          <w:p w14:paraId="759A95C8">
            <w:pPr>
              <w:tabs>
                <w:tab w:val="left" w:pos="9695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Methods</w:t>
            </w:r>
          </w:p>
        </w:tc>
      </w:tr>
      <w:tr w14:paraId="51E70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7B30A7B8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Source of data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9F322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4a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531898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20E35BAF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Describe the study design or source of data (e.g., randomized trial, cohort, or registry data), separately for the development and validation data sets, if applicable.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410198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Methods,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Study design</w:t>
            </w:r>
          </w:p>
        </w:tc>
      </w:tr>
      <w:tr w14:paraId="1DB27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26FDA7FE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227ED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4b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69919F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27043031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Specify the key study dates, including start of accrual; end of accrual; and, if applicable, end of follow-up.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B9A0D1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Methods,</w:t>
            </w:r>
          </w:p>
          <w:p w14:paraId="7A5B5AAC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Study Design</w:t>
            </w:r>
          </w:p>
        </w:tc>
      </w:tr>
      <w:tr w14:paraId="67D22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626B0E14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Participants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080EA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5a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26DA0A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3D875C0B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Specify key elements of the study setting (e.g., primary care, secondary care, general population) including number and location of centres.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E2E47F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Methods,</w:t>
            </w:r>
          </w:p>
          <w:p w14:paraId="77648F16">
            <w:pPr>
              <w:tabs>
                <w:tab w:val="left" w:pos="742"/>
              </w:tabs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Study Design</w:t>
            </w:r>
          </w:p>
        </w:tc>
      </w:tr>
      <w:tr w14:paraId="5BF9F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050652FD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EAA601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5b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363F2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4122B136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Describe eligibility criteria for participants.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F534DD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Study Design</w:t>
            </w:r>
          </w:p>
        </w:tc>
      </w:tr>
      <w:tr w14:paraId="4ECA7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1E9505E2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0F81AC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5c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EE83C5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841DFB3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Give details of treatments received, if relevant.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2FCCA4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Not applicable</w:t>
            </w:r>
          </w:p>
        </w:tc>
      </w:tr>
      <w:tr w14:paraId="77020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48603E10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Outcome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39D2B1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6a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5492D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3F9200F8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en-GB"/>
              </w:rPr>
              <w:t>Clearly define the outcome that is predicted by the prediction model, including how and when assessed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3C1324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</w:p>
          <w:p w14:paraId="1EB73F3F">
            <w:pPr>
              <w:spacing w:after="0" w:line="240" w:lineRule="auto"/>
              <w:ind w:firstLine="0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Data collection</w:t>
            </w:r>
          </w:p>
        </w:tc>
      </w:tr>
      <w:tr w14:paraId="1D7CF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24ECA06F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D375CD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6b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5B0B25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42C763D5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Report any actions to blind assessment of the outcome to be predicted.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4DB09A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Not applicable</w:t>
            </w:r>
          </w:p>
        </w:tc>
      </w:tr>
      <w:tr w14:paraId="5E0B0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5DF88FDD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Cs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Predictors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B3F92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7a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69841D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4CFE228D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Clearly define all predictors used in developing the multivariable prediction model, including how and when they were measured.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806924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</w:p>
          <w:p w14:paraId="754E75D2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Data collection</w:t>
            </w:r>
          </w:p>
        </w:tc>
      </w:tr>
      <w:tr w14:paraId="1EBC9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67375B54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1B78785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7b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D6E9A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37CDD068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Report any actions to blind assessment of predictors for the outcome and other predictors.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C0F67A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Not applicable</w:t>
            </w:r>
          </w:p>
        </w:tc>
      </w:tr>
      <w:tr w14:paraId="6AAEC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44282D0E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Sample size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5538F8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77557D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51177C9E">
            <w:pPr>
              <w:pStyle w:val="22"/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en-GB"/>
              </w:rPr>
              <w:t>Explain how the study size was arrived at.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149BEF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Not applicable</w:t>
            </w:r>
          </w:p>
        </w:tc>
      </w:tr>
      <w:tr w14:paraId="2186D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4F1B2C16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Missing data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771B50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5FA54D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455619F">
            <w:pPr>
              <w:pStyle w:val="22"/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Describe how missing data were handled (e.g., complete-case analysis, single imputation, multiple imputation) with details of any imputation method.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8F0B20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</w:p>
          <w:p w14:paraId="2CAA6F91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Data processing</w:t>
            </w:r>
          </w:p>
        </w:tc>
      </w:tr>
      <w:tr w14:paraId="664DD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4CD48280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Cs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Statistical analysis methods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9F3AC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10a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9E825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5DFB1739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val="en-US"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Describe how predictors were handled in the analyses.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B6DAD3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</w:p>
          <w:p w14:paraId="75F58074">
            <w:pPr>
              <w:spacing w:after="0" w:line="240" w:lineRule="auto"/>
              <w:ind w:firstLine="0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 xml:space="preserve">Statistical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a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nalysis</w:t>
            </w:r>
          </w:p>
        </w:tc>
      </w:tr>
      <w:tr w14:paraId="0EC05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544A6337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CD1E2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10b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0BA574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35D70558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en-GB"/>
              </w:rPr>
              <w:t>Specify type of model, all model-building procedures (including any predictor selection), and method for internal validation.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F4CF46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bookmarkStart w:id="0" w:name="OLE_LINK16"/>
            <w:bookmarkStart w:id="1" w:name="OLE_LINK19"/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 construction</w:t>
            </w:r>
            <w:bookmarkEnd w:id="0"/>
            <w:bookmarkEnd w:id="1"/>
          </w:p>
        </w:tc>
      </w:tr>
      <w:tr w14:paraId="089DF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04B4793E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9BFA6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10c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E2ABD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4EE84B0D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For validation, describe how the predictions were calculated.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93FEAD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 evaluation</w:t>
            </w:r>
          </w:p>
        </w:tc>
      </w:tr>
      <w:tr w14:paraId="0B8D2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2FBBCBBE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841289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10d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C7FBC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26137569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Specify all measures used to assess model performance and, if relevant, to compare multiple models.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8C0EBE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</w:p>
          <w:p w14:paraId="3F1E6172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 evaluation</w:t>
            </w:r>
          </w:p>
        </w:tc>
      </w:tr>
      <w:tr w14:paraId="363B1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40C81838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55EBD7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10e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458C99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052F75DE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Describe any model updating (e.g., recalibration) arising from the validation, if done.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C9868A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Not applicable</w:t>
            </w:r>
          </w:p>
        </w:tc>
      </w:tr>
      <w:tr w14:paraId="6ACDE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148D516E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Risk groups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79AD8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02A8E0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08155FE3">
            <w:pPr>
              <w:spacing w:after="0" w:line="240" w:lineRule="auto"/>
              <w:ind w:left="34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Provide details on how risk groups were created, if done.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0C3805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Not applicable</w:t>
            </w:r>
          </w:p>
        </w:tc>
      </w:tr>
      <w:tr w14:paraId="6C868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78079F5C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Development vs. validation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79728C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2C54E0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64C1046B">
            <w:pPr>
              <w:spacing w:after="0" w:line="240" w:lineRule="auto"/>
              <w:ind w:left="34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For validation, identify any differences from the development data in setting, eligibility criteria, outcome, and predictors.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D35E0D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Methods,</w:t>
            </w:r>
          </w:p>
          <w:p w14:paraId="56CC091D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 xml:space="preserve">Model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evaluation</w:t>
            </w:r>
          </w:p>
        </w:tc>
      </w:tr>
      <w:tr w14:paraId="6B13C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28" w:type="dxa"/>
            <w:gridSpan w:val="5"/>
            <w:shd w:val="clear" w:color="auto" w:fill="E5B8B7" w:themeFill="accent2" w:themeFillTint="66"/>
          </w:tcPr>
          <w:p w14:paraId="0044D108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Results</w:t>
            </w:r>
          </w:p>
        </w:tc>
      </w:tr>
      <w:tr w14:paraId="2B700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70904011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Participants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F6D152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13a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C92E7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4407CEB0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Describe the flow of participants through the study, including the number of participants with and without the outcome and, if applicable, a summary of the follow-up time. A diagram may be helpful.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9118C4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Results,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 xml:space="preserve">Figure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1</w:t>
            </w:r>
          </w:p>
        </w:tc>
      </w:tr>
      <w:tr w14:paraId="1CA0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03DA7E27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0265A8F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13b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6D093A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1407B17E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Describe the characteristics of the participants (basic demographics, clinical features, available predictors), including the number of participants with missing data for predictors and outcome.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0E3D4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Results,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 xml:space="preserve">Table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2</w:t>
            </w:r>
          </w:p>
        </w:tc>
      </w:tr>
      <w:tr w14:paraId="7A0DA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62C620D3">
            <w:pPr>
              <w:spacing w:after="0" w:line="240" w:lineRule="auto"/>
              <w:ind w:left="14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5E63B1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13c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766FB2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6A7E749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For validation, show a comparison with the development data of the distribution of important variables (demographics, predictors and outcome).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60E3BE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Results,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Additional file</w:t>
            </w:r>
          </w:p>
        </w:tc>
      </w:tr>
      <w:tr w14:paraId="73751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7993A82B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Model development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A767D8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14a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478471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4FB094A7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 w:eastAsiaTheme="majorEastAsia"/>
                <w:i/>
                <w:iCs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Specify the number of participants and outcome events in each analysis.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43ADF3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Results</w:t>
            </w:r>
          </w:p>
        </w:tc>
      </w:tr>
      <w:tr w14:paraId="61E50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6D0ACF2A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BA7BC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14b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2ACB45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1FC4F155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If done, report the unadjusted association between each candidate predictor and outcome.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B067F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Not applicable</w:t>
            </w:r>
          </w:p>
        </w:tc>
      </w:tr>
      <w:tr w14:paraId="5024D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2B551EFC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 specification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927F1D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15a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236602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6F0D38E9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Present the full prediction model to allow predictions for individuals (i.e., all regression coefficients, and model intercept or baseline survival at a given time point).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4D28D8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Results,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 explanation</w:t>
            </w:r>
          </w:p>
        </w:tc>
      </w:tr>
      <w:tr w14:paraId="56942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314DB632">
            <w:pPr>
              <w:spacing w:after="0" w:line="240" w:lineRule="auto"/>
              <w:ind w:left="157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D535B7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15b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E943D1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CDB835C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Explain how to use the prediction model.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4B69D8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Results,</w:t>
            </w:r>
          </w:p>
          <w:p w14:paraId="44283C0A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Additional file</w:t>
            </w:r>
          </w:p>
        </w:tc>
      </w:tr>
      <w:tr w14:paraId="055B4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0D3A7B73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 performance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9EAC1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3DBD5C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049650B0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Report performance measures (with CIs) for the prediction model.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A21062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Results,</w:t>
            </w:r>
            <w:r>
              <w:rPr>
                <w:rFonts w:hint="default" w:ascii="Times New Roman" w:hAnsi="Times New Roman" w:cs="Times New Roman" w:eastAsiaTheme="minorEastAsia"/>
                <w:sz w:val="16"/>
                <w:szCs w:val="16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T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 xml:space="preserve">able 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>3</w:t>
            </w:r>
            <w:r>
              <w:rPr>
                <w:rFonts w:hint="default" w:ascii="Times New Roman" w:hAnsi="Times New Roman" w:cs="Times New Roman" w:eastAsiaTheme="minorHAnsi"/>
                <w:sz w:val="16"/>
                <w:szCs w:val="16"/>
                <w:lang w:eastAsia="en-GB"/>
              </w:rPr>
              <w:t xml:space="preserve"> </w:t>
            </w:r>
          </w:p>
        </w:tc>
      </w:tr>
      <w:tr w14:paraId="5E9D3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1A808CE0">
            <w:pPr>
              <w:spacing w:after="0" w:line="240" w:lineRule="auto"/>
              <w:ind w:left="157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Model-updating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A9292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9D2E84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1D0E33E7">
            <w:pPr>
              <w:tabs>
                <w:tab w:val="left" w:pos="459"/>
              </w:tabs>
              <w:spacing w:after="0" w:line="240" w:lineRule="auto"/>
              <w:ind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If done, report the results from any model updating (i.e., model specification, model performance).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E9F65D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Not applicable</w:t>
            </w:r>
          </w:p>
        </w:tc>
      </w:tr>
      <w:tr w14:paraId="1E49A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28" w:type="dxa"/>
            <w:gridSpan w:val="5"/>
            <w:shd w:val="clear" w:color="auto" w:fill="E5B8B7" w:themeFill="accent2" w:themeFillTint="66"/>
          </w:tcPr>
          <w:p w14:paraId="50927970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Discussion</w:t>
            </w:r>
          </w:p>
        </w:tc>
      </w:tr>
      <w:tr w14:paraId="0827F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0BBF1FC2">
            <w:pPr>
              <w:spacing w:after="0" w:line="240" w:lineRule="auto"/>
              <w:ind w:left="152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Limitations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320116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6077E5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52E449EE">
            <w:pPr>
              <w:spacing w:after="0" w:line="240" w:lineRule="auto"/>
              <w:ind w:left="34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Discuss any limitations of the study (such as nonrepresentative sample, few events per predictor, missing data).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F52314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Discussion</w:t>
            </w:r>
          </w:p>
          <w:p w14:paraId="494F7428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  <w:lang w:eastAsia="zh-CN"/>
              </w:rPr>
              <w:t>L</w:t>
            </w:r>
            <w:r>
              <w:rPr>
                <w:rFonts w:hint="default" w:ascii="Times New Roman" w:hAnsi="Times New Roman" w:eastAsia="宋体" w:cs="Times New Roman"/>
                <w:sz w:val="16"/>
                <w:szCs w:val="16"/>
                <w:lang w:eastAsia="zh-CN"/>
              </w:rPr>
              <w:t>imitations</w:t>
            </w:r>
          </w:p>
        </w:tc>
      </w:tr>
      <w:tr w14:paraId="0CD52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restart"/>
            <w:shd w:val="clear" w:color="auto" w:fill="auto"/>
            <w:vAlign w:val="center"/>
          </w:tcPr>
          <w:p w14:paraId="013D57DC">
            <w:pPr>
              <w:spacing w:after="0" w:line="240" w:lineRule="auto"/>
              <w:ind w:left="152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Interpretation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60487F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19a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CA051B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7A32C166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For validation, discuss the results with reference to performance in the development data, and any other validation data.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324D89">
            <w:pPr>
              <w:pStyle w:val="22"/>
              <w:spacing w:after="0" w:line="240" w:lineRule="auto"/>
              <w:ind w:left="34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Discussion</w:t>
            </w:r>
          </w:p>
        </w:tc>
      </w:tr>
      <w:tr w14:paraId="10E49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vMerge w:val="continue"/>
            <w:shd w:val="clear" w:color="auto" w:fill="auto"/>
            <w:vAlign w:val="center"/>
          </w:tcPr>
          <w:p w14:paraId="6961F0A5">
            <w:pPr>
              <w:spacing w:after="0" w:line="240" w:lineRule="auto"/>
              <w:ind w:left="152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D59D1DD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19b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D50904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6CC7B07F">
            <w:pPr>
              <w:pStyle w:val="22"/>
              <w:tabs>
                <w:tab w:val="left" w:pos="459"/>
              </w:tabs>
              <w:spacing w:after="0" w:line="240" w:lineRule="auto"/>
              <w:ind w:left="34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Give an overall interpretation of the results, considering objectives, limitations, results from similar studies, and other relevant evidence.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CAF45E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Discussion,</w:t>
            </w:r>
          </w:p>
          <w:p w14:paraId="5C0D9A48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Conclusion</w:t>
            </w:r>
          </w:p>
        </w:tc>
      </w:tr>
      <w:tr w14:paraId="3C5D2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  <w:vAlign w:val="center"/>
          </w:tcPr>
          <w:p w14:paraId="2C9D4656">
            <w:pPr>
              <w:spacing w:after="0" w:line="240" w:lineRule="auto"/>
              <w:ind w:left="152" w:firstLine="0"/>
              <w:rPr>
                <w:rFonts w:hint="default" w:ascii="Times New Roman" w:hAnsi="Times New Roman" w:cs="Times New Roman"/>
                <w:b/>
                <w:strike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Implications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A01893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DB963F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trike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231FB65F">
            <w:pPr>
              <w:spacing w:after="0" w:line="240" w:lineRule="auto"/>
              <w:ind w:left="34"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Discuss the potential clinical use of the model and implications for future research.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A418EE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Conclusion</w:t>
            </w:r>
          </w:p>
        </w:tc>
      </w:tr>
      <w:tr w14:paraId="235BE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28" w:type="dxa"/>
            <w:gridSpan w:val="5"/>
            <w:shd w:val="clear" w:color="auto" w:fill="E5B8B7" w:themeFill="accent2" w:themeFillTint="66"/>
          </w:tcPr>
          <w:p w14:paraId="5BE2B58E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  <w:t>Other information</w:t>
            </w:r>
          </w:p>
        </w:tc>
      </w:tr>
      <w:tr w14:paraId="1080F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</w:tcPr>
          <w:p w14:paraId="17BF5920">
            <w:pPr>
              <w:spacing w:after="0" w:line="240" w:lineRule="auto"/>
              <w:ind w:left="152" w:right="-46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Additional information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CADC92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7C8C81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542704EF">
            <w:pPr>
              <w:spacing w:after="0" w:line="240" w:lineRule="auto"/>
              <w:ind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Provide information about the availability of Additional resources, such as study protocol, Web calculator, and data sets.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F51704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sz w:val="16"/>
                <w:szCs w:val="16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Additional file</w:t>
            </w:r>
          </w:p>
        </w:tc>
      </w:tr>
      <w:tr w14:paraId="3B28E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9" w:type="dxa"/>
            <w:shd w:val="clear" w:color="auto" w:fill="auto"/>
          </w:tcPr>
          <w:p w14:paraId="3FB4F181">
            <w:pPr>
              <w:spacing w:after="0" w:line="240" w:lineRule="auto"/>
              <w:ind w:left="152" w:firstLine="0"/>
              <w:rPr>
                <w:rFonts w:hint="default" w:ascii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Funding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A1B03E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F2EDDA">
            <w:pPr>
              <w:spacing w:after="0" w:line="240" w:lineRule="auto"/>
              <w:ind w:left="-432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D;V</w:t>
            </w:r>
          </w:p>
        </w:tc>
        <w:tc>
          <w:tcPr>
            <w:tcW w:w="6137" w:type="dxa"/>
            <w:shd w:val="clear" w:color="auto" w:fill="auto"/>
            <w:vAlign w:val="center"/>
          </w:tcPr>
          <w:p w14:paraId="169B87EF">
            <w:pPr>
              <w:spacing w:after="0" w:line="240" w:lineRule="auto"/>
              <w:ind w:firstLine="0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 xml:space="preserve">Give the source of funding and the role of the funders for the present study.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BA9717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Declarations</w:t>
            </w:r>
          </w:p>
          <w:p w14:paraId="7C434131">
            <w:pPr>
              <w:spacing w:after="0"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eastAsia="en-GB"/>
              </w:rPr>
              <w:t>Funding</w:t>
            </w:r>
          </w:p>
        </w:tc>
      </w:tr>
    </w:tbl>
    <w:p w14:paraId="5EFE94BE">
      <w:pPr>
        <w:ind w:left="-851" w:right="-857"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  <w:t>*Items relevant only to the development of a prediction model are denoted by D, items relating solely to a validation of a prediction model are denoted by V, and items relating to both are denoted D;V.  We recommend using the TRIPOD Checklist in conjunction with the TRIPOD Explanation and Elaboration document.</w:t>
      </w:r>
    </w:p>
    <w:p w14:paraId="1511F974">
      <w:pPr>
        <w:ind w:left="-851" w:right="-857" w:firstLine="0"/>
        <w:rPr>
          <w:rFonts w:hint="default" w:ascii="Times New Roman" w:hAnsi="Times New Roman" w:cs="Times New Roman" w:eastAsiaTheme="minorEastAsia"/>
          <w:sz w:val="16"/>
          <w:szCs w:val="16"/>
          <w:lang w:eastAsia="zh-CN"/>
        </w:rPr>
      </w:pPr>
    </w:p>
    <w:p w14:paraId="2C549BC3">
      <w:pPr>
        <w:ind w:left="-851" w:right="-857" w:firstLine="0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Table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S2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Comparisons of Baseline Characteristics and Outcome Between with Thrombocytopenia and N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o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 Thrombocytopenia in 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Dongyang data</w:t>
      </w:r>
      <w:bookmarkStart w:id="2" w:name="OLE_LINK2"/>
    </w:p>
    <w:bookmarkEnd w:id="2"/>
    <w:p w14:paraId="72318A0E">
      <w:pPr>
        <w:rPr>
          <w:rFonts w:hint="default" w:ascii="Times New Roman" w:hAnsi="Times New Roman" w:cs="Times New Roman"/>
        </w:rPr>
      </w:pPr>
    </w:p>
    <w:tbl>
      <w:tblPr>
        <w:tblStyle w:val="12"/>
        <w:tblW w:w="525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8"/>
        <w:gridCol w:w="2009"/>
        <w:gridCol w:w="2016"/>
        <w:gridCol w:w="1659"/>
      </w:tblGrid>
      <w:tr w14:paraId="46159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718A3CC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100" w:leftChars="0" w:right="0"/>
              <w:jc w:val="left"/>
              <w:textAlignment w:val="auto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Variables</w:t>
            </w:r>
          </w:p>
        </w:tc>
        <w:tc>
          <w:tcPr>
            <w:tcW w:w="1096" w:type="pct"/>
          </w:tcPr>
          <w:p w14:paraId="54DBE1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 (n = 291)</w:t>
            </w:r>
          </w:p>
        </w:tc>
        <w:tc>
          <w:tcPr>
            <w:tcW w:w="1100" w:type="pct"/>
          </w:tcPr>
          <w:p w14:paraId="126FC1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 (n = 195)</w:t>
            </w:r>
          </w:p>
        </w:tc>
        <w:tc>
          <w:tcPr>
            <w:tcW w:w="905" w:type="pct"/>
          </w:tcPr>
          <w:p w14:paraId="646D09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p</w:t>
            </w:r>
          </w:p>
        </w:tc>
      </w:tr>
      <w:tr w14:paraId="37402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44970FD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Age (years),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3820DF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57.9 ± 11.7</w:t>
            </w:r>
          </w:p>
        </w:tc>
        <w:tc>
          <w:tcPr>
            <w:tcW w:w="1100" w:type="pct"/>
          </w:tcPr>
          <w:p w14:paraId="6017C4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63.7 ± 9.7</w:t>
            </w:r>
          </w:p>
        </w:tc>
        <w:tc>
          <w:tcPr>
            <w:tcW w:w="905" w:type="pct"/>
          </w:tcPr>
          <w:p w14:paraId="0ACB60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6760D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340220E3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Sex, Male (%), n (%)</w:t>
            </w:r>
          </w:p>
        </w:tc>
        <w:tc>
          <w:tcPr>
            <w:tcW w:w="1096" w:type="pct"/>
          </w:tcPr>
          <w:p w14:paraId="36F10C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134 (46)</w:t>
            </w:r>
          </w:p>
        </w:tc>
        <w:tc>
          <w:tcPr>
            <w:tcW w:w="1100" w:type="pct"/>
          </w:tcPr>
          <w:p w14:paraId="588996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83 (42.6)</w:t>
            </w:r>
          </w:p>
        </w:tc>
        <w:tc>
          <w:tcPr>
            <w:tcW w:w="905" w:type="pct"/>
          </w:tcPr>
          <w:p w14:paraId="3156BB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0.507</w:t>
            </w:r>
          </w:p>
        </w:tc>
      </w:tr>
      <w:tr w14:paraId="393FE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090C3CC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Surgery duration (hours)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， Mean（SD）</w:t>
            </w:r>
          </w:p>
        </w:tc>
        <w:tc>
          <w:tcPr>
            <w:tcW w:w="1096" w:type="pct"/>
          </w:tcPr>
          <w:p w14:paraId="2C64F0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5.6 ± 1.3</w:t>
            </w:r>
          </w:p>
        </w:tc>
        <w:tc>
          <w:tcPr>
            <w:tcW w:w="1100" w:type="pct"/>
          </w:tcPr>
          <w:p w14:paraId="3773E7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6.1 ± 1.3</w:t>
            </w:r>
          </w:p>
        </w:tc>
        <w:tc>
          <w:tcPr>
            <w:tcW w:w="905" w:type="pct"/>
          </w:tcPr>
          <w:p w14:paraId="7477F6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532BE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64646CA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SOFA score, Median (Q1,Q3)</w:t>
            </w:r>
          </w:p>
        </w:tc>
        <w:tc>
          <w:tcPr>
            <w:tcW w:w="1096" w:type="pct"/>
            <w:vAlign w:val="center"/>
          </w:tcPr>
          <w:p w14:paraId="13BCB9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6 (5, 7)</w:t>
            </w:r>
          </w:p>
        </w:tc>
        <w:tc>
          <w:tcPr>
            <w:tcW w:w="1100" w:type="pct"/>
            <w:vAlign w:val="center"/>
          </w:tcPr>
          <w:p w14:paraId="4A34EF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7 (6, 8)</w:t>
            </w:r>
          </w:p>
        </w:tc>
        <w:tc>
          <w:tcPr>
            <w:tcW w:w="905" w:type="pct"/>
            <w:vAlign w:val="center"/>
          </w:tcPr>
          <w:p w14:paraId="6BC72D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34055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562FBF1D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Hormone administration day 1 (%), n (%)</w:t>
            </w:r>
          </w:p>
        </w:tc>
        <w:tc>
          <w:tcPr>
            <w:tcW w:w="1096" w:type="pct"/>
          </w:tcPr>
          <w:p w14:paraId="6D0C55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169 (58.1)</w:t>
            </w:r>
          </w:p>
        </w:tc>
        <w:tc>
          <w:tcPr>
            <w:tcW w:w="1100" w:type="pct"/>
          </w:tcPr>
          <w:p w14:paraId="0D3CE0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112 (57.4)</w:t>
            </w:r>
          </w:p>
        </w:tc>
        <w:tc>
          <w:tcPr>
            <w:tcW w:w="905" w:type="pct"/>
          </w:tcPr>
          <w:p w14:paraId="737394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0.963</w:t>
            </w:r>
          </w:p>
        </w:tc>
      </w:tr>
      <w:tr w14:paraId="20A9B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4C65FFE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Antiplatelet therapy day 1 (%), n (%)</w:t>
            </w:r>
          </w:p>
        </w:tc>
        <w:tc>
          <w:tcPr>
            <w:tcW w:w="1096" w:type="pct"/>
          </w:tcPr>
          <w:p w14:paraId="3DF575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12 (4.1)</w:t>
            </w:r>
          </w:p>
        </w:tc>
        <w:tc>
          <w:tcPr>
            <w:tcW w:w="1100" w:type="pct"/>
          </w:tcPr>
          <w:p w14:paraId="0C9AAD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14 (7.2)</w:t>
            </w:r>
          </w:p>
        </w:tc>
        <w:tc>
          <w:tcPr>
            <w:tcW w:w="905" w:type="pct"/>
          </w:tcPr>
          <w:p w14:paraId="24FD33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0.207</w:t>
            </w:r>
          </w:p>
        </w:tc>
      </w:tr>
      <w:tr w14:paraId="37889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2AF8448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CRRT (%), n (%)</w:t>
            </w:r>
          </w:p>
        </w:tc>
        <w:tc>
          <w:tcPr>
            <w:tcW w:w="1096" w:type="pct"/>
          </w:tcPr>
          <w:p w14:paraId="4E58FC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2 (0.7)</w:t>
            </w:r>
          </w:p>
        </w:tc>
        <w:tc>
          <w:tcPr>
            <w:tcW w:w="1100" w:type="pct"/>
          </w:tcPr>
          <w:p w14:paraId="46D8D1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2 (1)</w:t>
            </w:r>
          </w:p>
        </w:tc>
        <w:tc>
          <w:tcPr>
            <w:tcW w:w="905" w:type="pct"/>
          </w:tcPr>
          <w:p w14:paraId="06E5C3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</w:t>
            </w:r>
          </w:p>
        </w:tc>
      </w:tr>
      <w:tr w14:paraId="76C2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0E80303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Hypertension (%), n (%)</w:t>
            </w:r>
          </w:p>
        </w:tc>
        <w:tc>
          <w:tcPr>
            <w:tcW w:w="1096" w:type="pct"/>
          </w:tcPr>
          <w:p w14:paraId="50D24F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72 (24.7)</w:t>
            </w:r>
          </w:p>
        </w:tc>
        <w:tc>
          <w:tcPr>
            <w:tcW w:w="1100" w:type="pct"/>
          </w:tcPr>
          <w:p w14:paraId="2F3843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53 (27.2)</w:t>
            </w:r>
          </w:p>
        </w:tc>
        <w:tc>
          <w:tcPr>
            <w:tcW w:w="905" w:type="pct"/>
          </w:tcPr>
          <w:p w14:paraId="1C8008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0.619</w:t>
            </w:r>
          </w:p>
        </w:tc>
      </w:tr>
      <w:tr w14:paraId="79723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119D61A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Diabetes (%), n (%)</w:t>
            </w:r>
          </w:p>
        </w:tc>
        <w:tc>
          <w:tcPr>
            <w:tcW w:w="1096" w:type="pct"/>
          </w:tcPr>
          <w:p w14:paraId="047A6C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18 (6.2)</w:t>
            </w:r>
          </w:p>
        </w:tc>
        <w:tc>
          <w:tcPr>
            <w:tcW w:w="1100" w:type="pct"/>
          </w:tcPr>
          <w:p w14:paraId="679C38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19 (9.7)</w:t>
            </w:r>
          </w:p>
        </w:tc>
        <w:tc>
          <w:tcPr>
            <w:tcW w:w="905" w:type="pct"/>
          </w:tcPr>
          <w:p w14:paraId="6F3904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0.202</w:t>
            </w:r>
          </w:p>
        </w:tc>
      </w:tr>
      <w:tr w14:paraId="470C9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2CCC021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Platelet count on first ICU day (×109/L),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1E6632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126.5 ± 38.5</w:t>
            </w:r>
          </w:p>
        </w:tc>
        <w:tc>
          <w:tcPr>
            <w:tcW w:w="1100" w:type="pct"/>
          </w:tcPr>
          <w:p w14:paraId="519C38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90.2 ± 25.1</w:t>
            </w:r>
          </w:p>
        </w:tc>
        <w:tc>
          <w:tcPr>
            <w:tcW w:w="905" w:type="pct"/>
          </w:tcPr>
          <w:p w14:paraId="7128D8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17361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498DD32B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Creatinine on first ICU day (μmol/L),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2E50A2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74.7 ± 22.7</w:t>
            </w:r>
          </w:p>
        </w:tc>
        <w:tc>
          <w:tcPr>
            <w:tcW w:w="1100" w:type="pct"/>
          </w:tcPr>
          <w:p w14:paraId="667583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82.1 ± 24.3</w:t>
            </w:r>
          </w:p>
        </w:tc>
        <w:tc>
          <w:tcPr>
            <w:tcW w:w="905" w:type="pct"/>
          </w:tcPr>
          <w:p w14:paraId="454C32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1D1B6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113ABA8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Prothrombin time (seconds), Median (Q1,Q3)</w:t>
            </w:r>
          </w:p>
        </w:tc>
        <w:tc>
          <w:tcPr>
            <w:tcW w:w="1096" w:type="pct"/>
          </w:tcPr>
          <w:p w14:paraId="30B484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14.6 (14.1, 15.45)</w:t>
            </w:r>
          </w:p>
        </w:tc>
        <w:tc>
          <w:tcPr>
            <w:tcW w:w="1100" w:type="pct"/>
          </w:tcPr>
          <w:p w14:paraId="1844C0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15.2 (14.4, 16.35)</w:t>
            </w:r>
          </w:p>
        </w:tc>
        <w:tc>
          <w:tcPr>
            <w:tcW w:w="905" w:type="pct"/>
          </w:tcPr>
          <w:p w14:paraId="208804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73321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40353CB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APTT (seconds),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68238B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37.7 ± 5</w:t>
            </w:r>
          </w:p>
        </w:tc>
        <w:tc>
          <w:tcPr>
            <w:tcW w:w="1100" w:type="pct"/>
          </w:tcPr>
          <w:p w14:paraId="36A8B2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40.1 ± 5.9</w:t>
            </w:r>
          </w:p>
        </w:tc>
        <w:tc>
          <w:tcPr>
            <w:tcW w:w="905" w:type="pct"/>
          </w:tcPr>
          <w:p w14:paraId="00D129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64DCF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64DCBE89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INR,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56A918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1.2 ± 0.1</w:t>
            </w:r>
          </w:p>
        </w:tc>
        <w:tc>
          <w:tcPr>
            <w:tcW w:w="1100" w:type="pct"/>
          </w:tcPr>
          <w:p w14:paraId="3024F6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1.2 ± 0.1</w:t>
            </w:r>
          </w:p>
        </w:tc>
        <w:tc>
          <w:tcPr>
            <w:tcW w:w="905" w:type="pct"/>
          </w:tcPr>
          <w:p w14:paraId="150E68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6EF84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0B49D91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Maximum blood glucose (mmol/L),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762422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11.2 ± 2.7</w:t>
            </w:r>
          </w:p>
        </w:tc>
        <w:tc>
          <w:tcPr>
            <w:tcW w:w="1100" w:type="pct"/>
          </w:tcPr>
          <w:p w14:paraId="6349DE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12.6 ± 3.3</w:t>
            </w:r>
          </w:p>
        </w:tc>
        <w:tc>
          <w:tcPr>
            <w:tcW w:w="905" w:type="pct"/>
          </w:tcPr>
          <w:p w14:paraId="23E04D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4FA95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45057A3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Minimum blood glucose (mmol/L),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4E5203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7.5 ± 1.5</w:t>
            </w:r>
          </w:p>
        </w:tc>
        <w:tc>
          <w:tcPr>
            <w:tcW w:w="1100" w:type="pct"/>
          </w:tcPr>
          <w:p w14:paraId="3B4ACF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7.4 ± 1.7</w:t>
            </w:r>
          </w:p>
        </w:tc>
        <w:tc>
          <w:tcPr>
            <w:tcW w:w="905" w:type="pct"/>
          </w:tcPr>
          <w:p w14:paraId="4013B8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0.457</w:t>
            </w:r>
          </w:p>
        </w:tc>
      </w:tr>
      <w:tr w14:paraId="1671E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2F20433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Platelet count on first ICU day, repetition 1 (×109/L),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7B9999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126.5 ± 38.5</w:t>
            </w:r>
          </w:p>
        </w:tc>
        <w:tc>
          <w:tcPr>
            <w:tcW w:w="1100" w:type="pct"/>
          </w:tcPr>
          <w:p w14:paraId="4EA708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90.2 ± 25.1</w:t>
            </w:r>
          </w:p>
        </w:tc>
        <w:tc>
          <w:tcPr>
            <w:tcW w:w="905" w:type="pct"/>
          </w:tcPr>
          <w:p w14:paraId="790D83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569C1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2B25065F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Lactate (mmol/L),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24D54E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3.6 ± 2.2</w:t>
            </w:r>
          </w:p>
        </w:tc>
        <w:tc>
          <w:tcPr>
            <w:tcW w:w="1100" w:type="pct"/>
          </w:tcPr>
          <w:p w14:paraId="2643F5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4.8 ± 2.9</w:t>
            </w:r>
          </w:p>
        </w:tc>
        <w:tc>
          <w:tcPr>
            <w:tcW w:w="905" w:type="pct"/>
          </w:tcPr>
          <w:p w14:paraId="1824CB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4F9FC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3CB3299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White blood cell count (×109/L),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534784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14 ± 4.3</w:t>
            </w:r>
          </w:p>
        </w:tc>
        <w:tc>
          <w:tcPr>
            <w:tcW w:w="1100" w:type="pct"/>
          </w:tcPr>
          <w:p w14:paraId="79AC00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13.5 ± 4.8</w:t>
            </w:r>
          </w:p>
        </w:tc>
        <w:tc>
          <w:tcPr>
            <w:tcW w:w="905" w:type="pct"/>
          </w:tcPr>
          <w:p w14:paraId="56A694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0.211</w:t>
            </w:r>
          </w:p>
        </w:tc>
      </w:tr>
      <w:tr w14:paraId="51957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40C9CBC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Calcium (mmol/L),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14ECAA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2.1 ± 0.2</w:t>
            </w:r>
          </w:p>
        </w:tc>
        <w:tc>
          <w:tcPr>
            <w:tcW w:w="1100" w:type="pct"/>
          </w:tcPr>
          <w:p w14:paraId="56610F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2.1 ± 0.2</w:t>
            </w:r>
          </w:p>
        </w:tc>
        <w:tc>
          <w:tcPr>
            <w:tcW w:w="905" w:type="pct"/>
          </w:tcPr>
          <w:p w14:paraId="649209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0.012</w:t>
            </w:r>
          </w:p>
        </w:tc>
      </w:tr>
      <w:tr w14:paraId="24ECF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6D098636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Maximum systolic blood pressure (mmHg),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2D74CB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144.8 ± 16.1</w:t>
            </w:r>
          </w:p>
        </w:tc>
        <w:tc>
          <w:tcPr>
            <w:tcW w:w="1100" w:type="pct"/>
          </w:tcPr>
          <w:p w14:paraId="74AC15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144.5 ± 16.8</w:t>
            </w:r>
          </w:p>
        </w:tc>
        <w:tc>
          <w:tcPr>
            <w:tcW w:w="905" w:type="pct"/>
          </w:tcPr>
          <w:p w14:paraId="08C266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0.817</w:t>
            </w:r>
          </w:p>
        </w:tc>
      </w:tr>
      <w:tr w14:paraId="25754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322948A7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Minimum systolic blood pressure (mmHg),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278CA4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87.6 ± 8.5</w:t>
            </w:r>
          </w:p>
        </w:tc>
        <w:tc>
          <w:tcPr>
            <w:tcW w:w="1100" w:type="pct"/>
          </w:tcPr>
          <w:p w14:paraId="599929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83.5 ± 8.8</w:t>
            </w:r>
          </w:p>
        </w:tc>
        <w:tc>
          <w:tcPr>
            <w:tcW w:w="905" w:type="pct"/>
          </w:tcPr>
          <w:p w14:paraId="63D60B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52108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1F6399FA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Maximum body temperature (°C),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436210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38.1 ± 0.5</w:t>
            </w:r>
          </w:p>
        </w:tc>
        <w:tc>
          <w:tcPr>
            <w:tcW w:w="1100" w:type="pct"/>
          </w:tcPr>
          <w:p w14:paraId="2420AC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38.1 ± 0.5</w:t>
            </w:r>
          </w:p>
        </w:tc>
        <w:tc>
          <w:tcPr>
            <w:tcW w:w="905" w:type="pct"/>
          </w:tcPr>
          <w:p w14:paraId="149924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0.944</w:t>
            </w:r>
          </w:p>
        </w:tc>
      </w:tr>
      <w:tr w14:paraId="59B8A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5F868CC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 xml:space="preserve">Minimum body temperature (°C), </w:t>
            </w: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zh-CN"/>
              </w:rPr>
              <w:t>Mean（SD）</w:t>
            </w:r>
          </w:p>
        </w:tc>
        <w:tc>
          <w:tcPr>
            <w:tcW w:w="1096" w:type="pct"/>
          </w:tcPr>
          <w:p w14:paraId="7182DA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35.7 ± 0.7</w:t>
            </w:r>
          </w:p>
        </w:tc>
        <w:tc>
          <w:tcPr>
            <w:tcW w:w="1100" w:type="pct"/>
          </w:tcPr>
          <w:p w14:paraId="43F30F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35.8 ± 0.7</w:t>
            </w:r>
          </w:p>
        </w:tc>
        <w:tc>
          <w:tcPr>
            <w:tcW w:w="905" w:type="pct"/>
          </w:tcPr>
          <w:p w14:paraId="5E96C9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0.507</w:t>
            </w:r>
          </w:p>
        </w:tc>
      </w:tr>
      <w:tr w14:paraId="1CA22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1B0ED644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Hospital mortality (%), n (%)</w:t>
            </w:r>
          </w:p>
        </w:tc>
        <w:tc>
          <w:tcPr>
            <w:tcW w:w="1096" w:type="pct"/>
          </w:tcPr>
          <w:p w14:paraId="3505EE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 (1)</w:t>
            </w:r>
          </w:p>
        </w:tc>
        <w:tc>
          <w:tcPr>
            <w:tcW w:w="1100" w:type="pct"/>
          </w:tcPr>
          <w:p w14:paraId="3FA339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4 (2.1)</w:t>
            </w:r>
          </w:p>
        </w:tc>
        <w:tc>
          <w:tcPr>
            <w:tcW w:w="905" w:type="pct"/>
          </w:tcPr>
          <w:p w14:paraId="73E469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0.446</w:t>
            </w:r>
          </w:p>
        </w:tc>
      </w:tr>
      <w:tr w14:paraId="7030F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13E74761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ICU length of stay (days), Median (Q1,Q3)</w:t>
            </w:r>
          </w:p>
        </w:tc>
        <w:tc>
          <w:tcPr>
            <w:tcW w:w="1096" w:type="pct"/>
          </w:tcPr>
          <w:p w14:paraId="56EB75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3.78 (2.82, 4.79)</w:t>
            </w:r>
          </w:p>
        </w:tc>
        <w:tc>
          <w:tcPr>
            <w:tcW w:w="1100" w:type="pct"/>
          </w:tcPr>
          <w:p w14:paraId="21FB3E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4.71 (3.78, 5.74)</w:t>
            </w:r>
          </w:p>
        </w:tc>
        <w:tc>
          <w:tcPr>
            <w:tcW w:w="905" w:type="pct"/>
          </w:tcPr>
          <w:p w14:paraId="3EA237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  <w:tr w14:paraId="7054A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22AB2F20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Hospital auxiliary unit length of stay (days), Median (Q1,Q3)</w:t>
            </w:r>
          </w:p>
        </w:tc>
        <w:tc>
          <w:tcPr>
            <w:tcW w:w="1096" w:type="pct"/>
          </w:tcPr>
          <w:p w14:paraId="381556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0.85 (0.78, 0.98)</w:t>
            </w:r>
          </w:p>
        </w:tc>
        <w:tc>
          <w:tcPr>
            <w:tcW w:w="1100" w:type="pct"/>
          </w:tcPr>
          <w:p w14:paraId="25A1F5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0.82 (0.75, 0.95)</w:t>
            </w:r>
          </w:p>
        </w:tc>
        <w:tc>
          <w:tcPr>
            <w:tcW w:w="905" w:type="pct"/>
          </w:tcPr>
          <w:p w14:paraId="5148C9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0.033</w:t>
            </w:r>
          </w:p>
        </w:tc>
      </w:tr>
      <w:tr w14:paraId="5DADF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7B4B8E32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Length of hospital stay (days), Median (Q1,Q3)</w:t>
            </w:r>
          </w:p>
        </w:tc>
        <w:tc>
          <w:tcPr>
            <w:tcW w:w="1096" w:type="pct"/>
          </w:tcPr>
          <w:p w14:paraId="061E18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26 (21, 34)</w:t>
            </w:r>
          </w:p>
        </w:tc>
        <w:tc>
          <w:tcPr>
            <w:tcW w:w="1100" w:type="pct"/>
          </w:tcPr>
          <w:p w14:paraId="4B94AF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28 (21, 34)</w:t>
            </w:r>
          </w:p>
        </w:tc>
        <w:tc>
          <w:tcPr>
            <w:tcW w:w="905" w:type="pct"/>
          </w:tcPr>
          <w:p w14:paraId="222E1A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0.299</w:t>
            </w:r>
          </w:p>
        </w:tc>
      </w:tr>
      <w:tr w14:paraId="07552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8" w:type="pct"/>
            <w:vAlign w:val="top"/>
          </w:tcPr>
          <w:p w14:paraId="751F692C">
            <w:pPr>
              <w:keepNext w:val="0"/>
              <w:keepLines w:val="0"/>
              <w:pageBreakBefore w:val="0"/>
              <w:widowControl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after="100"/>
              <w:ind w:left="0" w:leftChars="0" w:right="0" w:firstLine="0" w:firstLineChars="0"/>
              <w:jc w:val="left"/>
              <w:textAlignment w:val="auto"/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Hospital cost (USD), Median (Q1,Q3)</w:t>
            </w:r>
          </w:p>
        </w:tc>
        <w:tc>
          <w:tcPr>
            <w:tcW w:w="1096" w:type="pct"/>
          </w:tcPr>
          <w:p w14:paraId="575547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89.31 (73.57, 118.38)</w:t>
            </w:r>
          </w:p>
        </w:tc>
        <w:tc>
          <w:tcPr>
            <w:tcW w:w="1100" w:type="pct"/>
          </w:tcPr>
          <w:p w14:paraId="7DADC1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125.4 (105.09, 150.32)</w:t>
            </w:r>
          </w:p>
        </w:tc>
        <w:tc>
          <w:tcPr>
            <w:tcW w:w="905" w:type="pct"/>
          </w:tcPr>
          <w:p w14:paraId="0DE438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hint="default" w:ascii="Times New Roman" w:hAnsi="Times New Roman" w:cs="Times New Roman"/>
                <w:lang w:eastAsia="en-GB"/>
              </w:rPr>
            </w:pPr>
            <w:r>
              <w:rPr>
                <w:rFonts w:hint="default" w:ascii="Times New Roman" w:hAnsi="Times New Roman" w:eastAsia="Arial" w:cs="Times New Roman"/>
                <w:color w:val="000000"/>
                <w:szCs w:val="22"/>
                <w:lang w:eastAsia="en-GB"/>
              </w:rPr>
              <w:t>&lt; 0.001</w:t>
            </w:r>
          </w:p>
        </w:tc>
      </w:tr>
    </w:tbl>
    <w:p w14:paraId="0C17B930">
      <w:pPr>
        <w:ind w:firstLine="0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Abbreviations:CRRT: Continuous Renal Replacement Therapy</w:t>
      </w:r>
      <w:r>
        <w:rPr>
          <w:rFonts w:hint="default" w:ascii="Times New Roman" w:hAnsi="Times New Roman" w:cs="Times New Roman"/>
          <w:lang w:eastAsia="zh-CN"/>
        </w:rPr>
        <w:t>；</w:t>
      </w:r>
      <w:r>
        <w:rPr>
          <w:rFonts w:hint="default" w:ascii="Times New Roman" w:hAnsi="Times New Roman" w:cs="Times New Roman"/>
          <w:lang w:eastAsia="zh-CN"/>
        </w:rPr>
        <w:t>SOFA: Sequential Organ Failure Assessment</w:t>
      </w:r>
      <w:r>
        <w:rPr>
          <w:rFonts w:hint="default" w:ascii="Times New Roman" w:hAnsi="Times New Roman" w:cs="Times New Roman"/>
          <w:lang w:eastAsia="zh-CN"/>
        </w:rPr>
        <w:t>；</w:t>
      </w:r>
      <w:r>
        <w:rPr>
          <w:rFonts w:hint="default" w:ascii="Times New Roman" w:hAnsi="Times New Roman" w:cs="Times New Roman"/>
          <w:lang w:eastAsia="zh-CN"/>
        </w:rPr>
        <w:t>APTT: Activated Partial Thromboplastin Time</w:t>
      </w:r>
      <w:r>
        <w:rPr>
          <w:rFonts w:hint="default" w:ascii="Times New Roman" w:hAnsi="Times New Roman" w:cs="Times New Roman"/>
          <w:lang w:eastAsia="zh-CN"/>
        </w:rPr>
        <w:t>；</w:t>
      </w:r>
      <w:r>
        <w:rPr>
          <w:rFonts w:hint="default" w:ascii="Times New Roman" w:hAnsi="Times New Roman" w:cs="Times New Roman"/>
          <w:lang w:eastAsia="zh-CN"/>
        </w:rPr>
        <w:t>INR: International Normalized Ratio</w:t>
      </w:r>
      <w:r>
        <w:rPr>
          <w:rFonts w:hint="default" w:ascii="Times New Roman" w:hAnsi="Times New Roman" w:cs="Times New Roman"/>
          <w:lang w:eastAsia="zh-CN"/>
        </w:rPr>
        <w:t>；</w:t>
      </w:r>
      <w:r>
        <w:rPr>
          <w:rFonts w:hint="default" w:ascii="Times New Roman" w:hAnsi="Times New Roman" w:cs="Times New Roman"/>
          <w:lang w:eastAsia="zh-CN"/>
        </w:rPr>
        <w:t>WBC: White Blood Cell</w:t>
      </w:r>
      <w:r>
        <w:rPr>
          <w:rFonts w:hint="default" w:ascii="Times New Roman" w:hAnsi="Times New Roman" w:cs="Times New Roman"/>
          <w:lang w:eastAsia="zh-CN"/>
        </w:rPr>
        <w:t>；</w:t>
      </w:r>
      <w:r>
        <w:rPr>
          <w:rFonts w:hint="default" w:ascii="Times New Roman" w:hAnsi="Times New Roman" w:cs="Times New Roman"/>
          <w:lang w:eastAsia="zh-CN"/>
        </w:rPr>
        <w:t>ICU: Intensive Care Unit</w:t>
      </w:r>
      <w:r>
        <w:rPr>
          <w:rFonts w:hint="default" w:ascii="Times New Roman" w:hAnsi="Times New Roman" w:cs="Times New Roman"/>
          <w:lang w:eastAsia="zh-CN"/>
        </w:rPr>
        <w:t>；</w:t>
      </w:r>
    </w:p>
    <w:p w14:paraId="52D5D3AD">
      <w:pPr>
        <w:ind w:firstLine="0"/>
        <w:rPr>
          <w:rFonts w:hint="default" w:ascii="Times New Roman" w:hAnsi="Times New Roman" w:cs="Times New Roman"/>
          <w:lang w:eastAsia="zh-CN"/>
        </w:rPr>
      </w:pPr>
    </w:p>
    <w:p w14:paraId="5A480909">
      <w:pPr>
        <w:ind w:firstLine="0"/>
        <w:rPr>
          <w:rFonts w:hint="default" w:ascii="Times New Roman" w:hAnsi="Times New Roman" w:cs="Times New Roman"/>
          <w:lang w:eastAsia="zh-CN"/>
        </w:rPr>
      </w:pPr>
    </w:p>
    <w:p w14:paraId="21605C1B">
      <w:pPr>
        <w:ind w:firstLine="0"/>
        <w:rPr>
          <w:rFonts w:hint="default" w:ascii="Times New Roman" w:hAnsi="Times New Roman" w:cs="Times New Roman"/>
          <w:lang w:eastAsia="zh-CN"/>
        </w:rPr>
      </w:pPr>
    </w:p>
    <w:p w14:paraId="1AE6CB91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Fig S1 lasso1</w:t>
      </w:r>
    </w:p>
    <w:p w14:paraId="3EA4D036">
      <w:pPr>
        <w:ind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0" distR="0">
            <wp:extent cx="5396865" cy="3718560"/>
            <wp:effectExtent l="0" t="0" r="0" b="0"/>
            <wp:docPr id="216801244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1244" name="图片 1" descr="图表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886C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Fig S2 lasso2</w:t>
      </w:r>
    </w:p>
    <w:p w14:paraId="00F83994">
      <w:pPr>
        <w:ind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0" distR="0">
            <wp:extent cx="5396865" cy="3730625"/>
            <wp:effectExtent l="0" t="0" r="635" b="3175"/>
            <wp:docPr id="2143259793" name="图片 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59793" name="图片 2" descr="图表, 直方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674C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p w14:paraId="4DC58DEC">
      <w:pPr>
        <w:ind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Fig S3 调参c50</w:t>
      </w:r>
    </w:p>
    <w:p w14:paraId="0F8FF2E9">
      <w:pPr>
        <w:ind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0" distR="0">
            <wp:extent cx="5396865" cy="3698240"/>
            <wp:effectExtent l="0" t="0" r="0" b="0"/>
            <wp:docPr id="400737201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37201" name="图片 3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5F9D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Fig S4 调参SVM</w:t>
      </w:r>
    </w:p>
    <w:p w14:paraId="725E910D">
      <w:pPr>
        <w:ind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0" distR="0">
            <wp:extent cx="5396865" cy="3698240"/>
            <wp:effectExtent l="0" t="0" r="0" b="0"/>
            <wp:docPr id="1194006896" name="图片 4" descr="图形用户界面, 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06896" name="图片 4" descr="图形用户界面, 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BBFD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p w14:paraId="4119D905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p w14:paraId="15A8DB43">
      <w:pPr>
        <w:ind w:firstLine="0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Fig S5 调参XGboost</w:t>
      </w:r>
    </w:p>
    <w:p w14:paraId="6592BAE3">
      <w:pPr>
        <w:ind w:firstLine="0"/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default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0" distR="0">
            <wp:extent cx="5396865" cy="3666490"/>
            <wp:effectExtent l="0" t="0" r="0" b="0"/>
            <wp:docPr id="516896190" name="图片 5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96190" name="图片 5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1" w:h="16817"/>
      <w:pgMar w:top="1135" w:right="1701" w:bottom="567" w:left="1701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Grande">
    <w:altName w:val="Arial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98094">
    <w:pPr>
      <w:pStyle w:val="8"/>
      <w:tabs>
        <w:tab w:val="left" w:pos="2206"/>
        <w:tab w:val="clear" w:pos="4320"/>
        <w:tab w:val="clear" w:pos="8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ThiMzBiOWZiMjU2NjYyNTZjYTQ5MDJjZDFkYWQ5MDMifQ=="/>
  </w:docVars>
  <w:rsids>
    <w:rsidRoot w:val="006F1BF0"/>
    <w:rsid w:val="00002BFC"/>
    <w:rsid w:val="000056ED"/>
    <w:rsid w:val="000273C3"/>
    <w:rsid w:val="00031EBA"/>
    <w:rsid w:val="000431FD"/>
    <w:rsid w:val="00046A07"/>
    <w:rsid w:val="00056B25"/>
    <w:rsid w:val="000659B0"/>
    <w:rsid w:val="000701D8"/>
    <w:rsid w:val="00076C0D"/>
    <w:rsid w:val="000865B9"/>
    <w:rsid w:val="000961D1"/>
    <w:rsid w:val="000C05C1"/>
    <w:rsid w:val="000D445D"/>
    <w:rsid w:val="00103B40"/>
    <w:rsid w:val="001051E3"/>
    <w:rsid w:val="00112171"/>
    <w:rsid w:val="001262DC"/>
    <w:rsid w:val="00126C3F"/>
    <w:rsid w:val="001305DC"/>
    <w:rsid w:val="001429DD"/>
    <w:rsid w:val="0015028B"/>
    <w:rsid w:val="00180513"/>
    <w:rsid w:val="00194546"/>
    <w:rsid w:val="001B2013"/>
    <w:rsid w:val="001B5A26"/>
    <w:rsid w:val="001C4655"/>
    <w:rsid w:val="001F77B6"/>
    <w:rsid w:val="00206835"/>
    <w:rsid w:val="00225889"/>
    <w:rsid w:val="00251A73"/>
    <w:rsid w:val="00252F72"/>
    <w:rsid w:val="00295850"/>
    <w:rsid w:val="00295D02"/>
    <w:rsid w:val="002C7EC7"/>
    <w:rsid w:val="002E3891"/>
    <w:rsid w:val="002F4579"/>
    <w:rsid w:val="002F5950"/>
    <w:rsid w:val="00302A30"/>
    <w:rsid w:val="003030D5"/>
    <w:rsid w:val="00311781"/>
    <w:rsid w:val="00317CC1"/>
    <w:rsid w:val="00321786"/>
    <w:rsid w:val="00325FD5"/>
    <w:rsid w:val="003322EA"/>
    <w:rsid w:val="00357D69"/>
    <w:rsid w:val="003A217B"/>
    <w:rsid w:val="003B0A23"/>
    <w:rsid w:val="003B5117"/>
    <w:rsid w:val="003C6A13"/>
    <w:rsid w:val="004653B5"/>
    <w:rsid w:val="00466B2D"/>
    <w:rsid w:val="00483702"/>
    <w:rsid w:val="004A0A25"/>
    <w:rsid w:val="004E0DFC"/>
    <w:rsid w:val="004E58EF"/>
    <w:rsid w:val="004F5B37"/>
    <w:rsid w:val="00503441"/>
    <w:rsid w:val="00512680"/>
    <w:rsid w:val="00525BF7"/>
    <w:rsid w:val="00540FCD"/>
    <w:rsid w:val="005545CD"/>
    <w:rsid w:val="00563A9B"/>
    <w:rsid w:val="00581B4E"/>
    <w:rsid w:val="0058358D"/>
    <w:rsid w:val="005862C0"/>
    <w:rsid w:val="005B06FA"/>
    <w:rsid w:val="005B235C"/>
    <w:rsid w:val="005D0A8B"/>
    <w:rsid w:val="005E6638"/>
    <w:rsid w:val="005F48D1"/>
    <w:rsid w:val="00606619"/>
    <w:rsid w:val="006156CC"/>
    <w:rsid w:val="006173C6"/>
    <w:rsid w:val="00617879"/>
    <w:rsid w:val="0062010C"/>
    <w:rsid w:val="0066069B"/>
    <w:rsid w:val="006630C4"/>
    <w:rsid w:val="00677E77"/>
    <w:rsid w:val="006C4302"/>
    <w:rsid w:val="006C626D"/>
    <w:rsid w:val="006D790E"/>
    <w:rsid w:val="006F1BF0"/>
    <w:rsid w:val="0070004E"/>
    <w:rsid w:val="00701219"/>
    <w:rsid w:val="00704584"/>
    <w:rsid w:val="00712254"/>
    <w:rsid w:val="00724246"/>
    <w:rsid w:val="007316AA"/>
    <w:rsid w:val="007333E2"/>
    <w:rsid w:val="007572B0"/>
    <w:rsid w:val="00764CD4"/>
    <w:rsid w:val="007743B3"/>
    <w:rsid w:val="007A5A8B"/>
    <w:rsid w:val="007B710F"/>
    <w:rsid w:val="007D6588"/>
    <w:rsid w:val="007E09A2"/>
    <w:rsid w:val="00815039"/>
    <w:rsid w:val="008A79DE"/>
    <w:rsid w:val="00905A56"/>
    <w:rsid w:val="009078C3"/>
    <w:rsid w:val="00916E62"/>
    <w:rsid w:val="00923BB5"/>
    <w:rsid w:val="00932012"/>
    <w:rsid w:val="00953A16"/>
    <w:rsid w:val="0095669C"/>
    <w:rsid w:val="00961DD1"/>
    <w:rsid w:val="00964E2D"/>
    <w:rsid w:val="009706FA"/>
    <w:rsid w:val="009748F3"/>
    <w:rsid w:val="0097648E"/>
    <w:rsid w:val="00982D00"/>
    <w:rsid w:val="00984CBB"/>
    <w:rsid w:val="009A3AC9"/>
    <w:rsid w:val="009A74A7"/>
    <w:rsid w:val="009B0744"/>
    <w:rsid w:val="009B1C3E"/>
    <w:rsid w:val="009E4EBE"/>
    <w:rsid w:val="00A1253E"/>
    <w:rsid w:val="00A327DF"/>
    <w:rsid w:val="00A3462D"/>
    <w:rsid w:val="00A6258B"/>
    <w:rsid w:val="00A639EC"/>
    <w:rsid w:val="00A94BC8"/>
    <w:rsid w:val="00AA41A8"/>
    <w:rsid w:val="00AB63D0"/>
    <w:rsid w:val="00AC068D"/>
    <w:rsid w:val="00AC30FC"/>
    <w:rsid w:val="00AC5F77"/>
    <w:rsid w:val="00AC7D6C"/>
    <w:rsid w:val="00B10311"/>
    <w:rsid w:val="00B10A41"/>
    <w:rsid w:val="00B13010"/>
    <w:rsid w:val="00B24556"/>
    <w:rsid w:val="00B37161"/>
    <w:rsid w:val="00B633C9"/>
    <w:rsid w:val="00B8331B"/>
    <w:rsid w:val="00B95FA8"/>
    <w:rsid w:val="00BC6D7F"/>
    <w:rsid w:val="00BE1F16"/>
    <w:rsid w:val="00BE3161"/>
    <w:rsid w:val="00C0657C"/>
    <w:rsid w:val="00C104D5"/>
    <w:rsid w:val="00C60128"/>
    <w:rsid w:val="00C752FA"/>
    <w:rsid w:val="00C765D8"/>
    <w:rsid w:val="00C96D06"/>
    <w:rsid w:val="00CA324E"/>
    <w:rsid w:val="00CA51A2"/>
    <w:rsid w:val="00CE6821"/>
    <w:rsid w:val="00CE7562"/>
    <w:rsid w:val="00D0353D"/>
    <w:rsid w:val="00D17F0E"/>
    <w:rsid w:val="00D6074E"/>
    <w:rsid w:val="00D66B5D"/>
    <w:rsid w:val="00D671AF"/>
    <w:rsid w:val="00D72712"/>
    <w:rsid w:val="00D82898"/>
    <w:rsid w:val="00DA17AD"/>
    <w:rsid w:val="00DC06F9"/>
    <w:rsid w:val="00DC5845"/>
    <w:rsid w:val="00DE0E1D"/>
    <w:rsid w:val="00E1627D"/>
    <w:rsid w:val="00E26B7B"/>
    <w:rsid w:val="00E27344"/>
    <w:rsid w:val="00E31ECE"/>
    <w:rsid w:val="00E32D6C"/>
    <w:rsid w:val="00E33B0A"/>
    <w:rsid w:val="00E40952"/>
    <w:rsid w:val="00E45712"/>
    <w:rsid w:val="00EC2906"/>
    <w:rsid w:val="00ED4B64"/>
    <w:rsid w:val="00F13104"/>
    <w:rsid w:val="00F47324"/>
    <w:rsid w:val="00F62693"/>
    <w:rsid w:val="20C710D3"/>
    <w:rsid w:val="2CA84A93"/>
    <w:rsid w:val="425A5793"/>
    <w:rsid w:val="7F3B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ahoma" w:hAnsi="Tahoma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40" w:line="312" w:lineRule="auto"/>
      <w:ind w:firstLine="432"/>
    </w:pPr>
    <w:rPr>
      <w:rFonts w:ascii="Arial" w:hAnsi="Arial" w:eastAsia="Times New Roman" w:cs="Times New Roman"/>
      <w:sz w:val="22"/>
      <w:lang w:val="en-GB" w:eastAsia="en-US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after="0" w:line="360" w:lineRule="auto"/>
      <w:ind w:firstLine="0"/>
      <w:outlineLvl w:val="0"/>
    </w:pPr>
    <w:rPr>
      <w:rFonts w:ascii="Times New Roman" w:hAnsi="Times New Roman" w:eastAsiaTheme="majorEastAsia" w:cstheme="majorBidi"/>
      <w:b/>
      <w:bCs/>
      <w:color w:val="335B8A" w:themeColor="accent1" w:themeShade="B5"/>
      <w:sz w:val="32"/>
      <w:szCs w:val="32"/>
    </w:rPr>
  </w:style>
  <w:style w:type="paragraph" w:styleId="3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200" w:after="0" w:line="240" w:lineRule="auto"/>
      <w:ind w:firstLine="0"/>
      <w:outlineLvl w:val="1"/>
    </w:pPr>
    <w:rPr>
      <w:rFonts w:ascii="Times New Roman" w:hAnsi="Times New Roman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0"/>
    <w:autoRedefine/>
    <w:unhideWhenUsed/>
    <w:qFormat/>
    <w:uiPriority w:val="9"/>
    <w:pPr>
      <w:keepNext/>
      <w:keepLines/>
      <w:spacing w:before="200" w:after="0" w:line="240" w:lineRule="auto"/>
      <w:ind w:firstLine="0"/>
      <w:outlineLvl w:val="2"/>
    </w:pPr>
    <w:rPr>
      <w:rFonts w:ascii="Times New Roman" w:hAnsi="Times New Roman" w:eastAsiaTheme="majorEastAsia" w:cstheme="majorBidi"/>
      <w:b/>
      <w:bCs/>
      <w:color w:val="4F81BD" w:themeColor="accent1"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35"/>
    <w:pPr>
      <w:spacing w:after="0" w:line="360" w:lineRule="auto"/>
      <w:ind w:firstLine="0"/>
    </w:pPr>
    <w:rPr>
      <w:rFonts w:ascii="Times New Roman" w:hAnsi="Times New Roman" w:eastAsiaTheme="minorEastAsia" w:cstheme="minorBidi"/>
      <w:b/>
      <w:bCs/>
      <w:color w:val="4F81BD" w:themeColor="accent1"/>
      <w:sz w:val="24"/>
      <w:szCs w:val="18"/>
    </w:rPr>
  </w:style>
  <w:style w:type="paragraph" w:styleId="6">
    <w:name w:val="Balloon Text"/>
    <w:basedOn w:val="1"/>
    <w:link w:val="24"/>
    <w:semiHidden/>
    <w:unhideWhenUsed/>
    <w:qFormat/>
    <w:uiPriority w:val="9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8">
    <w:name w:val="header"/>
    <w:basedOn w:val="1"/>
    <w:link w:val="25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footnote text"/>
    <w:basedOn w:val="1"/>
    <w:link w:val="23"/>
    <w:qFormat/>
    <w:uiPriority w:val="0"/>
    <w:pPr>
      <w:spacing w:after="0" w:line="240" w:lineRule="auto"/>
    </w:pPr>
    <w:rPr>
      <w:sz w:val="24"/>
      <w:szCs w:val="24"/>
    </w:rPr>
  </w:style>
  <w:style w:type="paragraph" w:styleId="10">
    <w:name w:val="Title"/>
    <w:basedOn w:val="1"/>
    <w:next w:val="1"/>
    <w:link w:val="21"/>
    <w:autoRedefine/>
    <w:qFormat/>
    <w:uiPriority w:val="10"/>
    <w:pPr>
      <w:spacing w:after="0" w:line="360" w:lineRule="auto"/>
      <w:ind w:firstLine="0"/>
      <w:contextualSpacing/>
      <w:jc w:val="center"/>
    </w:pPr>
    <w:rPr>
      <w:rFonts w:ascii="Times New Roman" w:hAnsi="Times New Roman"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table" w:styleId="12">
    <w:name w:val="Table Grid"/>
    <w:basedOn w:val="11"/>
    <w:qFormat/>
    <w:uiPriority w:val="59"/>
    <w:rPr>
      <w:rFonts w:ascii="Arial" w:hAnsi="Arial" w:eastAsia="Times New Roman" w:cs="Times New Roman"/>
      <w:lang w:val="en-GB"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3"/>
    <w:unhideWhenUsed/>
    <w:qFormat/>
    <w:uiPriority w:val="99"/>
    <w:rPr>
      <w:sz w:val="16"/>
      <w:szCs w:val="16"/>
    </w:rPr>
  </w:style>
  <w:style w:type="character" w:styleId="17">
    <w:name w:val="footnote reference"/>
    <w:basedOn w:val="13"/>
    <w:qFormat/>
    <w:uiPriority w:val="0"/>
    <w:rPr>
      <w:vertAlign w:val="superscript"/>
    </w:rPr>
  </w:style>
  <w:style w:type="character" w:customStyle="1" w:styleId="18">
    <w:name w:val="标题 1 字符"/>
    <w:basedOn w:val="13"/>
    <w:link w:val="2"/>
    <w:qFormat/>
    <w:uiPriority w:val="9"/>
    <w:rPr>
      <w:rFonts w:eastAsiaTheme="majorEastAsia" w:cstheme="majorBidi"/>
      <w:b/>
      <w:bCs/>
      <w:color w:val="335B8A" w:themeColor="accent1" w:themeShade="B5"/>
      <w:sz w:val="32"/>
      <w:szCs w:val="32"/>
    </w:rPr>
  </w:style>
  <w:style w:type="character" w:customStyle="1" w:styleId="19">
    <w:name w:val="标题 2 字符"/>
    <w:basedOn w:val="13"/>
    <w:link w:val="3"/>
    <w:qFormat/>
    <w:uiPriority w:val="9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20">
    <w:name w:val="标题 3 字符"/>
    <w:basedOn w:val="13"/>
    <w:link w:val="4"/>
    <w:qFormat/>
    <w:uiPriority w:val="9"/>
    <w:rPr>
      <w:rFonts w:eastAsiaTheme="majorEastAsia" w:cstheme="majorBidi"/>
      <w:b/>
      <w:bCs/>
      <w:color w:val="4F81BD" w:themeColor="accent1"/>
    </w:rPr>
  </w:style>
  <w:style w:type="character" w:customStyle="1" w:styleId="21">
    <w:name w:val="标题 字符"/>
    <w:basedOn w:val="13"/>
    <w:link w:val="10"/>
    <w:qFormat/>
    <w:uiPriority w:val="10"/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paragraph" w:styleId="22">
    <w:name w:val="List Paragraph"/>
    <w:basedOn w:val="1"/>
    <w:qFormat/>
    <w:uiPriority w:val="34"/>
    <w:pPr>
      <w:spacing w:after="200" w:line="276" w:lineRule="auto"/>
      <w:ind w:left="720" w:firstLine="0"/>
      <w:contextualSpacing/>
    </w:pPr>
    <w:rPr>
      <w:rFonts w:asciiTheme="minorHAnsi" w:hAnsiTheme="minorHAnsi" w:eastAsiaTheme="minorHAnsi" w:cstheme="minorBidi"/>
      <w:szCs w:val="22"/>
    </w:rPr>
  </w:style>
  <w:style w:type="character" w:customStyle="1" w:styleId="23">
    <w:name w:val="脚注文本 字符"/>
    <w:basedOn w:val="13"/>
    <w:link w:val="9"/>
    <w:qFormat/>
    <w:uiPriority w:val="0"/>
    <w:rPr>
      <w:rFonts w:ascii="Arial" w:hAnsi="Arial" w:eastAsia="Times New Roman" w:cs="Times New Roman"/>
      <w:sz w:val="24"/>
      <w:szCs w:val="24"/>
      <w:lang w:val="en-GB"/>
    </w:rPr>
  </w:style>
  <w:style w:type="character" w:customStyle="1" w:styleId="24">
    <w:name w:val="批注框文本 字符"/>
    <w:basedOn w:val="13"/>
    <w:link w:val="6"/>
    <w:semiHidden/>
    <w:qFormat/>
    <w:uiPriority w:val="99"/>
    <w:rPr>
      <w:rFonts w:ascii="Lucida Grande" w:hAnsi="Lucida Grande" w:eastAsia="Times New Roman" w:cs="Lucida Grande"/>
      <w:sz w:val="18"/>
      <w:szCs w:val="18"/>
      <w:lang w:val="en-GB"/>
    </w:rPr>
  </w:style>
  <w:style w:type="character" w:customStyle="1" w:styleId="25">
    <w:name w:val="页眉 字符"/>
    <w:basedOn w:val="13"/>
    <w:link w:val="8"/>
    <w:qFormat/>
    <w:uiPriority w:val="99"/>
    <w:rPr>
      <w:rFonts w:ascii="Arial" w:hAnsi="Arial" w:eastAsia="Times New Roman" w:cs="Times New Roman"/>
      <w:sz w:val="22"/>
      <w:lang w:val="en-GB"/>
    </w:rPr>
  </w:style>
  <w:style w:type="character" w:customStyle="1" w:styleId="26">
    <w:name w:val="页脚 字符"/>
    <w:basedOn w:val="13"/>
    <w:link w:val="7"/>
    <w:qFormat/>
    <w:uiPriority w:val="99"/>
    <w:rPr>
      <w:rFonts w:ascii="Arial" w:hAnsi="Arial" w:eastAsia="Times New Roman" w:cs="Times New Roman"/>
      <w:sz w:val="22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tiff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University of Oxford</Company>
  <Pages>6</Pages>
  <Words>1339</Words>
  <Characters>7007</Characters>
  <Lines>62</Lines>
  <Paragraphs>17</Paragraphs>
  <TotalTime>2</TotalTime>
  <ScaleCrop>false</ScaleCrop>
  <LinksUpToDate>false</LinksUpToDate>
  <CharactersWithSpaces>7984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2016-03-10T01:46:00Z</dcterms:created>
  <dc:creator>Gary  Collins</dc:creator>
  <cp:lastModifiedBy>郭姗</cp:lastModifiedBy>
  <cp:lastPrinted>2014-10-10T14:41:00Z</cp:lastPrinted>
  <dcterms:modified xsi:type="dcterms:W3CDTF">2024-10-14T11:50:25Z</dcterms:modified>
  <dc:title>TRIPOD checklist</dc:title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4EBCD01A4CE84B1598AF4205B48C35A6_12</vt:lpwstr>
  </property>
</Properties>
</file>