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94CA60" w14:textId="77777777" w:rsidR="00CA2408" w:rsidRDefault="00CA2408" w:rsidP="00CA2408">
      <w:pPr>
        <w:pStyle w:val="NormalWeb"/>
        <w:spacing w:line="360" w:lineRule="auto"/>
        <w:jc w:val="both"/>
        <w:rPr>
          <w:rFonts w:ascii="Arial" w:hAnsi="Arial" w:cs="Arial"/>
          <w:b/>
          <w:sz w:val="22"/>
          <w:lang w:val="en-US"/>
        </w:rPr>
      </w:pPr>
      <w:r>
        <w:rPr>
          <w:rFonts w:ascii="Arial" w:hAnsi="Arial" w:cs="Arial"/>
          <w:b/>
          <w:sz w:val="22"/>
          <w:lang w:val="en-US"/>
        </w:rPr>
        <w:t>Supplementary tables:</w:t>
      </w:r>
    </w:p>
    <w:p w14:paraId="6F24944C" w14:textId="77777777" w:rsidR="00CA2408" w:rsidRPr="008D5BF2" w:rsidRDefault="00CA2408" w:rsidP="00CA2408">
      <w:pPr>
        <w:pStyle w:val="NormalWeb"/>
        <w:spacing w:line="36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</w:p>
    <w:tbl>
      <w:tblPr>
        <w:tblpPr w:leftFromText="180" w:rightFromText="180" w:vertAnchor="text" w:horzAnchor="margin" w:tblpXSpec="center" w:tblpY="1469"/>
        <w:tblW w:w="10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1696"/>
        <w:gridCol w:w="1276"/>
        <w:gridCol w:w="851"/>
        <w:gridCol w:w="718"/>
        <w:gridCol w:w="1134"/>
        <w:gridCol w:w="1833"/>
        <w:gridCol w:w="9"/>
        <w:gridCol w:w="1701"/>
        <w:gridCol w:w="1567"/>
      </w:tblGrid>
      <w:tr w:rsidR="00CA2408" w:rsidRPr="004D4070" w14:paraId="27293B1A" w14:textId="77777777" w:rsidTr="00943FA4">
        <w:tc>
          <w:tcPr>
            <w:tcW w:w="1696" w:type="dxa"/>
          </w:tcPr>
          <w:p w14:paraId="695A2D21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b/>
                <w:color w:val="000000"/>
                <w:lang w:val="en-US"/>
              </w:rPr>
              <w:t>Group</w:t>
            </w:r>
          </w:p>
        </w:tc>
        <w:tc>
          <w:tcPr>
            <w:tcW w:w="1276" w:type="dxa"/>
          </w:tcPr>
          <w:p w14:paraId="43823F34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b/>
                <w:color w:val="000000"/>
                <w:lang w:val="en-US"/>
              </w:rPr>
              <w:t>Mean</w:t>
            </w:r>
          </w:p>
        </w:tc>
        <w:tc>
          <w:tcPr>
            <w:tcW w:w="851" w:type="dxa"/>
          </w:tcPr>
          <w:p w14:paraId="76BF7D29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b/>
                <w:color w:val="000000"/>
                <w:lang w:val="en-US"/>
              </w:rPr>
              <w:t>Missing</w:t>
            </w:r>
          </w:p>
        </w:tc>
        <w:tc>
          <w:tcPr>
            <w:tcW w:w="718" w:type="dxa"/>
          </w:tcPr>
          <w:p w14:paraId="2B3194D8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b/>
                <w:color w:val="000000"/>
                <w:lang w:val="en-US"/>
              </w:rPr>
              <w:t>Total</w:t>
            </w:r>
          </w:p>
        </w:tc>
        <w:tc>
          <w:tcPr>
            <w:tcW w:w="1134" w:type="dxa"/>
          </w:tcPr>
          <w:p w14:paraId="2827DB31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b/>
                <w:color w:val="000000"/>
                <w:lang w:val="en-US"/>
              </w:rPr>
              <w:t>p-v</w:t>
            </w:r>
            <w:r w:rsidRPr="004D4070">
              <w:rPr>
                <w:rFonts w:ascii="Arial" w:hAnsi="Arial" w:cs="Arial"/>
                <w:b/>
                <w:color w:val="000000"/>
                <w:lang w:val="en-US"/>
              </w:rPr>
              <w:t>alue</w:t>
            </w:r>
          </w:p>
        </w:tc>
        <w:tc>
          <w:tcPr>
            <w:tcW w:w="1842" w:type="dxa"/>
            <w:gridSpan w:val="2"/>
          </w:tcPr>
          <w:p w14:paraId="1C10AD89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b/>
                <w:color w:val="000000"/>
                <w:lang w:val="en-US"/>
              </w:rPr>
              <w:t xml:space="preserve">Person-Years </w:t>
            </w:r>
          </w:p>
        </w:tc>
        <w:tc>
          <w:tcPr>
            <w:tcW w:w="1701" w:type="dxa"/>
          </w:tcPr>
          <w:p w14:paraId="46DE263A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b/>
                <w:color w:val="000000"/>
                <w:lang w:val="en-US"/>
              </w:rPr>
              <w:t>Mean Follow up</w:t>
            </w:r>
          </w:p>
        </w:tc>
        <w:tc>
          <w:tcPr>
            <w:tcW w:w="1567" w:type="dxa"/>
          </w:tcPr>
          <w:p w14:paraId="536D6785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b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b/>
                <w:color w:val="000000"/>
                <w:lang w:val="en-US"/>
              </w:rPr>
              <w:t>Median Follow up</w:t>
            </w:r>
          </w:p>
        </w:tc>
      </w:tr>
      <w:tr w:rsidR="00CA2408" w:rsidRPr="004D4070" w14:paraId="106B79C2" w14:textId="77777777" w:rsidTr="00943FA4">
        <w:tc>
          <w:tcPr>
            <w:tcW w:w="1696" w:type="dxa"/>
          </w:tcPr>
          <w:p w14:paraId="73CD097E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L</w:t>
            </w:r>
            <w:r w:rsidRPr="004D4070">
              <w:rPr>
                <w:rFonts w:ascii="Arial" w:hAnsi="Arial" w:cs="Arial"/>
                <w:color w:val="000000"/>
                <w:lang w:val="en-US"/>
              </w:rPr>
              <w:t>aparoscopy</w:t>
            </w:r>
          </w:p>
        </w:tc>
        <w:tc>
          <w:tcPr>
            <w:tcW w:w="1276" w:type="dxa"/>
          </w:tcPr>
          <w:p w14:paraId="1BF217B1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426.</w:t>
            </w:r>
            <w:r w:rsidRPr="00326EA6">
              <w:rPr>
                <w:rFonts w:ascii="Arial" w:hAnsi="Arial" w:cs="Arial"/>
                <w:color w:val="000000"/>
                <w:lang w:val="en-US"/>
              </w:rPr>
              <w:t>33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  <w:tc>
          <w:tcPr>
            <w:tcW w:w="851" w:type="dxa"/>
          </w:tcPr>
          <w:p w14:paraId="3183B0F3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10</w:t>
            </w:r>
          </w:p>
        </w:tc>
        <w:tc>
          <w:tcPr>
            <w:tcW w:w="718" w:type="dxa"/>
          </w:tcPr>
          <w:p w14:paraId="24283757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130</w:t>
            </w:r>
          </w:p>
        </w:tc>
        <w:tc>
          <w:tcPr>
            <w:tcW w:w="1134" w:type="dxa"/>
          </w:tcPr>
          <w:p w14:paraId="35DFCF03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0.16</w:t>
            </w:r>
            <w:r>
              <w:rPr>
                <w:rFonts w:ascii="Arial" w:hAnsi="Arial" w:cs="Arial"/>
                <w:color w:val="000000"/>
                <w:lang w:val="en-US"/>
              </w:rPr>
              <w:t>2</w:t>
            </w:r>
          </w:p>
        </w:tc>
        <w:tc>
          <w:tcPr>
            <w:tcW w:w="1833" w:type="dxa"/>
          </w:tcPr>
          <w:p w14:paraId="661567BA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140.08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  <w:tc>
          <w:tcPr>
            <w:tcW w:w="1710" w:type="dxa"/>
            <w:gridSpan w:val="2"/>
          </w:tcPr>
          <w:p w14:paraId="5E3928E7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1.17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  <w:tc>
          <w:tcPr>
            <w:tcW w:w="1567" w:type="dxa"/>
          </w:tcPr>
          <w:p w14:paraId="51E31A0E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0.19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</w:tr>
      <w:tr w:rsidR="00CA2408" w:rsidRPr="004D4070" w14:paraId="3ABE17CE" w14:textId="77777777" w:rsidTr="00943FA4">
        <w:tc>
          <w:tcPr>
            <w:tcW w:w="1696" w:type="dxa"/>
          </w:tcPr>
          <w:p w14:paraId="062AC5D2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R</w:t>
            </w:r>
            <w:r w:rsidRPr="004D4070">
              <w:rPr>
                <w:rFonts w:ascii="Arial" w:hAnsi="Arial" w:cs="Arial"/>
                <w:color w:val="000000"/>
                <w:lang w:val="en-US"/>
              </w:rPr>
              <w:t>obot</w:t>
            </w:r>
          </w:p>
        </w:tc>
        <w:tc>
          <w:tcPr>
            <w:tcW w:w="1276" w:type="dxa"/>
          </w:tcPr>
          <w:p w14:paraId="31F3C190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277.</w:t>
            </w:r>
            <w:r w:rsidRPr="00326EA6">
              <w:rPr>
                <w:rFonts w:ascii="Arial" w:hAnsi="Arial" w:cs="Arial"/>
                <w:color w:val="000000"/>
                <w:lang w:val="en-US"/>
              </w:rPr>
              <w:t>12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  <w:tc>
          <w:tcPr>
            <w:tcW w:w="851" w:type="dxa"/>
          </w:tcPr>
          <w:p w14:paraId="6F557498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2</w:t>
            </w:r>
          </w:p>
        </w:tc>
        <w:tc>
          <w:tcPr>
            <w:tcW w:w="718" w:type="dxa"/>
          </w:tcPr>
          <w:p w14:paraId="3C66EFC4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4D4070">
              <w:rPr>
                <w:rFonts w:ascii="Arial" w:hAnsi="Arial" w:cs="Arial"/>
                <w:color w:val="000000"/>
                <w:lang w:val="en-US"/>
              </w:rPr>
              <w:t>27</w:t>
            </w:r>
          </w:p>
        </w:tc>
        <w:tc>
          <w:tcPr>
            <w:tcW w:w="1134" w:type="dxa"/>
          </w:tcPr>
          <w:p w14:paraId="5409187B" w14:textId="77777777" w:rsidR="00CA2408" w:rsidRPr="004D4070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</w:p>
        </w:tc>
        <w:tc>
          <w:tcPr>
            <w:tcW w:w="1833" w:type="dxa"/>
          </w:tcPr>
          <w:p w14:paraId="7BFCFE32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18.97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  <w:tc>
          <w:tcPr>
            <w:tcW w:w="1710" w:type="dxa"/>
            <w:gridSpan w:val="2"/>
          </w:tcPr>
          <w:p w14:paraId="33B0CA5D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0.76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  <w:tc>
          <w:tcPr>
            <w:tcW w:w="1567" w:type="dxa"/>
          </w:tcPr>
          <w:p w14:paraId="2050118D" w14:textId="77777777" w:rsidR="00CA2408" w:rsidRPr="00326EA6" w:rsidRDefault="00CA2408" w:rsidP="00943FA4">
            <w:pPr>
              <w:spacing w:before="100" w:after="100"/>
              <w:ind w:left="100" w:right="100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326EA6">
              <w:rPr>
                <w:rFonts w:ascii="Arial" w:hAnsi="Arial" w:cs="Arial"/>
                <w:color w:val="000000"/>
                <w:lang w:val="en-US"/>
              </w:rPr>
              <w:t>0.55</w:t>
            </w:r>
            <w:r>
              <w:rPr>
                <w:rFonts w:ascii="Arial" w:hAnsi="Arial" w:cs="Arial"/>
                <w:color w:val="000000"/>
                <w:lang w:val="en-US"/>
              </w:rPr>
              <w:t>0</w:t>
            </w:r>
          </w:p>
        </w:tc>
      </w:tr>
    </w:tbl>
    <w:p w14:paraId="29A3FB8D" w14:textId="77777777" w:rsidR="00CA2408" w:rsidRPr="008D5BF2" w:rsidRDefault="00CA2408" w:rsidP="00CA2408">
      <w:pPr>
        <w:pStyle w:val="NormalWeb"/>
        <w:spacing w:line="360" w:lineRule="auto"/>
        <w:rPr>
          <w:rFonts w:ascii="Arial" w:hAnsi="Arial" w:cs="Arial"/>
          <w:b/>
          <w:sz w:val="22"/>
          <w:szCs w:val="22"/>
          <w:lang w:val="en-US"/>
        </w:rPr>
      </w:pPr>
      <w:r w:rsidRPr="008D5BF2">
        <w:rPr>
          <w:rFonts w:ascii="Arial" w:hAnsi="Arial" w:cs="Arial"/>
          <w:b/>
          <w:sz w:val="22"/>
          <w:szCs w:val="22"/>
          <w:lang w:val="en-US"/>
        </w:rPr>
        <w:t>Table S1 : Comparison of duration of follow-up and person-years between the two groups</w:t>
      </w:r>
    </w:p>
    <w:p w14:paraId="12F60F2A" w14:textId="77777777" w:rsidR="00CA2408" w:rsidRDefault="00CA2408" w:rsidP="00CA2408">
      <w:pPr>
        <w:pStyle w:val="NormalWeb"/>
        <w:spacing w:line="360" w:lineRule="auto"/>
        <w:jc w:val="both"/>
        <w:rPr>
          <w:rFonts w:ascii="Arial" w:hAnsi="Arial" w:cs="Arial"/>
          <w:b/>
          <w:sz w:val="22"/>
          <w:lang w:val="en-US"/>
        </w:rPr>
      </w:pPr>
    </w:p>
    <w:p w14:paraId="04B087EB" w14:textId="77777777" w:rsidR="00CA2408" w:rsidRDefault="00CA2408" w:rsidP="00CA2408">
      <w:pPr>
        <w:pStyle w:val="NormalWeb"/>
        <w:spacing w:line="360" w:lineRule="auto"/>
        <w:jc w:val="both"/>
        <w:rPr>
          <w:rFonts w:ascii="Arial" w:hAnsi="Arial" w:cs="Arial"/>
          <w:b/>
          <w:sz w:val="22"/>
          <w:lang w:val="en-US"/>
        </w:rPr>
      </w:pPr>
    </w:p>
    <w:p w14:paraId="035AE4B1" w14:textId="77777777" w:rsidR="00CA2408" w:rsidRDefault="00CA2408" w:rsidP="00CA2408">
      <w:pPr>
        <w:pStyle w:val="NormalWeb"/>
        <w:jc w:val="both"/>
        <w:rPr>
          <w:lang w:val="en-US"/>
        </w:rPr>
      </w:pPr>
    </w:p>
    <w:p w14:paraId="5104151E" w14:textId="77777777" w:rsidR="00CA2408" w:rsidRDefault="00CA2408" w:rsidP="00CA2408">
      <w:pPr>
        <w:pStyle w:val="NormalWeb"/>
        <w:jc w:val="both"/>
        <w:rPr>
          <w:lang w:val="en-US"/>
        </w:rPr>
      </w:pPr>
    </w:p>
    <w:p w14:paraId="0B7F3B78" w14:textId="77777777" w:rsidR="0038214D" w:rsidRPr="00CA2408" w:rsidRDefault="0038214D">
      <w:pPr>
        <w:rPr>
          <w:lang w:val="en-US"/>
        </w:rPr>
      </w:pPr>
    </w:p>
    <w:sectPr w:rsidR="0038214D" w:rsidRPr="00CA2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408"/>
    <w:rsid w:val="00235F39"/>
    <w:rsid w:val="0038214D"/>
    <w:rsid w:val="00420D3D"/>
    <w:rsid w:val="00AD7A41"/>
    <w:rsid w:val="00AE732B"/>
    <w:rsid w:val="00CA2408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DC478"/>
  <w15:chartTrackingRefBased/>
  <w15:docId w15:val="{42177E22-BA07-4B71-8680-9D2FB0CCC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408"/>
    <w:pPr>
      <w:spacing w:line="259" w:lineRule="auto"/>
    </w:pPr>
    <w:rPr>
      <w:rFonts w:eastAsiaTheme="minorEastAsia" w:cs="Times New Roman"/>
      <w:kern w:val="0"/>
      <w:sz w:val="22"/>
      <w:szCs w:val="22"/>
      <w:lang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24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4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40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40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40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40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40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40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40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4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4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4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4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4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4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4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2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40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2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408"/>
    <w:pPr>
      <w:spacing w:before="160" w:line="278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24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408"/>
    <w:pPr>
      <w:spacing w:line="278" w:lineRule="auto"/>
      <w:ind w:left="720"/>
      <w:contextualSpacing/>
    </w:pPr>
    <w:rPr>
      <w:rFonts w:eastAsia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24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4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4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40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A24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Springer Nature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2025-03-06T13:08:00Z</dcterms:created>
  <dcterms:modified xsi:type="dcterms:W3CDTF">2025-03-06T13:09:00Z</dcterms:modified>
</cp:coreProperties>
</file>